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vsdx" ContentType="application/vnd.ms-visio.drawing"/>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1A45" w:rsidRDefault="003A2690" w:rsidP="00540FEA">
      <w:pPr>
        <w:pStyle w:val="Bullets"/>
        <w:rPr>
          <w:szCs w:val="20"/>
        </w:rPr>
      </w:pPr>
      <w:bookmarkStart w:id="0" w:name="Annex1"/>
      <w:bookmarkStart w:id="1" w:name="_GoBack"/>
      <w:bookmarkEnd w:id="1"/>
      <w:r>
        <w:drawing>
          <wp:anchor distT="0" distB="0" distL="114300" distR="114300" simplePos="0" relativeHeight="251614208" behindDoc="0" locked="0" layoutInCell="1" allowOverlap="1">
            <wp:simplePos x="0" y="0"/>
            <wp:positionH relativeFrom="page">
              <wp:posOffset>1835785</wp:posOffset>
            </wp:positionH>
            <wp:positionV relativeFrom="page">
              <wp:posOffset>995680</wp:posOffset>
            </wp:positionV>
            <wp:extent cx="2495550" cy="1104900"/>
            <wp:effectExtent l="0" t="0" r="0" b="0"/>
            <wp:wrapTopAndBottom/>
            <wp:docPr id="100" name="Picture 1" descr="Description: Energy coat of ar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Energy coat of arm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95550" cy="1104900"/>
                    </a:xfrm>
                    <a:prstGeom prst="rect">
                      <a:avLst/>
                    </a:prstGeom>
                    <a:noFill/>
                    <a:ln>
                      <a:noFill/>
                    </a:ln>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23424" behindDoc="1" locked="0" layoutInCell="1" allowOverlap="1">
            <wp:simplePos x="0" y="0"/>
            <wp:positionH relativeFrom="margin">
              <wp:posOffset>85725</wp:posOffset>
            </wp:positionH>
            <wp:positionV relativeFrom="paragraph">
              <wp:posOffset>150495</wp:posOffset>
            </wp:positionV>
            <wp:extent cx="709930" cy="818515"/>
            <wp:effectExtent l="0" t="0" r="0" b="0"/>
            <wp:wrapTight wrapText="bothSides">
              <wp:wrapPolygon edited="0">
                <wp:start x="0" y="0"/>
                <wp:lineTo x="0" y="21114"/>
                <wp:lineTo x="20866" y="21114"/>
                <wp:lineTo x="20866" y="0"/>
                <wp:lineTo x="0" y="0"/>
              </wp:wrapPolygon>
            </wp:wrapTight>
            <wp:docPr id="9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r>
        <w:drawing>
          <wp:anchor distT="0" distB="0" distL="114300" distR="114300" simplePos="0" relativeHeight="251616256" behindDoc="0" locked="0" layoutInCell="1" allowOverlap="1">
            <wp:simplePos x="0" y="0"/>
            <wp:positionH relativeFrom="page">
              <wp:posOffset>4331335</wp:posOffset>
            </wp:positionH>
            <wp:positionV relativeFrom="page">
              <wp:posOffset>995680</wp:posOffset>
            </wp:positionV>
            <wp:extent cx="915670" cy="946785"/>
            <wp:effectExtent l="0" t="0" r="0" b="0"/>
            <wp:wrapTopAndBottom/>
            <wp:docPr id="98"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15670" cy="946785"/>
                    </a:xfrm>
                    <a:prstGeom prst="rect">
                      <a:avLst/>
                    </a:prstGeom>
                    <a:noFill/>
                    <a:ln>
                      <a:noFill/>
                    </a:ln>
                  </pic:spPr>
                </pic:pic>
              </a:graphicData>
            </a:graphic>
            <wp14:sizeRelH relativeFrom="page">
              <wp14:pctWidth>0</wp14:pctWidth>
            </wp14:sizeRelH>
            <wp14:sizeRelV relativeFrom="margin">
              <wp14:pctHeight>0</wp14:pctHeight>
            </wp14:sizeRelV>
          </wp:anchor>
        </w:drawing>
      </w:r>
      <w:r>
        <w:drawing>
          <wp:anchor distT="0" distB="0" distL="114300" distR="114300" simplePos="0" relativeHeight="251613184" behindDoc="0" locked="0" layoutInCell="1" allowOverlap="1">
            <wp:simplePos x="0" y="0"/>
            <wp:positionH relativeFrom="margin">
              <wp:posOffset>5295900</wp:posOffset>
            </wp:positionH>
            <wp:positionV relativeFrom="paragraph">
              <wp:posOffset>9525</wp:posOffset>
            </wp:positionV>
            <wp:extent cx="647065" cy="1380490"/>
            <wp:effectExtent l="0" t="0" r="0" b="0"/>
            <wp:wrapNone/>
            <wp:docPr id="9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065" cy="13804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31A45" w:rsidRDefault="00231A45" w:rsidP="00CE72C2">
      <w:pPr>
        <w:spacing w:after="120"/>
        <w:ind w:left="2160" w:firstLine="720"/>
        <w:rPr>
          <w:szCs w:val="20"/>
        </w:rPr>
      </w:pPr>
    </w:p>
    <w:bookmarkEnd w:id="0"/>
    <w:p w:rsidR="00231A45" w:rsidRDefault="00231A45" w:rsidP="00CE72C2">
      <w:pPr>
        <w:spacing w:after="120"/>
        <w:ind w:left="2160" w:firstLine="720"/>
        <w:rPr>
          <w:rFonts w:cs="Arial"/>
          <w:b/>
          <w:i/>
          <w:szCs w:val="22"/>
        </w:rPr>
      </w:pPr>
    </w:p>
    <w:p w:rsidR="00E3519C" w:rsidRPr="0057545E" w:rsidRDefault="00E1433A" w:rsidP="00231A45">
      <w:pPr>
        <w:spacing w:after="240"/>
        <w:jc w:val="center"/>
        <w:rPr>
          <w:rFonts w:cs="Arial"/>
          <w:b/>
          <w:szCs w:val="22"/>
          <w:lang w:val="en-GB"/>
        </w:rPr>
      </w:pPr>
      <w:r w:rsidRPr="0057545E">
        <w:rPr>
          <w:rFonts w:cs="Arial"/>
          <w:b/>
          <w:szCs w:val="22"/>
          <w:lang w:val="en-GB"/>
        </w:rPr>
        <w:t>United Nations Development Programme</w:t>
      </w:r>
    </w:p>
    <w:p w:rsidR="00DF11B5" w:rsidRPr="0057545E" w:rsidRDefault="00AA4E57" w:rsidP="00231A45">
      <w:pPr>
        <w:spacing w:after="0"/>
        <w:jc w:val="center"/>
        <w:rPr>
          <w:rFonts w:cs="Arial"/>
          <w:b/>
          <w:szCs w:val="22"/>
          <w:lang w:val="en-GB"/>
        </w:rPr>
      </w:pPr>
      <w:r w:rsidRPr="0057545E">
        <w:rPr>
          <w:rFonts w:cs="Arial"/>
          <w:b/>
          <w:szCs w:val="22"/>
          <w:lang w:val="en-GB"/>
        </w:rPr>
        <w:t xml:space="preserve">Annotated </w:t>
      </w:r>
      <w:r w:rsidR="001754B1" w:rsidRPr="0057545E">
        <w:rPr>
          <w:rFonts w:cs="Arial"/>
          <w:b/>
          <w:szCs w:val="22"/>
          <w:lang w:val="en-GB"/>
        </w:rPr>
        <w:t xml:space="preserve">Project Document </w:t>
      </w:r>
      <w:r w:rsidRPr="0057545E">
        <w:rPr>
          <w:rFonts w:cs="Arial"/>
          <w:b/>
          <w:szCs w:val="22"/>
          <w:lang w:val="en-GB"/>
        </w:rPr>
        <w:t xml:space="preserve">template </w:t>
      </w:r>
      <w:r w:rsidR="001754B1" w:rsidRPr="0057545E">
        <w:rPr>
          <w:rFonts w:cs="Arial"/>
          <w:b/>
          <w:szCs w:val="22"/>
          <w:lang w:val="en-GB"/>
        </w:rPr>
        <w:t xml:space="preserve">for nationally </w:t>
      </w:r>
      <w:r w:rsidR="009E44C7" w:rsidRPr="0057545E">
        <w:rPr>
          <w:rFonts w:cs="Arial"/>
          <w:b/>
          <w:szCs w:val="22"/>
          <w:lang w:val="en-GB"/>
        </w:rPr>
        <w:t>implemented</w:t>
      </w:r>
      <w:r w:rsidR="001754B1" w:rsidRPr="0057545E">
        <w:rPr>
          <w:rFonts w:cs="Arial"/>
          <w:b/>
          <w:szCs w:val="22"/>
          <w:lang w:val="en-GB"/>
        </w:rPr>
        <w:t xml:space="preserve"> </w:t>
      </w:r>
      <w:r w:rsidR="000B3D4F" w:rsidRPr="0057545E">
        <w:rPr>
          <w:rFonts w:cs="Arial"/>
          <w:b/>
          <w:szCs w:val="22"/>
          <w:lang w:val="en-GB"/>
        </w:rPr>
        <w:t>projects</w:t>
      </w:r>
    </w:p>
    <w:p w:rsidR="000230A3" w:rsidRPr="0057545E" w:rsidRDefault="000B3D4F" w:rsidP="00231A45">
      <w:pPr>
        <w:spacing w:after="0"/>
        <w:jc w:val="center"/>
        <w:rPr>
          <w:rFonts w:cs="Arial"/>
          <w:b/>
          <w:szCs w:val="22"/>
          <w:lang w:val="en-GB"/>
        </w:rPr>
      </w:pPr>
      <w:r w:rsidRPr="0057545E">
        <w:rPr>
          <w:rFonts w:cs="Arial"/>
          <w:b/>
          <w:szCs w:val="22"/>
          <w:lang w:val="en-GB"/>
        </w:rPr>
        <w:t xml:space="preserve">financed by the </w:t>
      </w:r>
      <w:r w:rsidR="00E3519C" w:rsidRPr="0057545E">
        <w:rPr>
          <w:rFonts w:cs="Arial"/>
          <w:b/>
          <w:szCs w:val="22"/>
          <w:lang w:val="en-GB"/>
        </w:rPr>
        <w:t>GEF</w:t>
      </w:r>
      <w:r w:rsidR="00E23395" w:rsidRPr="0057545E">
        <w:rPr>
          <w:rFonts w:cs="Arial"/>
          <w:b/>
          <w:szCs w:val="22"/>
          <w:lang w:val="en-GB"/>
        </w:rPr>
        <w:t>/</w:t>
      </w:r>
      <w:r w:rsidR="00DF11B5" w:rsidRPr="0057545E">
        <w:rPr>
          <w:rFonts w:cs="Arial"/>
          <w:b/>
          <w:szCs w:val="22"/>
          <w:lang w:val="en-GB"/>
        </w:rPr>
        <w:t>LDCF</w:t>
      </w:r>
      <w:r w:rsidR="00E23395" w:rsidRPr="0057545E">
        <w:rPr>
          <w:rFonts w:cs="Arial"/>
          <w:b/>
          <w:szCs w:val="22"/>
          <w:lang w:val="en-GB"/>
        </w:rPr>
        <w:t>/</w:t>
      </w:r>
      <w:r w:rsidR="00DF11B5" w:rsidRPr="0057545E">
        <w:rPr>
          <w:rFonts w:cs="Arial"/>
          <w:b/>
          <w:szCs w:val="22"/>
          <w:lang w:val="en-GB"/>
        </w:rPr>
        <w:t>SCCF Trust Funds</w:t>
      </w:r>
    </w:p>
    <w:p w:rsidR="00DF11B5" w:rsidRPr="0057545E" w:rsidRDefault="00DF11B5" w:rsidP="000B3D4F">
      <w:pPr>
        <w:spacing w:after="0"/>
        <w:jc w:val="left"/>
        <w:rPr>
          <w:rFonts w:cs="Arial"/>
          <w:b/>
          <w:i/>
          <w:szCs w:val="20"/>
          <w:lang w:val="en-GB"/>
        </w:rPr>
      </w:pPr>
    </w:p>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88"/>
        <w:gridCol w:w="1082"/>
        <w:gridCol w:w="360"/>
        <w:gridCol w:w="3774"/>
        <w:gridCol w:w="29"/>
      </w:tblGrid>
      <w:tr w:rsidR="00B270EB" w:rsidRPr="0057545E" w:rsidTr="00667F38">
        <w:trPr>
          <w:gridAfter w:val="1"/>
          <w:wAfter w:w="29" w:type="dxa"/>
          <w:trHeight w:val="548"/>
        </w:trPr>
        <w:tc>
          <w:tcPr>
            <w:tcW w:w="9889" w:type="dxa"/>
            <w:gridSpan w:val="7"/>
            <w:shd w:val="clear" w:color="auto" w:fill="auto"/>
          </w:tcPr>
          <w:p w:rsidR="00670A9D" w:rsidRPr="0057545E" w:rsidRDefault="00235AE4" w:rsidP="00C73959">
            <w:pPr>
              <w:spacing w:after="0"/>
              <w:jc w:val="left"/>
              <w:rPr>
                <w:rFonts w:cs="Arial"/>
                <w:szCs w:val="20"/>
                <w:lang w:val="en-GB"/>
              </w:rPr>
            </w:pPr>
            <w:r w:rsidRPr="0057545E">
              <w:rPr>
                <w:rFonts w:cs="Arial"/>
                <w:szCs w:val="20"/>
                <w:lang w:val="en-GB"/>
              </w:rPr>
              <w:t xml:space="preserve">Project title:  </w:t>
            </w:r>
          </w:p>
          <w:p w:rsidR="00B270EB" w:rsidRPr="0057545E" w:rsidRDefault="00670A9D" w:rsidP="00C73959">
            <w:pPr>
              <w:spacing w:after="0"/>
              <w:jc w:val="left"/>
              <w:rPr>
                <w:rFonts w:cs="Arial"/>
                <w:b/>
                <w:szCs w:val="20"/>
                <w:lang w:val="en-GB"/>
              </w:rPr>
            </w:pPr>
            <w:bookmarkStart w:id="2" w:name="_Hlk496969645"/>
            <w:r w:rsidRPr="0057545E">
              <w:rPr>
                <w:rFonts w:cs="Arial"/>
                <w:b/>
                <w:szCs w:val="20"/>
                <w:lang w:val="en-GB"/>
              </w:rPr>
              <w:t xml:space="preserve">Leapfrogging South Africa’s markets to high-efficiency LED lighting and </w:t>
            </w:r>
            <w:r w:rsidRPr="0057545E">
              <w:rPr>
                <w:rFonts w:cs="Arial"/>
                <w:b/>
                <w:noProof/>
                <w:szCs w:val="20"/>
                <w:lang w:val="en-GB"/>
              </w:rPr>
              <w:t>high efficiency</w:t>
            </w:r>
            <w:r w:rsidRPr="0057545E">
              <w:rPr>
                <w:rFonts w:cs="Arial"/>
                <w:b/>
                <w:szCs w:val="20"/>
                <w:lang w:val="en-GB"/>
              </w:rPr>
              <w:t xml:space="preserve"> distribution transformers</w:t>
            </w:r>
            <w:bookmarkEnd w:id="2"/>
          </w:p>
        </w:tc>
      </w:tr>
      <w:tr w:rsidR="0077088A" w:rsidRPr="00681A8A" w:rsidTr="00667F38">
        <w:trPr>
          <w:gridAfter w:val="1"/>
          <w:wAfter w:w="29" w:type="dxa"/>
        </w:trPr>
        <w:tc>
          <w:tcPr>
            <w:tcW w:w="2509" w:type="dxa"/>
            <w:shd w:val="clear" w:color="auto" w:fill="auto"/>
          </w:tcPr>
          <w:p w:rsidR="0077088A" w:rsidRPr="0057545E" w:rsidRDefault="0077088A" w:rsidP="00C73959">
            <w:pPr>
              <w:spacing w:after="0"/>
              <w:jc w:val="left"/>
              <w:rPr>
                <w:rFonts w:cs="Arial"/>
                <w:b/>
                <w:szCs w:val="20"/>
                <w:lang w:val="en-GB"/>
              </w:rPr>
            </w:pPr>
            <w:r w:rsidRPr="0057545E">
              <w:rPr>
                <w:rFonts w:cs="Arial"/>
                <w:b/>
                <w:szCs w:val="20"/>
                <w:lang w:val="en-GB"/>
              </w:rPr>
              <w:t xml:space="preserve">Country:  </w:t>
            </w:r>
          </w:p>
          <w:p w:rsidR="00C73959" w:rsidRPr="003B7D62" w:rsidRDefault="00C73959" w:rsidP="00C73959">
            <w:pPr>
              <w:spacing w:after="0"/>
              <w:jc w:val="left"/>
              <w:rPr>
                <w:rFonts w:cs="Arial"/>
                <w:szCs w:val="20"/>
                <w:lang w:val="en-GB"/>
              </w:rPr>
            </w:pPr>
            <w:r w:rsidRPr="00353542">
              <w:rPr>
                <w:rFonts w:cs="Arial"/>
                <w:szCs w:val="20"/>
                <w:lang w:val="en-GB"/>
              </w:rPr>
              <w:t>South Africa</w:t>
            </w:r>
          </w:p>
        </w:tc>
        <w:tc>
          <w:tcPr>
            <w:tcW w:w="3606" w:type="dxa"/>
            <w:gridSpan w:val="5"/>
            <w:shd w:val="clear" w:color="auto" w:fill="auto"/>
          </w:tcPr>
          <w:p w:rsidR="00C73959" w:rsidRPr="00666B27" w:rsidRDefault="0077088A" w:rsidP="00C73959">
            <w:pPr>
              <w:spacing w:after="0"/>
              <w:jc w:val="left"/>
              <w:rPr>
                <w:rFonts w:cs="Arial"/>
                <w:b/>
                <w:szCs w:val="20"/>
                <w:lang w:val="en-GB"/>
              </w:rPr>
            </w:pPr>
            <w:r w:rsidRPr="004722F0">
              <w:rPr>
                <w:rFonts w:cs="Arial"/>
                <w:b/>
                <w:szCs w:val="20"/>
                <w:lang w:val="en-GB"/>
              </w:rPr>
              <w:t xml:space="preserve">Implementing Partner:  </w:t>
            </w:r>
          </w:p>
          <w:p w:rsidR="0077088A" w:rsidRPr="00666B27" w:rsidRDefault="0077088A" w:rsidP="00C73959">
            <w:pPr>
              <w:spacing w:after="0"/>
              <w:jc w:val="left"/>
              <w:rPr>
                <w:rFonts w:cs="Arial"/>
                <w:b/>
                <w:szCs w:val="20"/>
                <w:lang w:val="en-GB"/>
              </w:rPr>
            </w:pPr>
            <w:r w:rsidRPr="00666B27">
              <w:rPr>
                <w:rFonts w:cs="Arial"/>
                <w:i/>
                <w:szCs w:val="20"/>
                <w:lang w:val="en-GB"/>
              </w:rPr>
              <w:t xml:space="preserve"> </w:t>
            </w:r>
            <w:r w:rsidR="00C73959" w:rsidRPr="00666B27">
              <w:rPr>
                <w:rFonts w:cs="Arial"/>
                <w:szCs w:val="20"/>
                <w:lang w:val="en-GB"/>
              </w:rPr>
              <w:t>Department of Energy</w:t>
            </w:r>
          </w:p>
        </w:tc>
        <w:tc>
          <w:tcPr>
            <w:tcW w:w="3774" w:type="dxa"/>
            <w:shd w:val="clear" w:color="auto" w:fill="auto"/>
          </w:tcPr>
          <w:p w:rsidR="0077088A" w:rsidRPr="00773D9D" w:rsidRDefault="00F81B41" w:rsidP="00C73959">
            <w:pPr>
              <w:spacing w:after="0"/>
              <w:jc w:val="left"/>
              <w:rPr>
                <w:rFonts w:cs="Arial"/>
                <w:i/>
                <w:szCs w:val="20"/>
                <w:lang w:val="fr-FR"/>
              </w:rPr>
            </w:pPr>
            <w:r w:rsidRPr="00773D9D">
              <w:rPr>
                <w:rFonts w:cs="Arial"/>
                <w:b/>
                <w:szCs w:val="20"/>
                <w:lang w:val="fr-FR"/>
              </w:rPr>
              <w:t xml:space="preserve">Management </w:t>
            </w:r>
            <w:proofErr w:type="gramStart"/>
            <w:r w:rsidR="00981C37" w:rsidRPr="00773D9D">
              <w:rPr>
                <w:rFonts w:cs="Arial"/>
                <w:b/>
                <w:szCs w:val="20"/>
                <w:lang w:val="fr-FR"/>
              </w:rPr>
              <w:t>Arrangement:</w:t>
            </w:r>
            <w:proofErr w:type="gramEnd"/>
            <w:r w:rsidRPr="00773D9D">
              <w:rPr>
                <w:rFonts w:cs="Arial"/>
                <w:b/>
                <w:szCs w:val="20"/>
                <w:lang w:val="fr-FR"/>
              </w:rPr>
              <w:t xml:space="preserve"> </w:t>
            </w:r>
            <w:r w:rsidR="0077088A" w:rsidRPr="00773D9D">
              <w:rPr>
                <w:rFonts w:cs="Arial"/>
                <w:szCs w:val="20"/>
                <w:lang w:val="fr-FR"/>
              </w:rPr>
              <w:t xml:space="preserve">National </w:t>
            </w:r>
            <w:proofErr w:type="spellStart"/>
            <w:r w:rsidR="0077088A" w:rsidRPr="00773D9D">
              <w:rPr>
                <w:rFonts w:cs="Arial"/>
                <w:szCs w:val="20"/>
                <w:lang w:val="fr-FR"/>
              </w:rPr>
              <w:t>Implementation</w:t>
            </w:r>
            <w:proofErr w:type="spellEnd"/>
            <w:r w:rsidR="0077088A" w:rsidRPr="00773D9D">
              <w:rPr>
                <w:rFonts w:cs="Arial"/>
                <w:szCs w:val="20"/>
                <w:lang w:val="fr-FR"/>
              </w:rPr>
              <w:t xml:space="preserve"> </w:t>
            </w:r>
            <w:proofErr w:type="spellStart"/>
            <w:r w:rsidR="0077088A" w:rsidRPr="00773D9D">
              <w:rPr>
                <w:rFonts w:cs="Arial"/>
                <w:szCs w:val="20"/>
                <w:lang w:val="fr-FR"/>
              </w:rPr>
              <w:t>Modality</w:t>
            </w:r>
            <w:proofErr w:type="spellEnd"/>
            <w:r w:rsidR="0077088A" w:rsidRPr="00773D9D">
              <w:rPr>
                <w:rFonts w:cs="Arial"/>
                <w:szCs w:val="20"/>
                <w:lang w:val="fr-FR"/>
              </w:rPr>
              <w:t xml:space="preserve"> (NIM)</w:t>
            </w:r>
            <w:r w:rsidR="0077088A" w:rsidRPr="00773D9D">
              <w:rPr>
                <w:rFonts w:cs="Arial"/>
                <w:i/>
                <w:szCs w:val="20"/>
                <w:lang w:val="fr-FR"/>
              </w:rPr>
              <w:t xml:space="preserve"> </w:t>
            </w:r>
          </w:p>
        </w:tc>
      </w:tr>
      <w:tr w:rsidR="0077088A" w:rsidRPr="0057545E" w:rsidTr="00667F38">
        <w:trPr>
          <w:gridAfter w:val="1"/>
          <w:wAfter w:w="29" w:type="dxa"/>
        </w:trPr>
        <w:tc>
          <w:tcPr>
            <w:tcW w:w="9889" w:type="dxa"/>
            <w:gridSpan w:val="7"/>
            <w:shd w:val="clear" w:color="auto" w:fill="auto"/>
          </w:tcPr>
          <w:p w:rsidR="0077088A" w:rsidRPr="008E26A0" w:rsidRDefault="0077088A" w:rsidP="00C73959">
            <w:pPr>
              <w:spacing w:after="0"/>
              <w:jc w:val="left"/>
              <w:rPr>
                <w:rFonts w:cs="Arial"/>
                <w:b/>
                <w:szCs w:val="20"/>
                <w:lang w:val="en-GB"/>
              </w:rPr>
            </w:pPr>
            <w:r w:rsidRPr="0057545E">
              <w:rPr>
                <w:rFonts w:cs="Arial"/>
                <w:b/>
                <w:szCs w:val="20"/>
                <w:lang w:val="en-GB"/>
              </w:rPr>
              <w:t>UNDAF/Country Programme Outcome</w:t>
            </w:r>
            <w:r w:rsidRPr="0057545E">
              <w:rPr>
                <w:rFonts w:cs="Arial"/>
                <w:i/>
                <w:szCs w:val="20"/>
                <w:lang w:val="en-GB"/>
              </w:rPr>
              <w:t xml:space="preserve">: </w:t>
            </w:r>
            <w:r w:rsidR="002957FC" w:rsidRPr="00353542">
              <w:rPr>
                <w:rFonts w:cs="Arial"/>
                <w:i/>
                <w:szCs w:val="20"/>
                <w:lang w:val="en-GB"/>
              </w:rPr>
              <w:t>Increase in the number of sustainable ‘green jobs’ cr</w:t>
            </w:r>
            <w:r w:rsidR="002957FC" w:rsidRPr="003B7D62">
              <w:rPr>
                <w:rFonts w:cs="Arial"/>
                <w:i/>
                <w:szCs w:val="20"/>
                <w:lang w:val="en-GB"/>
              </w:rPr>
              <w:t>eated in the economy; Stabilisation and reduction of carbon emissions and climate change mitigation and adaptation strategies fully operational</w:t>
            </w:r>
          </w:p>
        </w:tc>
      </w:tr>
      <w:tr w:rsidR="00AE7EF6" w:rsidRPr="0057545E" w:rsidTr="00667F38">
        <w:trPr>
          <w:gridAfter w:val="1"/>
          <w:wAfter w:w="29" w:type="dxa"/>
        </w:trPr>
        <w:tc>
          <w:tcPr>
            <w:tcW w:w="9889" w:type="dxa"/>
            <w:gridSpan w:val="7"/>
            <w:shd w:val="clear" w:color="auto" w:fill="auto"/>
          </w:tcPr>
          <w:p w:rsidR="00AE7EF6" w:rsidRPr="00353542" w:rsidRDefault="00AE7EF6" w:rsidP="00C73959">
            <w:pPr>
              <w:spacing w:after="0"/>
              <w:rPr>
                <w:rFonts w:cs="Arial"/>
                <w:b/>
                <w:szCs w:val="20"/>
                <w:lang w:val="en-GB"/>
              </w:rPr>
            </w:pPr>
            <w:r w:rsidRPr="0057545E">
              <w:rPr>
                <w:rFonts w:cs="Arial"/>
                <w:b/>
                <w:szCs w:val="20"/>
                <w:lang w:val="en-GB"/>
              </w:rPr>
              <w:t xml:space="preserve">UNDP Strategic Plan Output: </w:t>
            </w:r>
            <w:r w:rsidR="00042C8A" w:rsidRPr="0057545E">
              <w:rPr>
                <w:rFonts w:cs="Arial"/>
                <w:i/>
                <w:szCs w:val="20"/>
                <w:lang w:val="en-GB"/>
              </w:rPr>
              <w:t>Inclusive and sustainable solutions adopted to achieve increased energy efficiency</w:t>
            </w:r>
          </w:p>
        </w:tc>
      </w:tr>
      <w:tr w:rsidR="0077088A" w:rsidRPr="0057545E" w:rsidTr="00667F38">
        <w:trPr>
          <w:gridAfter w:val="1"/>
          <w:wAfter w:w="29" w:type="dxa"/>
          <w:trHeight w:val="554"/>
        </w:trPr>
        <w:tc>
          <w:tcPr>
            <w:tcW w:w="4585" w:type="dxa"/>
            <w:gridSpan w:val="3"/>
            <w:shd w:val="clear" w:color="auto" w:fill="auto"/>
          </w:tcPr>
          <w:p w:rsidR="0077088A" w:rsidRPr="003B7D62" w:rsidRDefault="0077088A" w:rsidP="00C73959">
            <w:pPr>
              <w:spacing w:after="0"/>
              <w:jc w:val="left"/>
              <w:rPr>
                <w:rFonts w:cs="Arial"/>
                <w:i/>
                <w:szCs w:val="20"/>
                <w:lang w:val="en-GB"/>
              </w:rPr>
            </w:pPr>
            <w:r w:rsidRPr="0057545E">
              <w:rPr>
                <w:rFonts w:cs="Arial"/>
                <w:b/>
                <w:szCs w:val="20"/>
                <w:lang w:val="en-GB"/>
              </w:rPr>
              <w:t xml:space="preserve">UNDP Social and Environmental Screening Category:  </w:t>
            </w:r>
            <w:r w:rsidR="002957FC" w:rsidRPr="00353542">
              <w:rPr>
                <w:rFonts w:cs="Arial"/>
                <w:szCs w:val="20"/>
                <w:lang w:val="en-GB"/>
              </w:rPr>
              <w:t>Low risk</w:t>
            </w:r>
          </w:p>
        </w:tc>
        <w:tc>
          <w:tcPr>
            <w:tcW w:w="5304" w:type="dxa"/>
            <w:gridSpan w:val="4"/>
            <w:shd w:val="clear" w:color="auto" w:fill="auto"/>
          </w:tcPr>
          <w:p w:rsidR="003E0CDB" w:rsidRPr="00666B27" w:rsidRDefault="0077088A" w:rsidP="00C73959">
            <w:pPr>
              <w:spacing w:after="0"/>
              <w:jc w:val="left"/>
              <w:rPr>
                <w:rFonts w:cs="Arial"/>
                <w:b/>
                <w:szCs w:val="20"/>
                <w:lang w:val="en-GB"/>
              </w:rPr>
            </w:pPr>
            <w:r w:rsidRPr="004722F0">
              <w:rPr>
                <w:rFonts w:cs="Arial"/>
                <w:b/>
                <w:szCs w:val="20"/>
                <w:lang w:val="en-GB"/>
              </w:rPr>
              <w:t xml:space="preserve">UNDP Gender Marker: </w:t>
            </w:r>
            <w:r w:rsidR="002957FC" w:rsidRPr="00666B27">
              <w:rPr>
                <w:rFonts w:cs="Arial"/>
                <w:b/>
                <w:szCs w:val="20"/>
                <w:lang w:val="en-GB"/>
              </w:rPr>
              <w:t xml:space="preserve">   </w:t>
            </w:r>
          </w:p>
          <w:p w:rsidR="00DD0EE8" w:rsidRPr="00666B27" w:rsidRDefault="00DD0EE8" w:rsidP="00C73959">
            <w:pPr>
              <w:spacing w:after="0"/>
              <w:jc w:val="left"/>
              <w:rPr>
                <w:i/>
                <w:lang w:val="en-GB"/>
              </w:rPr>
            </w:pPr>
            <w:r w:rsidRPr="00666B27">
              <w:rPr>
                <w:rFonts w:cs="Arial"/>
                <w:szCs w:val="20"/>
                <w:lang w:val="en-GB"/>
              </w:rPr>
              <w:t>GEN1</w:t>
            </w:r>
          </w:p>
        </w:tc>
      </w:tr>
      <w:tr w:rsidR="0077088A" w:rsidRPr="0057545E" w:rsidTr="00667F38">
        <w:trPr>
          <w:gridAfter w:val="1"/>
          <w:wAfter w:w="29" w:type="dxa"/>
        </w:trPr>
        <w:tc>
          <w:tcPr>
            <w:tcW w:w="4585" w:type="dxa"/>
            <w:gridSpan w:val="3"/>
            <w:shd w:val="clear" w:color="auto" w:fill="auto"/>
          </w:tcPr>
          <w:p w:rsidR="0053772A" w:rsidRPr="00666B27" w:rsidRDefault="0077088A" w:rsidP="00C73959">
            <w:pPr>
              <w:spacing w:after="0"/>
              <w:jc w:val="left"/>
              <w:rPr>
                <w:rFonts w:cs="Arial"/>
                <w:szCs w:val="20"/>
                <w:lang w:val="en-GB" w:eastAsia="zh-CN"/>
              </w:rPr>
            </w:pPr>
            <w:r w:rsidRPr="0057545E">
              <w:rPr>
                <w:rFonts w:cs="Arial"/>
                <w:b/>
                <w:szCs w:val="20"/>
                <w:lang w:val="en-GB"/>
              </w:rPr>
              <w:t xml:space="preserve">Atlas </w:t>
            </w:r>
            <w:r w:rsidRPr="0057545E">
              <w:rPr>
                <w:rFonts w:cs="Arial"/>
                <w:b/>
                <w:szCs w:val="20"/>
                <w:lang w:val="en-GB" w:eastAsia="zh-CN"/>
              </w:rPr>
              <w:t>Pro</w:t>
            </w:r>
            <w:r w:rsidR="00133018" w:rsidRPr="00353542">
              <w:rPr>
                <w:rFonts w:cs="Arial"/>
                <w:b/>
                <w:szCs w:val="20"/>
                <w:lang w:val="en-GB" w:eastAsia="zh-CN"/>
              </w:rPr>
              <w:t>ject ID</w:t>
            </w:r>
            <w:r w:rsidR="0053772A" w:rsidRPr="003B7D62">
              <w:rPr>
                <w:rFonts w:cs="Arial"/>
                <w:b/>
                <w:szCs w:val="20"/>
                <w:lang w:val="en-GB" w:eastAsia="zh-CN"/>
              </w:rPr>
              <w:t xml:space="preserve"> (formerly </w:t>
            </w:r>
            <w:r w:rsidRPr="008E26A0">
              <w:rPr>
                <w:rFonts w:cs="Arial"/>
                <w:b/>
                <w:szCs w:val="20"/>
                <w:lang w:val="en-GB"/>
              </w:rPr>
              <w:t>Award ID</w:t>
            </w:r>
            <w:r w:rsidR="0053772A" w:rsidRPr="008E26A0">
              <w:rPr>
                <w:rFonts w:cs="Arial"/>
                <w:b/>
                <w:szCs w:val="20"/>
                <w:lang w:val="en-GB"/>
              </w:rPr>
              <w:t>):</w:t>
            </w:r>
            <w:r w:rsidRPr="004722F0">
              <w:rPr>
                <w:rFonts w:cs="Arial"/>
                <w:b/>
                <w:szCs w:val="20"/>
                <w:lang w:val="en-GB"/>
              </w:rPr>
              <w:t xml:space="preserve">  </w:t>
            </w:r>
            <w:r w:rsidR="00A25AD6" w:rsidRPr="00666B27">
              <w:rPr>
                <w:rFonts w:cs="Arial"/>
                <w:szCs w:val="20"/>
                <w:lang w:val="en-GB"/>
              </w:rPr>
              <w:t>00100653</w:t>
            </w:r>
          </w:p>
        </w:tc>
        <w:tc>
          <w:tcPr>
            <w:tcW w:w="5304" w:type="dxa"/>
            <w:gridSpan w:val="4"/>
            <w:shd w:val="clear" w:color="auto" w:fill="auto"/>
          </w:tcPr>
          <w:p w:rsidR="0077088A" w:rsidRPr="00666B27" w:rsidRDefault="0077088A" w:rsidP="00C73959">
            <w:pPr>
              <w:spacing w:after="0"/>
              <w:jc w:val="left"/>
              <w:rPr>
                <w:rFonts w:cs="Arial"/>
                <w:szCs w:val="20"/>
                <w:lang w:val="en-GB"/>
              </w:rPr>
            </w:pPr>
            <w:r w:rsidRPr="00666B27">
              <w:rPr>
                <w:rFonts w:cs="Arial"/>
                <w:b/>
                <w:szCs w:val="20"/>
                <w:lang w:val="en-GB"/>
              </w:rPr>
              <w:t xml:space="preserve">Atlas </w:t>
            </w:r>
            <w:r w:rsidR="00133018" w:rsidRPr="00666B27">
              <w:rPr>
                <w:rFonts w:cs="Arial"/>
                <w:b/>
                <w:szCs w:val="20"/>
                <w:lang w:val="en-GB"/>
              </w:rPr>
              <w:t>O</w:t>
            </w:r>
            <w:r w:rsidRPr="00666B27">
              <w:rPr>
                <w:rFonts w:cs="Arial"/>
                <w:b/>
                <w:szCs w:val="20"/>
                <w:lang w:val="en-GB" w:eastAsia="zh-CN"/>
              </w:rPr>
              <w:t>utput</w:t>
            </w:r>
            <w:r w:rsidR="00133018" w:rsidRPr="00666B27">
              <w:rPr>
                <w:rFonts w:cs="Arial"/>
                <w:b/>
                <w:szCs w:val="20"/>
                <w:lang w:val="en-GB" w:eastAsia="zh-CN"/>
              </w:rPr>
              <w:t xml:space="preserve"> ID</w:t>
            </w:r>
            <w:r w:rsidR="0053772A" w:rsidRPr="00666B27">
              <w:rPr>
                <w:rFonts w:cs="Arial"/>
                <w:b/>
                <w:szCs w:val="20"/>
                <w:lang w:val="en-GB" w:eastAsia="zh-CN"/>
              </w:rPr>
              <w:t xml:space="preserve"> (formerly P</w:t>
            </w:r>
            <w:r w:rsidRPr="00666B27">
              <w:rPr>
                <w:rFonts w:cs="Arial"/>
                <w:b/>
                <w:szCs w:val="20"/>
                <w:lang w:val="en-GB"/>
              </w:rPr>
              <w:t>roject ID</w:t>
            </w:r>
            <w:r w:rsidR="0053772A" w:rsidRPr="00666B27">
              <w:rPr>
                <w:rFonts w:cs="Arial"/>
                <w:b/>
                <w:szCs w:val="20"/>
                <w:lang w:val="en-GB"/>
              </w:rPr>
              <w:t>)</w:t>
            </w:r>
            <w:r w:rsidRPr="00666B27">
              <w:rPr>
                <w:rFonts w:cs="Arial"/>
                <w:b/>
                <w:szCs w:val="20"/>
                <w:lang w:val="en-GB"/>
              </w:rPr>
              <w:t xml:space="preserve">:  </w:t>
            </w:r>
            <w:r w:rsidR="00A25AD6" w:rsidRPr="00666B27">
              <w:rPr>
                <w:rFonts w:cs="Arial"/>
                <w:szCs w:val="20"/>
                <w:lang w:val="en-GB"/>
              </w:rPr>
              <w:t>00096730</w:t>
            </w:r>
          </w:p>
        </w:tc>
      </w:tr>
      <w:tr w:rsidR="0077088A" w:rsidRPr="0057545E" w:rsidTr="00667F38">
        <w:trPr>
          <w:gridAfter w:val="1"/>
          <w:wAfter w:w="29" w:type="dxa"/>
        </w:trPr>
        <w:tc>
          <w:tcPr>
            <w:tcW w:w="4585" w:type="dxa"/>
            <w:gridSpan w:val="3"/>
            <w:shd w:val="clear" w:color="auto" w:fill="auto"/>
          </w:tcPr>
          <w:p w:rsidR="0077088A" w:rsidRPr="008E26A0" w:rsidRDefault="0077088A" w:rsidP="00C73959">
            <w:pPr>
              <w:spacing w:after="0"/>
              <w:jc w:val="left"/>
              <w:rPr>
                <w:rFonts w:cs="Arial"/>
                <w:b/>
                <w:szCs w:val="20"/>
                <w:lang w:val="en-GB"/>
              </w:rPr>
            </w:pPr>
            <w:r w:rsidRPr="0057545E">
              <w:rPr>
                <w:rFonts w:cs="Arial"/>
                <w:b/>
                <w:szCs w:val="20"/>
                <w:lang w:val="en-GB"/>
              </w:rPr>
              <w:t>UNDP-GEF PIMS ID</w:t>
            </w:r>
            <w:r w:rsidR="0089430E" w:rsidRPr="0057545E">
              <w:rPr>
                <w:rFonts w:cs="Arial"/>
                <w:b/>
                <w:szCs w:val="20"/>
                <w:lang w:val="en-GB"/>
              </w:rPr>
              <w:t xml:space="preserve"> number</w:t>
            </w:r>
            <w:r w:rsidRPr="00353542">
              <w:rPr>
                <w:rFonts w:cs="Arial"/>
                <w:b/>
                <w:szCs w:val="20"/>
                <w:lang w:val="en-GB"/>
              </w:rPr>
              <w:t xml:space="preserve">:  </w:t>
            </w:r>
            <w:r w:rsidR="00A25AD6" w:rsidRPr="003B7D62">
              <w:rPr>
                <w:rFonts w:cs="Arial"/>
                <w:b/>
                <w:szCs w:val="20"/>
                <w:lang w:val="en-GB"/>
              </w:rPr>
              <w:t>5</w:t>
            </w:r>
            <w:r w:rsidR="00A25AD6" w:rsidRPr="008E26A0">
              <w:rPr>
                <w:rFonts w:cs="Arial"/>
                <w:szCs w:val="20"/>
                <w:lang w:val="en-GB"/>
              </w:rPr>
              <w:t>728</w:t>
            </w:r>
          </w:p>
        </w:tc>
        <w:tc>
          <w:tcPr>
            <w:tcW w:w="5304" w:type="dxa"/>
            <w:gridSpan w:val="4"/>
            <w:shd w:val="clear" w:color="auto" w:fill="auto"/>
          </w:tcPr>
          <w:p w:rsidR="0077088A" w:rsidRPr="00666B27" w:rsidRDefault="0077088A" w:rsidP="00C73959">
            <w:pPr>
              <w:spacing w:after="0"/>
              <w:jc w:val="left"/>
              <w:rPr>
                <w:rFonts w:cs="Arial"/>
                <w:szCs w:val="20"/>
                <w:lang w:val="en-GB"/>
              </w:rPr>
            </w:pPr>
            <w:r w:rsidRPr="004722F0">
              <w:rPr>
                <w:rFonts w:cs="Arial"/>
                <w:b/>
                <w:szCs w:val="20"/>
                <w:lang w:val="en-GB"/>
              </w:rPr>
              <w:t>GEF ID</w:t>
            </w:r>
            <w:r w:rsidR="0089430E" w:rsidRPr="00666B27">
              <w:rPr>
                <w:rFonts w:cs="Arial"/>
                <w:b/>
                <w:szCs w:val="20"/>
                <w:lang w:val="en-GB"/>
              </w:rPr>
              <w:t xml:space="preserve"> number</w:t>
            </w:r>
            <w:r w:rsidRPr="00666B27">
              <w:rPr>
                <w:rFonts w:cs="Arial"/>
                <w:b/>
                <w:szCs w:val="20"/>
                <w:lang w:val="en-GB"/>
              </w:rPr>
              <w:t>:</w:t>
            </w:r>
            <w:r w:rsidR="00A25AD6" w:rsidRPr="00666B27">
              <w:rPr>
                <w:rFonts w:cs="Arial"/>
                <w:b/>
                <w:szCs w:val="20"/>
                <w:lang w:val="en-GB"/>
              </w:rPr>
              <w:t xml:space="preserve"> </w:t>
            </w:r>
            <w:r w:rsidR="00A25AD6" w:rsidRPr="00666B27">
              <w:rPr>
                <w:rFonts w:cs="Arial"/>
                <w:szCs w:val="20"/>
                <w:lang w:val="en-GB"/>
              </w:rPr>
              <w:t>9083</w:t>
            </w:r>
          </w:p>
        </w:tc>
      </w:tr>
      <w:tr w:rsidR="0077088A" w:rsidRPr="0057545E" w:rsidTr="00667F38">
        <w:trPr>
          <w:gridAfter w:val="1"/>
          <w:wAfter w:w="29" w:type="dxa"/>
          <w:trHeight w:val="315"/>
        </w:trPr>
        <w:tc>
          <w:tcPr>
            <w:tcW w:w="4585" w:type="dxa"/>
            <w:gridSpan w:val="3"/>
            <w:shd w:val="clear" w:color="auto" w:fill="auto"/>
          </w:tcPr>
          <w:p w:rsidR="0077088A" w:rsidRPr="003B7D62" w:rsidRDefault="0077088A" w:rsidP="00C73959">
            <w:pPr>
              <w:spacing w:after="0"/>
              <w:jc w:val="left"/>
              <w:rPr>
                <w:rFonts w:cs="Arial"/>
                <w:szCs w:val="20"/>
                <w:lang w:val="en-GB"/>
              </w:rPr>
            </w:pPr>
            <w:r w:rsidRPr="0057545E">
              <w:rPr>
                <w:rFonts w:cs="Arial"/>
                <w:b/>
                <w:szCs w:val="20"/>
                <w:lang w:val="en-GB"/>
              </w:rPr>
              <w:t xml:space="preserve">Planned start date: </w:t>
            </w:r>
            <w:r w:rsidR="00456A0E" w:rsidRPr="0057545E">
              <w:rPr>
                <w:rFonts w:cs="Arial"/>
                <w:szCs w:val="20"/>
                <w:lang w:val="en-GB"/>
              </w:rPr>
              <w:t>July</w:t>
            </w:r>
            <w:r w:rsidR="00364485" w:rsidRPr="00353542">
              <w:rPr>
                <w:rFonts w:cs="Arial"/>
                <w:szCs w:val="20"/>
                <w:lang w:val="en-GB"/>
              </w:rPr>
              <w:t xml:space="preserve"> 2019</w:t>
            </w:r>
          </w:p>
        </w:tc>
        <w:tc>
          <w:tcPr>
            <w:tcW w:w="5304" w:type="dxa"/>
            <w:gridSpan w:val="4"/>
            <w:shd w:val="clear" w:color="auto" w:fill="auto"/>
          </w:tcPr>
          <w:p w:rsidR="0077088A" w:rsidRPr="00666B27" w:rsidRDefault="0077088A" w:rsidP="00C73959">
            <w:pPr>
              <w:spacing w:after="0"/>
              <w:jc w:val="left"/>
              <w:rPr>
                <w:rFonts w:cs="Arial"/>
                <w:i/>
                <w:szCs w:val="20"/>
                <w:lang w:val="en-GB"/>
              </w:rPr>
            </w:pPr>
            <w:r w:rsidRPr="004722F0">
              <w:rPr>
                <w:rFonts w:cs="Arial"/>
                <w:b/>
                <w:szCs w:val="20"/>
                <w:lang w:val="en-GB"/>
              </w:rPr>
              <w:t xml:space="preserve">Planned end date:  </w:t>
            </w:r>
            <w:r w:rsidR="00364485" w:rsidRPr="00666B27">
              <w:rPr>
                <w:rFonts w:cs="Arial"/>
                <w:szCs w:val="20"/>
                <w:lang w:val="en-GB"/>
              </w:rPr>
              <w:t>June 2023</w:t>
            </w:r>
          </w:p>
        </w:tc>
      </w:tr>
      <w:tr w:rsidR="00133018" w:rsidRPr="0057545E" w:rsidTr="00667F38">
        <w:trPr>
          <w:gridAfter w:val="1"/>
          <w:wAfter w:w="29" w:type="dxa"/>
        </w:trPr>
        <w:tc>
          <w:tcPr>
            <w:tcW w:w="9889" w:type="dxa"/>
            <w:gridSpan w:val="7"/>
            <w:shd w:val="clear" w:color="auto" w:fill="auto"/>
          </w:tcPr>
          <w:p w:rsidR="00051A25" w:rsidRPr="008E26A0" w:rsidRDefault="00133018" w:rsidP="00C73959">
            <w:pPr>
              <w:spacing w:after="0"/>
              <w:jc w:val="left"/>
              <w:rPr>
                <w:rFonts w:cs="Segoe UI"/>
                <w:color w:val="0000FF"/>
                <w:szCs w:val="20"/>
                <w:u w:val="single"/>
                <w:lang w:val="en-GB"/>
              </w:rPr>
            </w:pPr>
            <w:r w:rsidRPr="0057545E">
              <w:rPr>
                <w:rFonts w:cs="Arial"/>
                <w:b/>
                <w:szCs w:val="20"/>
                <w:lang w:val="en-GB"/>
              </w:rPr>
              <w:t xml:space="preserve">PAC </w:t>
            </w:r>
            <w:r w:rsidR="00E55298" w:rsidRPr="0057545E">
              <w:rPr>
                <w:rFonts w:cs="Arial"/>
                <w:b/>
                <w:szCs w:val="20"/>
                <w:lang w:val="en-GB"/>
              </w:rPr>
              <w:t xml:space="preserve">meeting </w:t>
            </w:r>
            <w:r w:rsidRPr="00353542">
              <w:rPr>
                <w:rFonts w:cs="Arial"/>
                <w:b/>
                <w:szCs w:val="20"/>
                <w:lang w:val="en-GB"/>
              </w:rPr>
              <w:t xml:space="preserve">date: </w:t>
            </w:r>
            <w:r w:rsidR="002957FC" w:rsidRPr="003B7D62">
              <w:rPr>
                <w:rFonts w:cs="Arial"/>
                <w:i/>
                <w:szCs w:val="20"/>
                <w:lang w:val="en-GB"/>
              </w:rPr>
              <w:t>TBD</w:t>
            </w:r>
          </w:p>
        </w:tc>
      </w:tr>
      <w:tr w:rsidR="009E44C7" w:rsidRPr="0057545E" w:rsidTr="00667F38">
        <w:trPr>
          <w:gridAfter w:val="1"/>
          <w:wAfter w:w="29" w:type="dxa"/>
          <w:trHeight w:val="1125"/>
        </w:trPr>
        <w:tc>
          <w:tcPr>
            <w:tcW w:w="9889" w:type="dxa"/>
            <w:gridSpan w:val="7"/>
            <w:shd w:val="clear" w:color="auto" w:fill="auto"/>
          </w:tcPr>
          <w:p w:rsidR="009E44C7" w:rsidRPr="00353542" w:rsidRDefault="009E44C7" w:rsidP="00C73959">
            <w:pPr>
              <w:spacing w:after="0"/>
              <w:jc w:val="left"/>
              <w:rPr>
                <w:rFonts w:cs="Arial"/>
                <w:b/>
                <w:szCs w:val="20"/>
                <w:lang w:val="en-GB"/>
              </w:rPr>
            </w:pPr>
            <w:bookmarkStart w:id="3" w:name="_Hlk435072"/>
            <w:r w:rsidRPr="0057545E">
              <w:rPr>
                <w:rFonts w:cs="Arial"/>
                <w:b/>
                <w:szCs w:val="20"/>
                <w:lang w:val="en-GB"/>
              </w:rPr>
              <w:t>Brief project description:</w:t>
            </w:r>
            <w:r w:rsidR="0089430E" w:rsidRPr="0057545E">
              <w:rPr>
                <w:rFonts w:cs="Arial"/>
                <w:b/>
                <w:szCs w:val="20"/>
                <w:lang w:val="en-GB"/>
              </w:rPr>
              <w:t xml:space="preserve"> </w:t>
            </w:r>
          </w:p>
          <w:p w:rsidR="00667F38" w:rsidRPr="00666B27" w:rsidRDefault="00667F38" w:rsidP="00667F38">
            <w:pPr>
              <w:rPr>
                <w:noProof/>
                <w:szCs w:val="20"/>
                <w:lang w:val="en-GB"/>
              </w:rPr>
            </w:pPr>
            <w:r w:rsidRPr="003B7D62">
              <w:rPr>
                <w:noProof/>
                <w:szCs w:val="20"/>
                <w:lang w:val="en-GB"/>
              </w:rPr>
              <w:t xml:space="preserve">Electric appliances and </w:t>
            </w:r>
            <w:r w:rsidRPr="008E26A0">
              <w:rPr>
                <w:noProof/>
                <w:szCs w:val="20"/>
                <w:lang w:val="en-GB"/>
              </w:rPr>
              <w:t>equipment have become an essential part of the lives of practically all of South Africa. This</w:t>
            </w:r>
            <w:r w:rsidRPr="004722F0">
              <w:rPr>
                <w:noProof/>
                <w:szCs w:val="20"/>
                <w:lang w:val="en-GB"/>
              </w:rPr>
              <w:t xml:space="preserve"> includes lighting, </w:t>
            </w:r>
            <w:r w:rsidRPr="00666B27">
              <w:rPr>
                <w:noProof/>
                <w:szCs w:val="20"/>
                <w:lang w:val="en-GB"/>
              </w:rPr>
              <w:t>which is used in all sectors, residential, commercial-productive, and in street lighting.</w:t>
            </w:r>
            <w:r w:rsidRPr="006A68A3">
              <w:rPr>
                <w:lang w:val="en-GB"/>
              </w:rPr>
              <w:t xml:space="preserve"> </w:t>
            </w:r>
            <w:r w:rsidRPr="0057545E">
              <w:rPr>
                <w:noProof/>
                <w:szCs w:val="20"/>
                <w:lang w:val="en-GB"/>
              </w:rPr>
              <w:t xml:space="preserve">Outside of the home and buildings, </w:t>
            </w:r>
            <w:r w:rsidRPr="00353542">
              <w:rPr>
                <w:noProof/>
                <w:szCs w:val="20"/>
                <w:lang w:val="en-GB"/>
              </w:rPr>
              <w:t xml:space="preserve">transformers deployed </w:t>
            </w:r>
            <w:r w:rsidRPr="003B7D62">
              <w:rPr>
                <w:noProof/>
                <w:szCs w:val="20"/>
                <w:lang w:val="en-GB"/>
              </w:rPr>
              <w:t>in</w:t>
            </w:r>
            <w:r w:rsidRPr="008E26A0">
              <w:rPr>
                <w:noProof/>
                <w:szCs w:val="20"/>
                <w:lang w:val="en-GB"/>
              </w:rPr>
              <w:t xml:space="preserve"> Eskom’s and municipal e</w:t>
            </w:r>
            <w:r w:rsidRPr="004722F0">
              <w:rPr>
                <w:noProof/>
                <w:szCs w:val="20"/>
                <w:lang w:val="en-GB"/>
              </w:rPr>
              <w:t xml:space="preserve">lectric </w:t>
            </w:r>
            <w:r w:rsidRPr="00666B27">
              <w:rPr>
                <w:noProof/>
                <w:szCs w:val="20"/>
                <w:lang w:val="en-GB"/>
              </w:rPr>
              <w:t>distribution grids work around the country and around the clock. Large savings can be achieved through a global widespread shift from conventional lighting technologies like incandescent, halogen and fluorescent lamps to lighting products based on light-emitting diodes (LEDs). Regarding distribution transformers</w:t>
            </w:r>
            <w:r w:rsidRPr="006A68A3">
              <w:rPr>
                <w:lang w:val="en-GB"/>
              </w:rPr>
              <w:t xml:space="preserve"> </w:t>
            </w:r>
            <w:r w:rsidRPr="0057545E">
              <w:rPr>
                <w:noProof/>
                <w:szCs w:val="20"/>
                <w:lang w:val="en-GB"/>
              </w:rPr>
              <w:t>newer high-efficiency models are on the market</w:t>
            </w:r>
            <w:r w:rsidRPr="00353542">
              <w:rPr>
                <w:noProof/>
                <w:szCs w:val="20"/>
                <w:lang w:val="en-GB"/>
              </w:rPr>
              <w:t xml:space="preserve"> that have lower </w:t>
            </w:r>
            <w:r w:rsidRPr="003B7D62">
              <w:rPr>
                <w:noProof/>
                <w:szCs w:val="20"/>
                <w:lang w:val="en-GB"/>
              </w:rPr>
              <w:t>energy losses. However, the transition to an economy using high-efficiency ligh</w:t>
            </w:r>
            <w:r w:rsidRPr="008E26A0">
              <w:rPr>
                <w:noProof/>
                <w:szCs w:val="20"/>
                <w:lang w:val="en-GB"/>
              </w:rPr>
              <w:t>ting and distribution transformers is hindered by the p</w:t>
            </w:r>
            <w:r w:rsidRPr="004722F0">
              <w:rPr>
                <w:noProof/>
                <w:szCs w:val="20"/>
                <w:lang w:val="en-GB"/>
              </w:rPr>
              <w:t>ersistence of barriers and challenges that limit the market penetration of high-efficiency lighting</w:t>
            </w:r>
            <w:r w:rsidRPr="00666B27">
              <w:rPr>
                <w:noProof/>
                <w:szCs w:val="20"/>
                <w:lang w:val="en-GB"/>
              </w:rPr>
              <w:t xml:space="preserve"> and distribution transformers. </w:t>
            </w:r>
          </w:p>
          <w:p w:rsidR="00667F38" w:rsidRPr="00666B27" w:rsidRDefault="00667F38" w:rsidP="00667F38">
            <w:pPr>
              <w:rPr>
                <w:noProof/>
                <w:szCs w:val="20"/>
                <w:lang w:val="en-GB"/>
              </w:rPr>
            </w:pPr>
            <w:r w:rsidRPr="00666B27">
              <w:rPr>
                <w:noProof/>
                <w:szCs w:val="20"/>
                <w:lang w:val="en-GB"/>
              </w:rPr>
              <w:t>The Project aims to tackle these barriers by promoting an integrated approach, incl</w:t>
            </w:r>
            <w:r w:rsidR="0057545E" w:rsidRPr="00D202C2">
              <w:rPr>
                <w:noProof/>
                <w:szCs w:val="20"/>
                <w:lang w:val="en-GB"/>
              </w:rPr>
              <w:t>uding</w:t>
            </w:r>
            <w:r w:rsidRPr="00666B27">
              <w:rPr>
                <w:noProof/>
                <w:szCs w:val="20"/>
                <w:lang w:val="en-GB"/>
              </w:rPr>
              <w:t xml:space="preserve"> appropriate regulatrory-legal instruments, such as mandatory minimum energy performance standards for LED and other lamps and distribution transformers, supplemented by energy and informative labelling for lighting products, including the administration of an effective monitoring, verification and enforcement systems. This will be supplemented by skills enhancement programmes, information dissemination and awareness campaigns that inform users (residential and municipal), lamp and equipment suppliers and intermediaries (finance, consulting). Financing support for investments by municipalities may help address the initial cost barrier by offering new financing modalities in addition to government grant funding (e.g. shared-savings transactions through energy service companies, ESCOs). Last, the Project will look at environmentally sound management, including the handling, collection and disposal of lam</w:t>
            </w:r>
            <w:r w:rsidR="0057545E" w:rsidRPr="00666B27">
              <w:rPr>
                <w:noProof/>
                <w:szCs w:val="20"/>
                <w:lang w:val="en-GB"/>
              </w:rPr>
              <w:t>p</w:t>
            </w:r>
            <w:r w:rsidRPr="00666B27">
              <w:rPr>
                <w:noProof/>
                <w:szCs w:val="20"/>
                <w:lang w:val="en-GB"/>
              </w:rPr>
              <w:t xml:space="preserve"> waste (including mercury recovery from fluorescent lamps), and investigate the issues and option of replacing mineral oil by vegetable oil in liquid-</w:t>
            </w:r>
            <w:r w:rsidRPr="00666B27">
              <w:rPr>
                <w:noProof/>
                <w:szCs w:val="20"/>
                <w:lang w:val="en-GB"/>
              </w:rPr>
              <w:lastRenderedPageBreak/>
              <w:t>immersed distribution transformers. The Project’s GEF-supported interventions are expected to lead to behav</w:t>
            </w:r>
            <w:r w:rsidR="0057545E" w:rsidRPr="00666B27">
              <w:rPr>
                <w:noProof/>
                <w:szCs w:val="20"/>
                <w:lang w:val="en-GB"/>
              </w:rPr>
              <w:t xml:space="preserve">ioural </w:t>
            </w:r>
            <w:r w:rsidRPr="00666B27">
              <w:rPr>
                <w:noProof/>
                <w:szCs w:val="20"/>
                <w:lang w:val="en-GB"/>
              </w:rPr>
              <w:t>change and investment decision favouring energy-efficient technology in the country as a whole. Over time this is expected to contribute to expected energy savings in the order of  38 terawatt-hours over 2019-2023 with corresponding greenhouse gas emission avoidance of 35 million tonnes of carbon dioxide.</w:t>
            </w:r>
          </w:p>
          <w:bookmarkEnd w:id="3"/>
          <w:p w:rsidR="009E44C7" w:rsidRPr="00666B27" w:rsidRDefault="009E44C7" w:rsidP="00C73959">
            <w:pPr>
              <w:spacing w:after="0"/>
              <w:jc w:val="left"/>
              <w:rPr>
                <w:rFonts w:cs="Arial"/>
                <w:b/>
                <w:szCs w:val="20"/>
                <w:lang w:val="en-GB"/>
              </w:rPr>
            </w:pPr>
          </w:p>
        </w:tc>
      </w:tr>
      <w:tr w:rsidR="0077088A" w:rsidRPr="0057545E" w:rsidTr="00667F38">
        <w:trPr>
          <w:trHeight w:val="377"/>
        </w:trPr>
        <w:tc>
          <w:tcPr>
            <w:tcW w:w="9918" w:type="dxa"/>
            <w:gridSpan w:val="8"/>
            <w:shd w:val="clear" w:color="auto" w:fill="D9D9D9"/>
          </w:tcPr>
          <w:p w:rsidR="0077088A" w:rsidRPr="00666B27" w:rsidRDefault="002957FC" w:rsidP="00C73959">
            <w:pPr>
              <w:spacing w:after="0"/>
              <w:jc w:val="left"/>
              <w:rPr>
                <w:rFonts w:cs="Arial"/>
                <w:b/>
                <w:smallCaps/>
                <w:szCs w:val="20"/>
                <w:lang w:val="en-GB"/>
              </w:rPr>
            </w:pPr>
            <w:r w:rsidRPr="00666B27">
              <w:rPr>
                <w:lang w:val="en-GB"/>
              </w:rPr>
              <w:lastRenderedPageBreak/>
              <w:br w:type="page"/>
            </w:r>
            <w:r w:rsidR="0077088A" w:rsidRPr="00666B27">
              <w:rPr>
                <w:rFonts w:cs="Arial"/>
                <w:b/>
                <w:smallCaps/>
                <w:szCs w:val="20"/>
                <w:lang w:val="en-GB"/>
              </w:rPr>
              <w:t>Financing Plan</w:t>
            </w:r>
          </w:p>
        </w:tc>
      </w:tr>
      <w:tr w:rsidR="0077088A" w:rsidRPr="0057545E" w:rsidTr="00667F38">
        <w:tc>
          <w:tcPr>
            <w:tcW w:w="4673" w:type="dxa"/>
            <w:gridSpan w:val="4"/>
            <w:shd w:val="clear" w:color="auto" w:fill="auto"/>
          </w:tcPr>
          <w:p w:rsidR="0077088A" w:rsidRPr="00540FEA" w:rsidRDefault="0077088A" w:rsidP="00C73959">
            <w:pPr>
              <w:spacing w:after="0"/>
              <w:jc w:val="left"/>
              <w:rPr>
                <w:rFonts w:cs="Arial"/>
                <w:szCs w:val="20"/>
                <w:lang w:val="en-GB"/>
              </w:rPr>
            </w:pPr>
            <w:r w:rsidRPr="00540FEA">
              <w:rPr>
                <w:rFonts w:cs="Arial"/>
                <w:szCs w:val="20"/>
                <w:lang w:val="en-GB"/>
              </w:rPr>
              <w:t xml:space="preserve">GEF Trust Fund </w:t>
            </w:r>
          </w:p>
        </w:tc>
        <w:tc>
          <w:tcPr>
            <w:tcW w:w="5245" w:type="dxa"/>
            <w:gridSpan w:val="4"/>
            <w:shd w:val="clear" w:color="auto" w:fill="auto"/>
          </w:tcPr>
          <w:p w:rsidR="0077088A" w:rsidRPr="00540FEA" w:rsidRDefault="0077088A" w:rsidP="00C73959">
            <w:pPr>
              <w:spacing w:after="0"/>
              <w:jc w:val="left"/>
              <w:rPr>
                <w:rFonts w:cs="Arial"/>
                <w:szCs w:val="20"/>
                <w:lang w:val="en-GB"/>
              </w:rPr>
            </w:pPr>
            <w:r w:rsidRPr="00540FEA">
              <w:rPr>
                <w:rFonts w:cs="Arial"/>
                <w:szCs w:val="20"/>
                <w:lang w:val="en-GB"/>
              </w:rPr>
              <w:t>USD</w:t>
            </w:r>
            <w:r w:rsidR="00886F9C" w:rsidRPr="00540FEA">
              <w:rPr>
                <w:rFonts w:cs="Arial"/>
                <w:szCs w:val="20"/>
                <w:lang w:val="en-GB"/>
              </w:rPr>
              <w:t xml:space="preserve"> </w:t>
            </w:r>
            <w:r w:rsidR="00807F49" w:rsidRPr="00540FEA">
              <w:rPr>
                <w:rFonts w:cs="Arial"/>
                <w:szCs w:val="20"/>
                <w:lang w:val="en-GB"/>
              </w:rPr>
              <w:t>10,000,000</w:t>
            </w:r>
          </w:p>
        </w:tc>
      </w:tr>
      <w:tr w:rsidR="0077088A" w:rsidRPr="0057545E" w:rsidTr="00667F38">
        <w:tc>
          <w:tcPr>
            <w:tcW w:w="4673" w:type="dxa"/>
            <w:gridSpan w:val="4"/>
            <w:shd w:val="clear" w:color="auto" w:fill="auto"/>
          </w:tcPr>
          <w:p w:rsidR="0077088A" w:rsidRPr="00540FEA" w:rsidRDefault="0077088A" w:rsidP="00731F0C">
            <w:pPr>
              <w:pStyle w:val="ListParagraph"/>
              <w:numPr>
                <w:ilvl w:val="0"/>
                <w:numId w:val="4"/>
              </w:numPr>
              <w:jc w:val="right"/>
              <w:rPr>
                <w:rFonts w:ascii="Calibri" w:hAnsi="Calibri" w:cs="Arial"/>
                <w:b/>
                <w:sz w:val="20"/>
                <w:szCs w:val="20"/>
                <w:lang w:val="en-GB"/>
              </w:rPr>
            </w:pPr>
            <w:r w:rsidRPr="00540FEA">
              <w:rPr>
                <w:rFonts w:ascii="Calibri" w:hAnsi="Calibri" w:cs="Arial"/>
                <w:b/>
                <w:sz w:val="20"/>
                <w:szCs w:val="20"/>
                <w:lang w:val="en-GB" w:eastAsia="zh-CN"/>
              </w:rPr>
              <w:t xml:space="preserve">Total </w:t>
            </w:r>
            <w:r w:rsidRPr="00540FEA">
              <w:rPr>
                <w:rFonts w:ascii="Calibri" w:hAnsi="Calibri" w:cs="Arial"/>
                <w:b/>
                <w:sz w:val="20"/>
                <w:szCs w:val="20"/>
                <w:lang w:val="en-GB"/>
              </w:rPr>
              <w:t xml:space="preserve">Budget administered by UNDP </w:t>
            </w:r>
          </w:p>
        </w:tc>
        <w:tc>
          <w:tcPr>
            <w:tcW w:w="5245" w:type="dxa"/>
            <w:gridSpan w:val="4"/>
            <w:shd w:val="clear" w:color="auto" w:fill="auto"/>
          </w:tcPr>
          <w:p w:rsidR="0077088A" w:rsidRPr="00540FEA" w:rsidRDefault="0077088A" w:rsidP="00C73959">
            <w:pPr>
              <w:spacing w:after="0"/>
              <w:jc w:val="left"/>
              <w:rPr>
                <w:rFonts w:cs="Arial"/>
                <w:b/>
                <w:szCs w:val="20"/>
                <w:lang w:val="en-GB"/>
              </w:rPr>
            </w:pPr>
            <w:r w:rsidRPr="00540FEA">
              <w:rPr>
                <w:rFonts w:cs="Arial"/>
                <w:b/>
                <w:szCs w:val="20"/>
                <w:lang w:val="en-GB"/>
              </w:rPr>
              <w:t>USD</w:t>
            </w:r>
            <w:r w:rsidR="00886F9C" w:rsidRPr="00540FEA">
              <w:rPr>
                <w:rFonts w:cs="Arial"/>
                <w:b/>
                <w:szCs w:val="20"/>
                <w:lang w:val="en-GB"/>
              </w:rPr>
              <w:t xml:space="preserve"> 5,</w:t>
            </w:r>
            <w:r w:rsidR="00807F49" w:rsidRPr="00540FEA">
              <w:rPr>
                <w:rFonts w:cs="Arial"/>
                <w:b/>
                <w:szCs w:val="20"/>
                <w:lang w:val="en-GB"/>
              </w:rPr>
              <w:t>000,000</w:t>
            </w:r>
          </w:p>
        </w:tc>
      </w:tr>
      <w:tr w:rsidR="00807F49" w:rsidRPr="0057545E" w:rsidTr="00667F38">
        <w:tc>
          <w:tcPr>
            <w:tcW w:w="4673" w:type="dxa"/>
            <w:gridSpan w:val="4"/>
            <w:shd w:val="clear" w:color="auto" w:fill="auto"/>
          </w:tcPr>
          <w:p w:rsidR="00807F49" w:rsidRPr="00540FEA" w:rsidRDefault="00807F49" w:rsidP="00807F49">
            <w:pPr>
              <w:spacing w:after="0"/>
              <w:jc w:val="right"/>
              <w:rPr>
                <w:rFonts w:cs="Arial"/>
                <w:szCs w:val="20"/>
                <w:lang w:val="en-GB"/>
              </w:rPr>
            </w:pPr>
            <w:r w:rsidRPr="00540FEA">
              <w:rPr>
                <w:rFonts w:cs="Arial"/>
                <w:smallCaps/>
                <w:szCs w:val="20"/>
                <w:lang w:val="en-GB"/>
              </w:rPr>
              <w:t xml:space="preserve">(2)  </w:t>
            </w:r>
            <w:r w:rsidRPr="00540FEA">
              <w:rPr>
                <w:rFonts w:cs="Arial"/>
                <w:szCs w:val="20"/>
                <w:lang w:val="en-GB"/>
              </w:rPr>
              <w:t>Total Budget administered by DBSA</w:t>
            </w:r>
          </w:p>
        </w:tc>
        <w:tc>
          <w:tcPr>
            <w:tcW w:w="5245" w:type="dxa"/>
            <w:gridSpan w:val="4"/>
            <w:shd w:val="clear" w:color="auto" w:fill="auto"/>
          </w:tcPr>
          <w:p w:rsidR="00807F49" w:rsidRPr="00540FEA" w:rsidRDefault="00807F49" w:rsidP="00807F49">
            <w:pPr>
              <w:spacing w:after="0"/>
              <w:jc w:val="left"/>
              <w:rPr>
                <w:rFonts w:cs="Arial"/>
                <w:smallCaps/>
                <w:szCs w:val="20"/>
                <w:lang w:val="en-GB"/>
              </w:rPr>
            </w:pPr>
            <w:r w:rsidRPr="00540FEA">
              <w:rPr>
                <w:rFonts w:cs="Arial"/>
                <w:smallCaps/>
                <w:szCs w:val="20"/>
                <w:lang w:val="en-GB"/>
              </w:rPr>
              <w:t>USD 5,000,000</w:t>
            </w:r>
          </w:p>
        </w:tc>
      </w:tr>
      <w:tr w:rsidR="0077088A" w:rsidRPr="0057545E" w:rsidTr="00540FEA">
        <w:trPr>
          <w:trHeight w:val="70"/>
        </w:trPr>
        <w:tc>
          <w:tcPr>
            <w:tcW w:w="9918" w:type="dxa"/>
            <w:gridSpan w:val="8"/>
            <w:shd w:val="clear" w:color="auto" w:fill="auto"/>
          </w:tcPr>
          <w:p w:rsidR="0077088A" w:rsidRPr="00540FEA" w:rsidRDefault="0077088A" w:rsidP="00C73959">
            <w:pPr>
              <w:spacing w:after="0"/>
              <w:jc w:val="left"/>
              <w:rPr>
                <w:rFonts w:cs="Arial"/>
                <w:b/>
                <w:color w:val="000000" w:themeColor="text1"/>
                <w:szCs w:val="20"/>
                <w:lang w:val="en-GB"/>
              </w:rPr>
            </w:pPr>
            <w:r w:rsidRPr="00540FEA">
              <w:rPr>
                <w:rFonts w:cs="Arial"/>
                <w:b/>
                <w:smallCaps/>
                <w:color w:val="000000" w:themeColor="text1"/>
                <w:szCs w:val="20"/>
                <w:lang w:val="en-GB"/>
              </w:rPr>
              <w:t>Parallel co-financing</w:t>
            </w:r>
            <w:r w:rsidR="00F10F99" w:rsidRPr="00540FEA">
              <w:rPr>
                <w:rFonts w:cs="Arial"/>
                <w:b/>
                <w:smallCaps/>
                <w:color w:val="000000" w:themeColor="text1"/>
                <w:szCs w:val="20"/>
                <w:lang w:val="en-GB"/>
              </w:rPr>
              <w:t xml:space="preserve"> </w:t>
            </w:r>
            <w:r w:rsidR="00F10F99" w:rsidRPr="00540FEA">
              <w:rPr>
                <w:rFonts w:cs="Arial"/>
                <w:smallCaps/>
                <w:color w:val="000000" w:themeColor="text1"/>
                <w:szCs w:val="20"/>
                <w:lang w:val="en-GB"/>
              </w:rPr>
              <w:t>(</w:t>
            </w:r>
            <w:r w:rsidR="00F10F99" w:rsidRPr="00540FEA">
              <w:rPr>
                <w:rFonts w:cs="Arial"/>
                <w:i/>
                <w:color w:val="000000" w:themeColor="text1"/>
                <w:szCs w:val="20"/>
                <w:lang w:val="en-GB"/>
              </w:rPr>
              <w:t xml:space="preserve">all other co-financing that is not cash </w:t>
            </w:r>
            <w:r w:rsidR="0004450C" w:rsidRPr="00540FEA">
              <w:rPr>
                <w:rFonts w:cs="Arial"/>
                <w:i/>
                <w:color w:val="000000" w:themeColor="text1"/>
                <w:szCs w:val="20"/>
                <w:lang w:val="en-GB"/>
              </w:rPr>
              <w:t xml:space="preserve">co-financing </w:t>
            </w:r>
            <w:r w:rsidR="00F10F99" w:rsidRPr="00540FEA">
              <w:rPr>
                <w:rFonts w:cs="Arial"/>
                <w:i/>
                <w:color w:val="000000" w:themeColor="text1"/>
                <w:szCs w:val="20"/>
                <w:lang w:val="en-GB"/>
              </w:rPr>
              <w:t>administered by UNDP)</w:t>
            </w:r>
          </w:p>
        </w:tc>
      </w:tr>
      <w:tr w:rsidR="00807F49" w:rsidRPr="0057545E" w:rsidTr="00667F38">
        <w:trPr>
          <w:trHeight w:val="269"/>
        </w:trPr>
        <w:tc>
          <w:tcPr>
            <w:tcW w:w="4673" w:type="dxa"/>
            <w:gridSpan w:val="4"/>
            <w:shd w:val="clear" w:color="auto" w:fill="auto"/>
          </w:tcPr>
          <w:p w:rsidR="00807F49" w:rsidRPr="00540FEA" w:rsidRDefault="00807F49" w:rsidP="00807F49">
            <w:pPr>
              <w:spacing w:after="0"/>
              <w:jc w:val="right"/>
              <w:rPr>
                <w:rFonts w:cs="Arial"/>
                <w:szCs w:val="20"/>
                <w:lang w:val="en-GB"/>
              </w:rPr>
            </w:pPr>
            <w:r w:rsidRPr="00540FEA">
              <w:rPr>
                <w:rFonts w:cs="Arial"/>
                <w:szCs w:val="20"/>
                <w:lang w:val="en-GB"/>
              </w:rPr>
              <w:t>DoE (grant and in-kind)</w:t>
            </w:r>
          </w:p>
        </w:tc>
        <w:tc>
          <w:tcPr>
            <w:tcW w:w="5245" w:type="dxa"/>
            <w:gridSpan w:val="4"/>
            <w:shd w:val="clear" w:color="auto" w:fill="auto"/>
          </w:tcPr>
          <w:p w:rsidR="00807F49" w:rsidRPr="00540FEA" w:rsidRDefault="00807F49" w:rsidP="00807F49">
            <w:pPr>
              <w:spacing w:after="0"/>
              <w:jc w:val="left"/>
              <w:rPr>
                <w:rFonts w:cs="Arial"/>
                <w:color w:val="000000" w:themeColor="text1"/>
                <w:szCs w:val="20"/>
                <w:lang w:val="en-GB"/>
              </w:rPr>
            </w:pPr>
            <w:r w:rsidRPr="00540FEA">
              <w:rPr>
                <w:rFonts w:cs="Arial"/>
                <w:color w:val="000000" w:themeColor="text1"/>
                <w:szCs w:val="20"/>
                <w:lang w:val="en-GB"/>
              </w:rPr>
              <w:t xml:space="preserve">USD </w:t>
            </w:r>
            <w:r w:rsidR="007061AB">
              <w:rPr>
                <w:rFonts w:cs="Arial"/>
                <w:color w:val="000000" w:themeColor="text1"/>
                <w:szCs w:val="20"/>
                <w:lang w:val="en-GB"/>
              </w:rPr>
              <w:t>42,650,000</w:t>
            </w:r>
          </w:p>
        </w:tc>
      </w:tr>
      <w:tr w:rsidR="00807F49" w:rsidRPr="0057545E" w:rsidTr="00667F38">
        <w:trPr>
          <w:trHeight w:val="272"/>
        </w:trPr>
        <w:tc>
          <w:tcPr>
            <w:tcW w:w="4673" w:type="dxa"/>
            <w:gridSpan w:val="4"/>
            <w:shd w:val="clear" w:color="auto" w:fill="auto"/>
          </w:tcPr>
          <w:p w:rsidR="00807F49" w:rsidRPr="00540FEA" w:rsidRDefault="00807F49" w:rsidP="00807F49">
            <w:pPr>
              <w:spacing w:after="0"/>
              <w:jc w:val="right"/>
              <w:rPr>
                <w:rFonts w:cs="Arial"/>
                <w:szCs w:val="20"/>
                <w:lang w:val="en-GB"/>
              </w:rPr>
            </w:pPr>
            <w:r w:rsidRPr="00540FEA">
              <w:rPr>
                <w:rFonts w:cs="Arial"/>
                <w:szCs w:val="20"/>
                <w:lang w:val="en-GB"/>
              </w:rPr>
              <w:t xml:space="preserve">UNDP (in-kind) </w:t>
            </w:r>
          </w:p>
        </w:tc>
        <w:tc>
          <w:tcPr>
            <w:tcW w:w="5245" w:type="dxa"/>
            <w:gridSpan w:val="4"/>
            <w:shd w:val="clear" w:color="auto" w:fill="auto"/>
          </w:tcPr>
          <w:p w:rsidR="00807F49" w:rsidRPr="00540FEA" w:rsidRDefault="00807F49" w:rsidP="00807F49">
            <w:pPr>
              <w:spacing w:after="0"/>
              <w:jc w:val="left"/>
              <w:rPr>
                <w:rFonts w:cs="Arial"/>
                <w:color w:val="000000" w:themeColor="text1"/>
                <w:szCs w:val="20"/>
                <w:lang w:val="en-GB"/>
              </w:rPr>
            </w:pPr>
            <w:r w:rsidRPr="00540FEA">
              <w:rPr>
                <w:rFonts w:cs="Arial"/>
                <w:color w:val="000000" w:themeColor="text1"/>
                <w:szCs w:val="20"/>
                <w:lang w:val="en-GB"/>
              </w:rPr>
              <w:t xml:space="preserve">USD </w:t>
            </w:r>
            <w:r w:rsidR="004B4B47" w:rsidRPr="00540FEA">
              <w:rPr>
                <w:rFonts w:cs="Arial"/>
                <w:color w:val="000000" w:themeColor="text1"/>
                <w:szCs w:val="20"/>
                <w:lang w:val="en-GB"/>
              </w:rPr>
              <w:t>6</w:t>
            </w:r>
            <w:r w:rsidRPr="00540FEA">
              <w:rPr>
                <w:rFonts w:cs="Arial"/>
                <w:color w:val="000000" w:themeColor="text1"/>
                <w:szCs w:val="20"/>
                <w:lang w:val="en-GB"/>
              </w:rPr>
              <w:t>00,000</w:t>
            </w:r>
          </w:p>
        </w:tc>
      </w:tr>
      <w:tr w:rsidR="00807F49" w:rsidRPr="0057545E" w:rsidTr="00667F38">
        <w:trPr>
          <w:trHeight w:val="121"/>
        </w:trPr>
        <w:tc>
          <w:tcPr>
            <w:tcW w:w="4673" w:type="dxa"/>
            <w:gridSpan w:val="4"/>
            <w:shd w:val="clear" w:color="auto" w:fill="auto"/>
          </w:tcPr>
          <w:p w:rsidR="00807F49" w:rsidRPr="00540FEA" w:rsidRDefault="00807F49" w:rsidP="00807F49">
            <w:pPr>
              <w:spacing w:after="0"/>
              <w:jc w:val="right"/>
              <w:rPr>
                <w:rFonts w:cs="Arial"/>
                <w:szCs w:val="20"/>
                <w:lang w:val="fr-FR"/>
              </w:rPr>
            </w:pPr>
            <w:r w:rsidRPr="00540FEA">
              <w:rPr>
                <w:rFonts w:cs="Arial"/>
                <w:szCs w:val="20"/>
                <w:lang w:val="fr-FR"/>
              </w:rPr>
              <w:t xml:space="preserve">UN </w:t>
            </w:r>
            <w:proofErr w:type="spellStart"/>
            <w:r w:rsidRPr="00540FEA">
              <w:rPr>
                <w:rFonts w:cs="Arial"/>
                <w:szCs w:val="20"/>
                <w:lang w:val="fr-FR"/>
              </w:rPr>
              <w:t>Environment</w:t>
            </w:r>
            <w:proofErr w:type="spellEnd"/>
            <w:r w:rsidR="00AB03A7" w:rsidRPr="00540FEA">
              <w:rPr>
                <w:rFonts w:cs="Arial"/>
                <w:szCs w:val="20"/>
                <w:lang w:val="fr-FR"/>
              </w:rPr>
              <w:t xml:space="preserve"> (in-</w:t>
            </w:r>
            <w:proofErr w:type="spellStart"/>
            <w:r w:rsidR="00AB03A7" w:rsidRPr="00540FEA">
              <w:rPr>
                <w:rFonts w:cs="Arial"/>
                <w:szCs w:val="20"/>
                <w:lang w:val="fr-FR"/>
              </w:rPr>
              <w:t>kind</w:t>
            </w:r>
            <w:proofErr w:type="spellEnd"/>
            <w:r w:rsidR="00AB03A7" w:rsidRPr="00540FEA">
              <w:rPr>
                <w:rFonts w:cs="Arial"/>
                <w:szCs w:val="20"/>
                <w:lang w:val="fr-FR"/>
              </w:rPr>
              <w:t>)</w:t>
            </w:r>
          </w:p>
        </w:tc>
        <w:tc>
          <w:tcPr>
            <w:tcW w:w="5245" w:type="dxa"/>
            <w:gridSpan w:val="4"/>
            <w:shd w:val="clear" w:color="auto" w:fill="auto"/>
          </w:tcPr>
          <w:p w:rsidR="00807F49" w:rsidRPr="00540FEA" w:rsidRDefault="00807F49" w:rsidP="00807F49">
            <w:pPr>
              <w:spacing w:after="0"/>
              <w:jc w:val="left"/>
              <w:rPr>
                <w:rFonts w:cs="Arial"/>
                <w:color w:val="000000" w:themeColor="text1"/>
                <w:szCs w:val="20"/>
                <w:lang w:val="en-GB"/>
              </w:rPr>
            </w:pPr>
            <w:r w:rsidRPr="00540FEA">
              <w:rPr>
                <w:rFonts w:cs="Arial"/>
                <w:color w:val="000000" w:themeColor="text1"/>
                <w:szCs w:val="20"/>
                <w:lang w:val="en-GB"/>
              </w:rPr>
              <w:t xml:space="preserve">USD </w:t>
            </w:r>
            <w:r w:rsidR="004B4B47" w:rsidRPr="00540FEA">
              <w:rPr>
                <w:rFonts w:cs="Arial"/>
                <w:color w:val="000000" w:themeColor="text1"/>
                <w:szCs w:val="20"/>
                <w:lang w:val="en-GB"/>
              </w:rPr>
              <w:t>30,000</w:t>
            </w:r>
          </w:p>
        </w:tc>
      </w:tr>
      <w:tr w:rsidR="00AB03A7" w:rsidRPr="0057545E" w:rsidTr="00667F38">
        <w:tc>
          <w:tcPr>
            <w:tcW w:w="4673" w:type="dxa"/>
            <w:gridSpan w:val="4"/>
            <w:shd w:val="clear" w:color="auto" w:fill="auto"/>
          </w:tcPr>
          <w:p w:rsidR="00AB03A7" w:rsidRPr="00540FEA" w:rsidRDefault="00AB03A7" w:rsidP="00807F49">
            <w:pPr>
              <w:spacing w:after="0"/>
              <w:jc w:val="right"/>
              <w:rPr>
                <w:rFonts w:cs="Arial"/>
                <w:szCs w:val="20"/>
                <w:lang w:val="en-GB"/>
              </w:rPr>
            </w:pPr>
            <w:r w:rsidRPr="00540FEA">
              <w:rPr>
                <w:rFonts w:cs="Arial"/>
                <w:szCs w:val="20"/>
                <w:lang w:val="en-GB"/>
              </w:rPr>
              <w:t>G</w:t>
            </w:r>
            <w:r w:rsidR="004B4B47" w:rsidRPr="00540FEA">
              <w:rPr>
                <w:rFonts w:cs="Arial"/>
                <w:szCs w:val="20"/>
                <w:lang w:val="en-GB"/>
              </w:rPr>
              <w:t>ELC</w:t>
            </w:r>
            <w:r w:rsidRPr="00540FEA">
              <w:rPr>
                <w:rFonts w:cs="Arial"/>
                <w:szCs w:val="20"/>
                <w:lang w:val="en-GB"/>
              </w:rPr>
              <w:t xml:space="preserve"> (in-kind)</w:t>
            </w:r>
          </w:p>
        </w:tc>
        <w:tc>
          <w:tcPr>
            <w:tcW w:w="5245" w:type="dxa"/>
            <w:gridSpan w:val="4"/>
            <w:shd w:val="clear" w:color="auto" w:fill="auto"/>
          </w:tcPr>
          <w:p w:rsidR="00AB03A7" w:rsidRPr="00540FEA" w:rsidRDefault="004B4B47" w:rsidP="00807F49">
            <w:pPr>
              <w:spacing w:after="0"/>
              <w:jc w:val="left"/>
              <w:rPr>
                <w:rFonts w:cs="Arial"/>
                <w:color w:val="000000" w:themeColor="text1"/>
                <w:szCs w:val="20"/>
                <w:lang w:val="en-GB"/>
              </w:rPr>
            </w:pPr>
            <w:r w:rsidRPr="00540FEA">
              <w:rPr>
                <w:rFonts w:cs="Arial"/>
                <w:color w:val="000000" w:themeColor="text1"/>
                <w:szCs w:val="20"/>
                <w:lang w:val="en-GB"/>
              </w:rPr>
              <w:t>USD 150,000</w:t>
            </w:r>
          </w:p>
        </w:tc>
      </w:tr>
      <w:tr w:rsidR="00807F49" w:rsidRPr="0057545E" w:rsidTr="00667F38">
        <w:tc>
          <w:tcPr>
            <w:tcW w:w="4673" w:type="dxa"/>
            <w:gridSpan w:val="4"/>
            <w:shd w:val="clear" w:color="auto" w:fill="auto"/>
          </w:tcPr>
          <w:p w:rsidR="00807F49" w:rsidRPr="00540FEA" w:rsidRDefault="00807F49" w:rsidP="00807F49">
            <w:pPr>
              <w:spacing w:after="0"/>
              <w:jc w:val="right"/>
              <w:rPr>
                <w:rFonts w:cs="Arial"/>
                <w:szCs w:val="20"/>
                <w:lang w:val="en-GB"/>
              </w:rPr>
            </w:pPr>
            <w:r w:rsidRPr="00540FEA">
              <w:rPr>
                <w:rFonts w:cs="Arial"/>
                <w:szCs w:val="20"/>
                <w:lang w:val="en-GB"/>
              </w:rPr>
              <w:t>DBSA (</w:t>
            </w:r>
            <w:r w:rsidR="00AB03A7" w:rsidRPr="00540FEA">
              <w:rPr>
                <w:rFonts w:cs="Arial"/>
                <w:szCs w:val="20"/>
                <w:lang w:val="en-GB"/>
              </w:rPr>
              <w:t>grant and</w:t>
            </w:r>
            <w:r w:rsidR="003A2690" w:rsidRPr="00540FEA">
              <w:rPr>
                <w:rFonts w:cs="Arial"/>
                <w:szCs w:val="20"/>
                <w:lang w:val="en-GB"/>
              </w:rPr>
              <w:t xml:space="preserve"> </w:t>
            </w:r>
            <w:r w:rsidRPr="00540FEA">
              <w:rPr>
                <w:rFonts w:cs="Arial"/>
                <w:szCs w:val="20"/>
                <w:lang w:val="en-GB"/>
              </w:rPr>
              <w:t>in-kind)</w:t>
            </w:r>
          </w:p>
        </w:tc>
        <w:tc>
          <w:tcPr>
            <w:tcW w:w="5245" w:type="dxa"/>
            <w:gridSpan w:val="4"/>
            <w:shd w:val="clear" w:color="auto" w:fill="auto"/>
          </w:tcPr>
          <w:p w:rsidR="00807F49" w:rsidRPr="00540FEA" w:rsidRDefault="00807F49" w:rsidP="00807F49">
            <w:pPr>
              <w:spacing w:after="0"/>
              <w:jc w:val="left"/>
              <w:rPr>
                <w:rFonts w:cs="Arial"/>
                <w:color w:val="000000" w:themeColor="text1"/>
                <w:szCs w:val="20"/>
                <w:lang w:val="en-GB"/>
              </w:rPr>
            </w:pPr>
            <w:r w:rsidRPr="00540FEA">
              <w:rPr>
                <w:rFonts w:cs="Arial"/>
                <w:color w:val="000000" w:themeColor="text1"/>
                <w:szCs w:val="20"/>
                <w:lang w:val="en-GB"/>
              </w:rPr>
              <w:t xml:space="preserve">USD </w:t>
            </w:r>
            <w:r w:rsidR="00AB03A7" w:rsidRPr="00540FEA">
              <w:rPr>
                <w:rFonts w:cs="Arial"/>
                <w:color w:val="000000" w:themeColor="text1"/>
                <w:szCs w:val="20"/>
                <w:lang w:val="en-GB"/>
              </w:rPr>
              <w:t>1</w:t>
            </w:r>
            <w:r w:rsidR="0089333E">
              <w:rPr>
                <w:rFonts w:cs="Arial"/>
                <w:color w:val="000000" w:themeColor="text1"/>
                <w:szCs w:val="20"/>
                <w:lang w:val="en-GB"/>
              </w:rPr>
              <w:t>7,1</w:t>
            </w:r>
            <w:r w:rsidR="00540FEA" w:rsidRPr="00540FEA">
              <w:rPr>
                <w:rFonts w:cs="Arial"/>
                <w:color w:val="000000" w:themeColor="text1"/>
                <w:szCs w:val="20"/>
                <w:lang w:val="en-GB"/>
              </w:rPr>
              <w:t>00,000</w:t>
            </w:r>
          </w:p>
        </w:tc>
      </w:tr>
      <w:tr w:rsidR="00807F49" w:rsidRPr="0057545E" w:rsidTr="00667F38">
        <w:tc>
          <w:tcPr>
            <w:tcW w:w="4673" w:type="dxa"/>
            <w:gridSpan w:val="4"/>
            <w:shd w:val="clear" w:color="auto" w:fill="auto"/>
          </w:tcPr>
          <w:p w:rsidR="00807F49" w:rsidRPr="00540FEA" w:rsidRDefault="00807F49" w:rsidP="00807F49">
            <w:pPr>
              <w:spacing w:after="0"/>
              <w:jc w:val="right"/>
              <w:rPr>
                <w:rFonts w:cs="Arial"/>
                <w:szCs w:val="20"/>
                <w:lang w:val="en-GB"/>
              </w:rPr>
            </w:pPr>
            <w:r w:rsidRPr="00540FEA">
              <w:rPr>
                <w:rFonts w:cs="Arial"/>
                <w:szCs w:val="20"/>
                <w:lang w:val="en-GB"/>
              </w:rPr>
              <w:t>Eskom (in-kind)</w:t>
            </w:r>
          </w:p>
        </w:tc>
        <w:tc>
          <w:tcPr>
            <w:tcW w:w="5245" w:type="dxa"/>
            <w:gridSpan w:val="4"/>
            <w:shd w:val="clear" w:color="auto" w:fill="auto"/>
          </w:tcPr>
          <w:p w:rsidR="00807F49" w:rsidRPr="00540FEA" w:rsidRDefault="00807F49" w:rsidP="00807F49">
            <w:pPr>
              <w:spacing w:after="0"/>
              <w:jc w:val="left"/>
              <w:rPr>
                <w:rFonts w:cs="Arial"/>
                <w:color w:val="000000" w:themeColor="text1"/>
                <w:szCs w:val="20"/>
                <w:lang w:val="en-GB"/>
              </w:rPr>
            </w:pPr>
            <w:r w:rsidRPr="00540FEA">
              <w:rPr>
                <w:rFonts w:cs="Arial"/>
                <w:color w:val="000000" w:themeColor="text1"/>
                <w:szCs w:val="20"/>
                <w:lang w:val="en-GB"/>
              </w:rPr>
              <w:t>USD 19,000,000</w:t>
            </w:r>
          </w:p>
        </w:tc>
      </w:tr>
      <w:tr w:rsidR="00807F49" w:rsidRPr="0057545E" w:rsidTr="00667F38">
        <w:tc>
          <w:tcPr>
            <w:tcW w:w="4673" w:type="dxa"/>
            <w:gridSpan w:val="4"/>
            <w:shd w:val="clear" w:color="auto" w:fill="auto"/>
          </w:tcPr>
          <w:p w:rsidR="00807F49" w:rsidRPr="00540FEA" w:rsidRDefault="00807F49" w:rsidP="00807F49">
            <w:pPr>
              <w:pStyle w:val="ListParagraph"/>
              <w:numPr>
                <w:ilvl w:val="0"/>
                <w:numId w:val="4"/>
              </w:numPr>
              <w:jc w:val="right"/>
              <w:rPr>
                <w:rFonts w:ascii="Calibri" w:hAnsi="Calibri" w:cs="Arial"/>
                <w:b/>
                <w:sz w:val="20"/>
                <w:szCs w:val="20"/>
                <w:lang w:val="en-GB"/>
              </w:rPr>
            </w:pPr>
            <w:r w:rsidRPr="00540FEA">
              <w:rPr>
                <w:rFonts w:ascii="Calibri" w:hAnsi="Calibri" w:cs="Arial"/>
                <w:b/>
                <w:sz w:val="20"/>
                <w:szCs w:val="20"/>
                <w:lang w:val="en-GB"/>
              </w:rPr>
              <w:t>Total co-financing</w:t>
            </w:r>
          </w:p>
        </w:tc>
        <w:tc>
          <w:tcPr>
            <w:tcW w:w="5245" w:type="dxa"/>
            <w:gridSpan w:val="4"/>
            <w:shd w:val="clear" w:color="auto" w:fill="auto"/>
          </w:tcPr>
          <w:p w:rsidR="00807F49" w:rsidRPr="00540FEA" w:rsidRDefault="00807F49" w:rsidP="00807F49">
            <w:pPr>
              <w:spacing w:after="0"/>
              <w:jc w:val="left"/>
              <w:rPr>
                <w:rFonts w:cs="Arial"/>
                <w:b/>
                <w:color w:val="000000" w:themeColor="text1"/>
                <w:szCs w:val="20"/>
                <w:lang w:val="en-GB"/>
              </w:rPr>
            </w:pPr>
            <w:r w:rsidRPr="00540FEA">
              <w:rPr>
                <w:rFonts w:cs="Arial"/>
                <w:b/>
                <w:color w:val="000000" w:themeColor="text1"/>
                <w:szCs w:val="20"/>
                <w:lang w:val="en-GB"/>
              </w:rPr>
              <w:t>USD</w:t>
            </w:r>
            <w:r w:rsidR="007061AB">
              <w:rPr>
                <w:rFonts w:cs="Arial"/>
                <w:b/>
                <w:color w:val="000000" w:themeColor="text1"/>
                <w:szCs w:val="20"/>
                <w:lang w:val="en-GB"/>
              </w:rPr>
              <w:t xml:space="preserve"> 79,530,000</w:t>
            </w:r>
          </w:p>
        </w:tc>
      </w:tr>
      <w:tr w:rsidR="00807F49" w:rsidRPr="0057545E" w:rsidTr="00667F38">
        <w:tc>
          <w:tcPr>
            <w:tcW w:w="4673" w:type="dxa"/>
            <w:gridSpan w:val="4"/>
            <w:shd w:val="clear" w:color="auto" w:fill="auto"/>
          </w:tcPr>
          <w:p w:rsidR="00807F49" w:rsidRPr="00540FEA" w:rsidRDefault="00807F49" w:rsidP="00807F49">
            <w:pPr>
              <w:pStyle w:val="ListParagraph"/>
              <w:numPr>
                <w:ilvl w:val="0"/>
                <w:numId w:val="4"/>
              </w:numPr>
              <w:jc w:val="right"/>
              <w:rPr>
                <w:rFonts w:ascii="Calibri" w:hAnsi="Calibri" w:cs="Arial"/>
                <w:b/>
                <w:sz w:val="20"/>
                <w:szCs w:val="20"/>
                <w:lang w:val="en-GB"/>
              </w:rPr>
            </w:pPr>
            <w:r w:rsidRPr="00540FEA">
              <w:rPr>
                <w:rFonts w:ascii="Calibri" w:hAnsi="Calibri" w:cs="Arial"/>
                <w:b/>
                <w:sz w:val="20"/>
                <w:szCs w:val="20"/>
                <w:lang w:val="en-GB" w:eastAsia="zh-CN"/>
              </w:rPr>
              <w:t>Grand-</w:t>
            </w:r>
            <w:r w:rsidRPr="00540FEA">
              <w:rPr>
                <w:rFonts w:ascii="Calibri" w:hAnsi="Calibri" w:cs="Arial"/>
                <w:b/>
                <w:sz w:val="20"/>
                <w:szCs w:val="20"/>
                <w:lang w:val="en-GB"/>
              </w:rPr>
              <w:t xml:space="preserve">Total Project </w:t>
            </w:r>
            <w:r w:rsidRPr="00540FEA">
              <w:rPr>
                <w:rFonts w:ascii="Calibri" w:hAnsi="Calibri" w:cs="Arial"/>
                <w:b/>
                <w:sz w:val="20"/>
                <w:szCs w:val="20"/>
                <w:lang w:val="en-GB" w:eastAsia="zh-CN"/>
              </w:rPr>
              <w:t>Financing (</w:t>
            </w:r>
            <w:proofErr w:type="gramStart"/>
            <w:r w:rsidRPr="00540FEA">
              <w:rPr>
                <w:rFonts w:ascii="Calibri" w:hAnsi="Calibri" w:cs="Arial"/>
                <w:b/>
                <w:sz w:val="20"/>
                <w:szCs w:val="20"/>
                <w:lang w:val="en-GB" w:eastAsia="zh-CN"/>
              </w:rPr>
              <w:t>1)+(</w:t>
            </w:r>
            <w:proofErr w:type="gramEnd"/>
            <w:r w:rsidRPr="00540FEA">
              <w:rPr>
                <w:rFonts w:ascii="Calibri" w:hAnsi="Calibri" w:cs="Arial"/>
                <w:b/>
                <w:sz w:val="20"/>
                <w:szCs w:val="20"/>
                <w:lang w:val="en-GB" w:eastAsia="zh-CN"/>
              </w:rPr>
              <w:t>2)</w:t>
            </w:r>
          </w:p>
        </w:tc>
        <w:tc>
          <w:tcPr>
            <w:tcW w:w="5245" w:type="dxa"/>
            <w:gridSpan w:val="4"/>
            <w:shd w:val="clear" w:color="auto" w:fill="auto"/>
          </w:tcPr>
          <w:p w:rsidR="00807F49" w:rsidRPr="00540FEA" w:rsidRDefault="00807F49" w:rsidP="00807F49">
            <w:pPr>
              <w:spacing w:after="0"/>
              <w:jc w:val="left"/>
              <w:rPr>
                <w:rFonts w:cs="Arial"/>
                <w:b/>
                <w:color w:val="000000" w:themeColor="text1"/>
                <w:szCs w:val="20"/>
                <w:lang w:val="en-GB"/>
              </w:rPr>
            </w:pPr>
            <w:r w:rsidRPr="00540FEA">
              <w:rPr>
                <w:rFonts w:cs="Arial"/>
                <w:b/>
                <w:color w:val="000000" w:themeColor="text1"/>
                <w:szCs w:val="20"/>
                <w:lang w:val="en-GB"/>
              </w:rPr>
              <w:t xml:space="preserve">USD </w:t>
            </w:r>
            <w:r w:rsidR="003A2690" w:rsidRPr="00540FEA">
              <w:rPr>
                <w:rFonts w:cs="Arial"/>
                <w:b/>
                <w:color w:val="000000" w:themeColor="text1"/>
                <w:szCs w:val="20"/>
                <w:lang w:val="en-GB"/>
              </w:rPr>
              <w:t>8</w:t>
            </w:r>
            <w:r w:rsidR="007061AB">
              <w:rPr>
                <w:rFonts w:cs="Arial"/>
                <w:b/>
                <w:color w:val="000000" w:themeColor="text1"/>
                <w:szCs w:val="20"/>
                <w:lang w:val="en-GB"/>
              </w:rPr>
              <w:t>9,530,000</w:t>
            </w:r>
          </w:p>
        </w:tc>
      </w:tr>
      <w:tr w:rsidR="00807F49" w:rsidRPr="0057545E" w:rsidTr="00667F38">
        <w:tc>
          <w:tcPr>
            <w:tcW w:w="9918" w:type="dxa"/>
            <w:gridSpan w:val="8"/>
            <w:shd w:val="clear" w:color="auto" w:fill="auto"/>
          </w:tcPr>
          <w:p w:rsidR="00807F49" w:rsidRPr="00540FEA" w:rsidRDefault="00807F49" w:rsidP="00807F49">
            <w:pPr>
              <w:spacing w:after="0"/>
              <w:jc w:val="left"/>
              <w:rPr>
                <w:rFonts w:cs="Arial"/>
                <w:b/>
                <w:smallCaps/>
                <w:color w:val="000000" w:themeColor="text1"/>
                <w:szCs w:val="20"/>
                <w:lang w:val="en-GB"/>
              </w:rPr>
            </w:pPr>
            <w:r w:rsidRPr="00540FEA">
              <w:rPr>
                <w:rFonts w:cs="Arial"/>
                <w:b/>
                <w:smallCaps/>
                <w:color w:val="000000" w:themeColor="text1"/>
                <w:szCs w:val="20"/>
                <w:lang w:val="en-GB"/>
              </w:rPr>
              <w:t>Signatures</w:t>
            </w:r>
          </w:p>
        </w:tc>
      </w:tr>
      <w:tr w:rsidR="00807F49" w:rsidRPr="0057545E" w:rsidTr="00667F38">
        <w:tc>
          <w:tcPr>
            <w:tcW w:w="4135" w:type="dxa"/>
            <w:gridSpan w:val="2"/>
            <w:shd w:val="clear" w:color="auto" w:fill="auto"/>
          </w:tcPr>
          <w:p w:rsidR="00807F49" w:rsidRPr="00353542" w:rsidRDefault="00807F49" w:rsidP="00807F49">
            <w:pPr>
              <w:spacing w:after="0"/>
              <w:jc w:val="left"/>
              <w:rPr>
                <w:rFonts w:cs="Arial"/>
                <w:szCs w:val="20"/>
                <w:lang w:val="en-GB"/>
              </w:rPr>
            </w:pPr>
            <w:r w:rsidRPr="0057545E">
              <w:rPr>
                <w:rFonts w:cs="Arial"/>
                <w:b/>
                <w:szCs w:val="20"/>
                <w:lang w:val="en-GB"/>
              </w:rPr>
              <w:t xml:space="preserve">Signature:  </w:t>
            </w:r>
            <w:r w:rsidRPr="0057545E">
              <w:rPr>
                <w:rFonts w:cs="Arial"/>
                <w:szCs w:val="20"/>
                <w:lang w:val="en-GB"/>
              </w:rPr>
              <w:t>print name below</w:t>
            </w:r>
          </w:p>
          <w:p w:rsidR="00807F49" w:rsidRPr="003B7D62" w:rsidRDefault="00807F49" w:rsidP="00807F49">
            <w:pPr>
              <w:spacing w:after="0"/>
              <w:jc w:val="left"/>
              <w:rPr>
                <w:rFonts w:cs="Arial"/>
                <w:szCs w:val="20"/>
                <w:lang w:val="en-GB"/>
              </w:rPr>
            </w:pPr>
          </w:p>
          <w:p w:rsidR="00807F49" w:rsidRPr="004722F0" w:rsidRDefault="00807F49" w:rsidP="00807F49">
            <w:pPr>
              <w:spacing w:after="0"/>
              <w:jc w:val="left"/>
              <w:rPr>
                <w:rFonts w:cs="Arial"/>
                <w:szCs w:val="20"/>
                <w:lang w:val="en-GB"/>
              </w:rPr>
            </w:pPr>
          </w:p>
          <w:p w:rsidR="00807F49" w:rsidRPr="00666B27" w:rsidRDefault="00807F49" w:rsidP="00807F49">
            <w:pPr>
              <w:spacing w:after="0"/>
              <w:jc w:val="left"/>
              <w:rPr>
                <w:rFonts w:cs="Arial"/>
                <w:b/>
                <w:szCs w:val="20"/>
                <w:lang w:val="en-GB"/>
              </w:rPr>
            </w:pPr>
          </w:p>
        </w:tc>
        <w:tc>
          <w:tcPr>
            <w:tcW w:w="1620"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Agreed by Government</w:t>
            </w:r>
          </w:p>
        </w:tc>
        <w:tc>
          <w:tcPr>
            <w:tcW w:w="4163"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Date/Month/Year:</w:t>
            </w:r>
          </w:p>
          <w:p w:rsidR="00807F49" w:rsidRPr="00666B27" w:rsidRDefault="00807F49" w:rsidP="00807F49">
            <w:pPr>
              <w:spacing w:after="0"/>
              <w:jc w:val="left"/>
              <w:rPr>
                <w:rFonts w:cs="Arial"/>
                <w:szCs w:val="20"/>
                <w:lang w:val="en-GB"/>
              </w:rPr>
            </w:pPr>
          </w:p>
        </w:tc>
      </w:tr>
      <w:tr w:rsidR="00807F49" w:rsidRPr="0057545E" w:rsidTr="00667F38">
        <w:tc>
          <w:tcPr>
            <w:tcW w:w="4135" w:type="dxa"/>
            <w:gridSpan w:val="2"/>
            <w:shd w:val="clear" w:color="auto" w:fill="auto"/>
          </w:tcPr>
          <w:p w:rsidR="00807F49" w:rsidRPr="00353542" w:rsidRDefault="00807F49" w:rsidP="00807F49">
            <w:pPr>
              <w:spacing w:after="0"/>
              <w:jc w:val="left"/>
              <w:rPr>
                <w:rFonts w:cs="Arial"/>
                <w:szCs w:val="20"/>
                <w:lang w:val="en-GB"/>
              </w:rPr>
            </w:pPr>
            <w:r w:rsidRPr="0057545E">
              <w:rPr>
                <w:rFonts w:cs="Arial"/>
                <w:b/>
                <w:szCs w:val="20"/>
                <w:lang w:val="en-GB"/>
              </w:rPr>
              <w:t xml:space="preserve">Signature:  </w:t>
            </w:r>
            <w:r w:rsidRPr="0057545E">
              <w:rPr>
                <w:rFonts w:cs="Arial"/>
                <w:szCs w:val="20"/>
                <w:lang w:val="en-GB"/>
              </w:rPr>
              <w:t>print name below</w:t>
            </w:r>
          </w:p>
          <w:p w:rsidR="00807F49" w:rsidRPr="003B7D62" w:rsidRDefault="00807F49" w:rsidP="00807F49">
            <w:pPr>
              <w:spacing w:after="0"/>
              <w:jc w:val="left"/>
              <w:rPr>
                <w:rFonts w:cs="Arial"/>
                <w:szCs w:val="20"/>
                <w:lang w:val="en-GB"/>
              </w:rPr>
            </w:pPr>
          </w:p>
          <w:p w:rsidR="00807F49" w:rsidRPr="004722F0" w:rsidRDefault="00807F49" w:rsidP="00807F49">
            <w:pPr>
              <w:spacing w:after="0"/>
              <w:jc w:val="left"/>
              <w:rPr>
                <w:rFonts w:cs="Arial"/>
                <w:szCs w:val="20"/>
                <w:lang w:val="en-GB"/>
              </w:rPr>
            </w:pPr>
          </w:p>
          <w:p w:rsidR="00807F49" w:rsidRPr="00666B27" w:rsidRDefault="00807F49" w:rsidP="00807F49">
            <w:pPr>
              <w:spacing w:after="0"/>
              <w:jc w:val="left"/>
              <w:rPr>
                <w:rFonts w:cs="Arial"/>
                <w:b/>
                <w:szCs w:val="20"/>
                <w:lang w:val="en-GB"/>
              </w:rPr>
            </w:pPr>
          </w:p>
        </w:tc>
        <w:tc>
          <w:tcPr>
            <w:tcW w:w="1620"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Agreed by Implementing Partner</w:t>
            </w:r>
            <w:r w:rsidR="00440511" w:rsidRPr="00666B27">
              <w:rPr>
                <w:rFonts w:cs="Arial"/>
                <w:b/>
                <w:szCs w:val="20"/>
                <w:lang w:val="en-GB"/>
              </w:rPr>
              <w:t xml:space="preserve"> (DOE)</w:t>
            </w:r>
          </w:p>
        </w:tc>
        <w:tc>
          <w:tcPr>
            <w:tcW w:w="4163"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Date/Month/Year:</w:t>
            </w:r>
          </w:p>
          <w:p w:rsidR="00807F49" w:rsidRPr="00666B27" w:rsidRDefault="00807F49" w:rsidP="00807F49">
            <w:pPr>
              <w:spacing w:after="0"/>
              <w:jc w:val="left"/>
              <w:rPr>
                <w:rFonts w:cs="Arial"/>
                <w:b/>
                <w:szCs w:val="20"/>
                <w:lang w:val="en-GB"/>
              </w:rPr>
            </w:pPr>
          </w:p>
        </w:tc>
      </w:tr>
      <w:tr w:rsidR="00807F49" w:rsidRPr="0057545E" w:rsidTr="00667F38">
        <w:tc>
          <w:tcPr>
            <w:tcW w:w="4135" w:type="dxa"/>
            <w:gridSpan w:val="2"/>
            <w:shd w:val="clear" w:color="auto" w:fill="auto"/>
          </w:tcPr>
          <w:p w:rsidR="00807F49" w:rsidRPr="00353542" w:rsidRDefault="00807F49" w:rsidP="00807F49">
            <w:pPr>
              <w:spacing w:after="0"/>
              <w:jc w:val="left"/>
              <w:rPr>
                <w:rFonts w:cs="Arial"/>
                <w:szCs w:val="20"/>
                <w:lang w:val="en-GB"/>
              </w:rPr>
            </w:pPr>
            <w:r w:rsidRPr="0057545E">
              <w:rPr>
                <w:rFonts w:cs="Arial"/>
                <w:b/>
                <w:szCs w:val="20"/>
                <w:lang w:val="en-GB"/>
              </w:rPr>
              <w:t xml:space="preserve">Signature:  </w:t>
            </w:r>
            <w:r w:rsidRPr="0057545E">
              <w:rPr>
                <w:rFonts w:cs="Arial"/>
                <w:szCs w:val="20"/>
                <w:lang w:val="en-GB"/>
              </w:rPr>
              <w:t>print name below</w:t>
            </w:r>
          </w:p>
          <w:p w:rsidR="00807F49" w:rsidRPr="003B7D62" w:rsidRDefault="00807F49" w:rsidP="00807F49">
            <w:pPr>
              <w:spacing w:after="0"/>
              <w:jc w:val="left"/>
              <w:rPr>
                <w:rFonts w:cs="Arial"/>
                <w:szCs w:val="20"/>
                <w:lang w:val="en-GB"/>
              </w:rPr>
            </w:pPr>
          </w:p>
          <w:p w:rsidR="00807F49" w:rsidRPr="004722F0" w:rsidRDefault="00807F49" w:rsidP="00807F49">
            <w:pPr>
              <w:spacing w:after="0"/>
              <w:jc w:val="left"/>
              <w:rPr>
                <w:rFonts w:cs="Arial"/>
                <w:szCs w:val="20"/>
                <w:lang w:val="en-GB"/>
              </w:rPr>
            </w:pPr>
          </w:p>
          <w:p w:rsidR="00807F49" w:rsidRPr="00666B27" w:rsidRDefault="00807F49" w:rsidP="00807F49">
            <w:pPr>
              <w:spacing w:after="0"/>
              <w:jc w:val="left"/>
              <w:rPr>
                <w:rFonts w:cs="Arial"/>
                <w:b/>
                <w:szCs w:val="20"/>
                <w:lang w:val="en-GB"/>
              </w:rPr>
            </w:pPr>
          </w:p>
        </w:tc>
        <w:tc>
          <w:tcPr>
            <w:tcW w:w="1620"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Agreed by UNDP</w:t>
            </w:r>
          </w:p>
        </w:tc>
        <w:tc>
          <w:tcPr>
            <w:tcW w:w="4163" w:type="dxa"/>
            <w:gridSpan w:val="3"/>
            <w:shd w:val="clear" w:color="auto" w:fill="auto"/>
          </w:tcPr>
          <w:p w:rsidR="00807F49" w:rsidRPr="00666B27" w:rsidRDefault="00807F49" w:rsidP="00807F49">
            <w:pPr>
              <w:spacing w:after="0"/>
              <w:jc w:val="left"/>
              <w:rPr>
                <w:rFonts w:cs="Arial"/>
                <w:b/>
                <w:szCs w:val="20"/>
                <w:lang w:val="en-GB"/>
              </w:rPr>
            </w:pPr>
            <w:r w:rsidRPr="00666B27">
              <w:rPr>
                <w:rFonts w:cs="Arial"/>
                <w:b/>
                <w:szCs w:val="20"/>
                <w:lang w:val="en-GB"/>
              </w:rPr>
              <w:t>Date/Month/Year:</w:t>
            </w:r>
          </w:p>
        </w:tc>
      </w:tr>
      <w:tr w:rsidR="00440511" w:rsidRPr="0057545E" w:rsidTr="00667F38">
        <w:tc>
          <w:tcPr>
            <w:tcW w:w="4135" w:type="dxa"/>
            <w:gridSpan w:val="2"/>
            <w:tcBorders>
              <w:top w:val="single" w:sz="4" w:space="0" w:color="auto"/>
              <w:left w:val="single" w:sz="4" w:space="0" w:color="auto"/>
              <w:bottom w:val="single" w:sz="4" w:space="0" w:color="auto"/>
              <w:right w:val="single" w:sz="4" w:space="0" w:color="auto"/>
            </w:tcBorders>
            <w:shd w:val="clear" w:color="auto" w:fill="auto"/>
          </w:tcPr>
          <w:p w:rsidR="00440511" w:rsidRPr="00353542" w:rsidRDefault="00440511" w:rsidP="0044496E">
            <w:pPr>
              <w:spacing w:after="0"/>
              <w:jc w:val="left"/>
              <w:rPr>
                <w:rFonts w:cs="Arial"/>
                <w:b/>
                <w:szCs w:val="20"/>
                <w:lang w:val="en-GB"/>
              </w:rPr>
            </w:pPr>
            <w:r w:rsidRPr="0057545E">
              <w:rPr>
                <w:rFonts w:cs="Arial"/>
                <w:b/>
                <w:szCs w:val="20"/>
                <w:lang w:val="en-GB"/>
              </w:rPr>
              <w:t>Signature:  print name below</w:t>
            </w:r>
          </w:p>
          <w:p w:rsidR="00440511" w:rsidRPr="003B7D62" w:rsidRDefault="00440511" w:rsidP="0044496E">
            <w:pPr>
              <w:spacing w:after="0"/>
              <w:jc w:val="left"/>
              <w:rPr>
                <w:rFonts w:cs="Arial"/>
                <w:b/>
                <w:szCs w:val="20"/>
                <w:lang w:val="en-GB"/>
              </w:rPr>
            </w:pPr>
          </w:p>
          <w:p w:rsidR="00440511" w:rsidRPr="008E26A0" w:rsidRDefault="00440511" w:rsidP="0044496E">
            <w:pPr>
              <w:spacing w:after="0"/>
              <w:jc w:val="left"/>
              <w:rPr>
                <w:rFonts w:cs="Arial"/>
                <w:b/>
                <w:szCs w:val="20"/>
                <w:lang w:val="en-GB"/>
              </w:rPr>
            </w:pPr>
          </w:p>
          <w:p w:rsidR="00440511" w:rsidRPr="008E26A0" w:rsidRDefault="00440511" w:rsidP="0044496E">
            <w:pPr>
              <w:spacing w:after="0"/>
              <w:jc w:val="left"/>
              <w:rPr>
                <w:rFonts w:cs="Arial"/>
                <w:b/>
                <w:szCs w:val="20"/>
                <w:lang w:val="en-GB"/>
              </w:rPr>
            </w:pPr>
          </w:p>
        </w:tc>
        <w:tc>
          <w:tcPr>
            <w:tcW w:w="1620" w:type="dxa"/>
            <w:gridSpan w:val="3"/>
            <w:tcBorders>
              <w:top w:val="single" w:sz="4" w:space="0" w:color="auto"/>
              <w:left w:val="single" w:sz="4" w:space="0" w:color="auto"/>
              <w:bottom w:val="single" w:sz="4" w:space="0" w:color="auto"/>
              <w:right w:val="single" w:sz="4" w:space="0" w:color="auto"/>
            </w:tcBorders>
            <w:shd w:val="clear" w:color="auto" w:fill="auto"/>
          </w:tcPr>
          <w:p w:rsidR="00440511" w:rsidRPr="008E26A0" w:rsidRDefault="00440511" w:rsidP="0044496E">
            <w:pPr>
              <w:spacing w:after="0"/>
              <w:jc w:val="left"/>
              <w:rPr>
                <w:rFonts w:cs="Arial"/>
                <w:b/>
                <w:szCs w:val="20"/>
                <w:lang w:val="en-GB"/>
              </w:rPr>
            </w:pPr>
            <w:r w:rsidRPr="008E26A0">
              <w:rPr>
                <w:rFonts w:cs="Arial"/>
                <w:b/>
                <w:szCs w:val="20"/>
                <w:lang w:val="en-GB"/>
              </w:rPr>
              <w:t>Agreed by DBSA</w:t>
            </w:r>
          </w:p>
        </w:tc>
        <w:tc>
          <w:tcPr>
            <w:tcW w:w="4163" w:type="dxa"/>
            <w:gridSpan w:val="3"/>
            <w:tcBorders>
              <w:top w:val="single" w:sz="4" w:space="0" w:color="auto"/>
              <w:left w:val="single" w:sz="4" w:space="0" w:color="auto"/>
              <w:bottom w:val="single" w:sz="4" w:space="0" w:color="auto"/>
              <w:right w:val="single" w:sz="4" w:space="0" w:color="auto"/>
            </w:tcBorders>
            <w:shd w:val="clear" w:color="auto" w:fill="auto"/>
          </w:tcPr>
          <w:p w:rsidR="00440511" w:rsidRPr="004722F0" w:rsidRDefault="00440511" w:rsidP="0044496E">
            <w:pPr>
              <w:spacing w:after="0"/>
              <w:jc w:val="left"/>
              <w:rPr>
                <w:rFonts w:cs="Arial"/>
                <w:b/>
                <w:szCs w:val="20"/>
                <w:lang w:val="en-GB"/>
              </w:rPr>
            </w:pPr>
            <w:r w:rsidRPr="004722F0">
              <w:rPr>
                <w:rFonts w:cs="Arial"/>
                <w:b/>
                <w:szCs w:val="20"/>
                <w:lang w:val="en-GB"/>
              </w:rPr>
              <w:t>Date/Month/Year:</w:t>
            </w:r>
          </w:p>
        </w:tc>
      </w:tr>
    </w:tbl>
    <w:p w:rsidR="00D64EA4" w:rsidRPr="0057545E" w:rsidRDefault="00D64EA4" w:rsidP="00235AE4">
      <w:pPr>
        <w:spacing w:after="240"/>
        <w:jc w:val="left"/>
        <w:rPr>
          <w:rFonts w:cs="Arial"/>
          <w:b/>
          <w:szCs w:val="20"/>
          <w:lang w:val="en-GB"/>
        </w:rPr>
      </w:pPr>
    </w:p>
    <w:p w:rsidR="001F6E52" w:rsidRPr="0057545E" w:rsidRDefault="001F6E52" w:rsidP="00235AE4">
      <w:pPr>
        <w:pStyle w:val="TOCHeading"/>
        <w:spacing w:before="0" w:after="240" w:line="240" w:lineRule="auto"/>
        <w:rPr>
          <w:rFonts w:ascii="Calibri" w:hAnsi="Calibri"/>
          <w:b w:val="0"/>
          <w:bCs/>
          <w:color w:val="auto"/>
          <w:sz w:val="22"/>
          <w:szCs w:val="22"/>
        </w:rPr>
      </w:pPr>
    </w:p>
    <w:p w:rsidR="001F6E52" w:rsidRPr="003B7D62" w:rsidRDefault="001F6E52">
      <w:pPr>
        <w:spacing w:after="0"/>
        <w:jc w:val="left"/>
        <w:rPr>
          <w:rFonts w:eastAsia="Times New Roman"/>
          <w:szCs w:val="22"/>
          <w:lang w:val="en-GB"/>
        </w:rPr>
      </w:pPr>
      <w:r w:rsidRPr="00353542">
        <w:rPr>
          <w:rFonts w:eastAsia="Times New Roman"/>
          <w:b/>
          <w:bCs/>
          <w:szCs w:val="22"/>
          <w:lang w:val="en-GB"/>
        </w:rPr>
        <w:br w:type="page"/>
      </w:r>
    </w:p>
    <w:p w:rsidR="00D64EA4" w:rsidRPr="008E26A0" w:rsidRDefault="00D64EA4" w:rsidP="001E1DBB">
      <w:pPr>
        <w:pStyle w:val="Heading1"/>
        <w:tabs>
          <w:tab w:val="left" w:pos="567"/>
        </w:tabs>
        <w:ind w:left="567" w:hanging="567"/>
      </w:pPr>
      <w:bookmarkStart w:id="4" w:name="_Toc497848289"/>
      <w:bookmarkStart w:id="5" w:name="_Toc497856119"/>
      <w:bookmarkStart w:id="6" w:name="_Toc340750"/>
      <w:r w:rsidRPr="003B7D62">
        <w:lastRenderedPageBreak/>
        <w:t>Table of Contents</w:t>
      </w:r>
      <w:bookmarkEnd w:id="4"/>
      <w:bookmarkEnd w:id="5"/>
      <w:bookmarkEnd w:id="6"/>
    </w:p>
    <w:p w:rsidR="00073DB2" w:rsidRPr="00F737AD" w:rsidRDefault="00073DB2" w:rsidP="00073DB2">
      <w:pPr>
        <w:rPr>
          <w:rFonts w:cs="Calibri"/>
          <w:lang w:val="en-GB" w:eastAsia="en-GB"/>
        </w:rPr>
      </w:pPr>
    </w:p>
    <w:p w:rsidR="001129BB" w:rsidRPr="00F737AD" w:rsidRDefault="008E495B">
      <w:pPr>
        <w:pStyle w:val="TOC1"/>
        <w:rPr>
          <w:rFonts w:eastAsia="Times New Roman"/>
          <w:b w:val="0"/>
          <w:bCs w:val="0"/>
          <w:caps w:val="0"/>
          <w:noProof/>
          <w:sz w:val="22"/>
          <w:szCs w:val="22"/>
          <w:lang w:val="en-GB"/>
        </w:rPr>
      </w:pPr>
      <w:r w:rsidRPr="00F737AD">
        <w:rPr>
          <w:lang w:val="en-GB"/>
        </w:rPr>
        <w:fldChar w:fldCharType="begin"/>
      </w:r>
      <w:r w:rsidRPr="00F737AD">
        <w:rPr>
          <w:lang w:val="en-GB"/>
        </w:rPr>
        <w:instrText xml:space="preserve"> TOC \h \z \t "Heading 1,1,Heading 2,2,Title,1,JF Heading 1,1,Heading A,1,Heading A2,2" </w:instrText>
      </w:r>
      <w:r w:rsidRPr="00F737AD">
        <w:rPr>
          <w:lang w:val="en-GB"/>
        </w:rPr>
        <w:fldChar w:fldCharType="separate"/>
      </w:r>
      <w:hyperlink w:anchor="_Toc340750" w:history="1">
        <w:r w:rsidR="001129BB" w:rsidRPr="00F737AD">
          <w:rPr>
            <w:rStyle w:val="Hyperlink"/>
            <w:rFonts w:cs="Calibri"/>
            <w:noProof/>
            <w:lang w:val="en-GB"/>
          </w:rPr>
          <w:t>1.</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Table of Contents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_Toc340750 \h </w:instrText>
        </w:r>
        <w:r w:rsidR="001129BB" w:rsidRPr="00F737AD">
          <w:rPr>
            <w:noProof/>
            <w:webHidden/>
            <w:lang w:val="en-GB"/>
          </w:rPr>
        </w:r>
        <w:r w:rsidR="001129BB" w:rsidRPr="00F737AD">
          <w:rPr>
            <w:noProof/>
            <w:webHidden/>
            <w:lang w:val="en-GB"/>
          </w:rPr>
          <w:fldChar w:fldCharType="separate"/>
        </w:r>
        <w:r w:rsidR="001B7E32">
          <w:rPr>
            <w:noProof/>
            <w:webHidden/>
            <w:lang w:val="en-GB"/>
          </w:rPr>
          <w:t>3</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51" w:history="1">
        <w:r w:rsidR="001129BB" w:rsidRPr="00F737AD">
          <w:rPr>
            <w:rStyle w:val="Hyperlink"/>
            <w:rFonts w:cs="Calibri"/>
            <w:noProof/>
            <w:lang w:val="en-GB"/>
          </w:rPr>
          <w:t>List of boxes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_Toc340751 \h </w:instrText>
        </w:r>
        <w:r w:rsidR="001129BB" w:rsidRPr="00F737AD">
          <w:rPr>
            <w:noProof/>
            <w:webHidden/>
            <w:lang w:val="en-GB"/>
          </w:rPr>
        </w:r>
        <w:r w:rsidR="001129BB" w:rsidRPr="00F737AD">
          <w:rPr>
            <w:noProof/>
            <w:webHidden/>
            <w:lang w:val="en-GB"/>
          </w:rPr>
          <w:fldChar w:fldCharType="separate"/>
        </w:r>
        <w:r w:rsidR="001B7E32">
          <w:rPr>
            <w:noProof/>
            <w:webHidden/>
            <w:lang w:val="en-GB"/>
          </w:rPr>
          <w:t>5</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52" w:history="1">
        <w:r w:rsidR="001129BB" w:rsidRPr="00F737AD">
          <w:rPr>
            <w:rStyle w:val="Hyperlink"/>
            <w:rFonts w:cs="Calibri"/>
            <w:noProof/>
            <w:lang w:val="en-GB"/>
          </w:rPr>
          <w:t>List of acronyms and abbreviations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_Toc340752 \h </w:instrText>
        </w:r>
        <w:r w:rsidR="001129BB" w:rsidRPr="00F737AD">
          <w:rPr>
            <w:noProof/>
            <w:webHidden/>
            <w:lang w:val="en-GB"/>
          </w:rPr>
        </w:r>
        <w:r w:rsidR="001129BB" w:rsidRPr="00F737AD">
          <w:rPr>
            <w:noProof/>
            <w:webHidden/>
            <w:lang w:val="en-GB"/>
          </w:rPr>
          <w:fldChar w:fldCharType="separate"/>
        </w:r>
        <w:r w:rsidR="001B7E32">
          <w:rPr>
            <w:noProof/>
            <w:webHidden/>
            <w:lang w:val="en-GB"/>
          </w:rPr>
          <w:t>7</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53" w:history="1">
        <w:r w:rsidR="001129BB" w:rsidRPr="00F737AD">
          <w:rPr>
            <w:rStyle w:val="Hyperlink"/>
            <w:rFonts w:cs="Calibri"/>
            <w:noProof/>
            <w:lang w:val="en-GB"/>
          </w:rPr>
          <w:t>2.</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Development Challenge</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_Toc340753 \h </w:instrText>
        </w:r>
        <w:r w:rsidR="001129BB" w:rsidRPr="00F737AD">
          <w:rPr>
            <w:noProof/>
            <w:webHidden/>
            <w:lang w:val="en-GB"/>
          </w:rPr>
        </w:r>
        <w:r w:rsidR="001129BB" w:rsidRPr="00F737AD">
          <w:rPr>
            <w:noProof/>
            <w:webHidden/>
            <w:lang w:val="en-GB"/>
          </w:rPr>
          <w:fldChar w:fldCharType="separate"/>
        </w:r>
        <w:r w:rsidR="001B7E32">
          <w:rPr>
            <w:noProof/>
            <w:webHidden/>
            <w:lang w:val="en-GB"/>
          </w:rPr>
          <w:t>10</w:t>
        </w:r>
        <w:r w:rsidR="001129BB" w:rsidRPr="00F737AD">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54" w:history="1">
        <w:r w:rsidR="001129BB" w:rsidRPr="00F737AD">
          <w:rPr>
            <w:rStyle w:val="Hyperlink"/>
            <w:rFonts w:cs="Calibri"/>
            <w:noProof/>
            <w:lang w:val="en-GB"/>
          </w:rPr>
          <w:t>2.1</w:t>
        </w:r>
        <w:r w:rsidR="001129BB" w:rsidRPr="00F737AD">
          <w:rPr>
            <w:rFonts w:eastAsia="Times New Roman"/>
            <w:noProof/>
            <w:sz w:val="22"/>
            <w:szCs w:val="22"/>
            <w:lang w:val="en-GB"/>
          </w:rPr>
          <w:tab/>
        </w:r>
        <w:r w:rsidR="001129BB" w:rsidRPr="00F737AD">
          <w:rPr>
            <w:rStyle w:val="Hyperlink"/>
            <w:rFonts w:cs="Calibri"/>
            <w:noProof/>
            <w:lang w:val="en-GB"/>
          </w:rPr>
          <w:t>Introduction</w:t>
        </w:r>
        <w:r w:rsidR="001129BB" w:rsidRPr="006A68A3">
          <w:rPr>
            <w:noProof/>
            <w:webHidden/>
            <w:lang w:val="en-GB"/>
          </w:rPr>
          <w:tab/>
        </w:r>
        <w:r w:rsidR="001129BB" w:rsidRPr="006A68A3">
          <w:rPr>
            <w:noProof/>
            <w:webHidden/>
            <w:lang w:val="en-GB"/>
          </w:rPr>
          <w:fldChar w:fldCharType="begin"/>
        </w:r>
        <w:r w:rsidR="001129BB" w:rsidRPr="006A68A3">
          <w:rPr>
            <w:noProof/>
            <w:webHidden/>
            <w:lang w:val="en-GB"/>
          </w:rPr>
          <w:instrText xml:space="preserve"> PAGEREF _Toc340754 \h </w:instrText>
        </w:r>
        <w:r w:rsidR="001129BB" w:rsidRPr="006A68A3">
          <w:rPr>
            <w:noProof/>
            <w:webHidden/>
            <w:lang w:val="en-GB"/>
          </w:rPr>
        </w:r>
        <w:r w:rsidR="001129BB" w:rsidRPr="006A68A3">
          <w:rPr>
            <w:noProof/>
            <w:webHidden/>
            <w:lang w:val="en-GB"/>
          </w:rPr>
          <w:fldChar w:fldCharType="separate"/>
        </w:r>
        <w:r w:rsidR="001B7E32">
          <w:rPr>
            <w:noProof/>
            <w:webHidden/>
            <w:lang w:val="en-GB"/>
          </w:rPr>
          <w:t>10</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55" w:history="1">
        <w:r w:rsidR="001129BB" w:rsidRPr="00F737AD">
          <w:rPr>
            <w:rStyle w:val="Hyperlink"/>
            <w:rFonts w:cs="Calibri"/>
            <w:noProof/>
            <w:lang w:val="en-GB"/>
          </w:rPr>
          <w:t>2.2</w:t>
        </w:r>
        <w:r w:rsidR="001129BB" w:rsidRPr="00F737AD">
          <w:rPr>
            <w:rFonts w:eastAsia="Times New Roman"/>
            <w:noProof/>
            <w:sz w:val="22"/>
            <w:szCs w:val="22"/>
            <w:lang w:val="en-GB"/>
          </w:rPr>
          <w:tab/>
        </w:r>
        <w:r w:rsidR="001129BB" w:rsidRPr="00F737AD">
          <w:rPr>
            <w:rStyle w:val="Hyperlink"/>
            <w:rFonts w:cs="Calibri"/>
            <w:noProof/>
            <w:lang w:val="en-GB"/>
          </w:rPr>
          <w:t>Problem analysis and the project’s objective</w:t>
        </w:r>
        <w:r w:rsidR="001129BB" w:rsidRPr="006A68A3">
          <w:rPr>
            <w:noProof/>
            <w:webHidden/>
            <w:lang w:val="en-GB"/>
          </w:rPr>
          <w:tab/>
        </w:r>
        <w:r w:rsidR="001129BB" w:rsidRPr="006A68A3">
          <w:rPr>
            <w:noProof/>
            <w:webHidden/>
            <w:lang w:val="en-GB"/>
          </w:rPr>
          <w:fldChar w:fldCharType="begin"/>
        </w:r>
        <w:r w:rsidR="001129BB" w:rsidRPr="006A68A3">
          <w:rPr>
            <w:noProof/>
            <w:webHidden/>
            <w:lang w:val="en-GB"/>
          </w:rPr>
          <w:instrText xml:space="preserve"> PAGEREF _Toc340755 \h </w:instrText>
        </w:r>
        <w:r w:rsidR="001129BB" w:rsidRPr="006A68A3">
          <w:rPr>
            <w:noProof/>
            <w:webHidden/>
            <w:lang w:val="en-GB"/>
          </w:rPr>
        </w:r>
        <w:r w:rsidR="001129BB" w:rsidRPr="006A68A3">
          <w:rPr>
            <w:noProof/>
            <w:webHidden/>
            <w:lang w:val="en-GB"/>
          </w:rPr>
          <w:fldChar w:fldCharType="separate"/>
        </w:r>
        <w:r w:rsidR="001B7E32">
          <w:rPr>
            <w:noProof/>
            <w:webHidden/>
            <w:lang w:val="en-GB"/>
          </w:rPr>
          <w:t>12</w:t>
        </w:r>
        <w:r w:rsidR="001129BB" w:rsidRPr="006A68A3">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56" w:history="1">
        <w:r w:rsidR="001129BB" w:rsidRPr="00F737AD">
          <w:rPr>
            <w:rStyle w:val="Hyperlink"/>
            <w:rFonts w:cs="Calibri"/>
            <w:noProof/>
            <w:lang w:val="en-GB"/>
          </w:rPr>
          <w:t>3.</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Strategy</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_Toc340756 \h </w:instrText>
        </w:r>
        <w:r w:rsidR="001129BB" w:rsidRPr="00F737AD">
          <w:rPr>
            <w:noProof/>
            <w:webHidden/>
            <w:lang w:val="en-GB"/>
          </w:rPr>
        </w:r>
        <w:r w:rsidR="001129BB" w:rsidRPr="00F737AD">
          <w:rPr>
            <w:noProof/>
            <w:webHidden/>
            <w:lang w:val="en-GB"/>
          </w:rPr>
          <w:fldChar w:fldCharType="separate"/>
        </w:r>
        <w:r w:rsidR="001B7E32">
          <w:rPr>
            <w:noProof/>
            <w:webHidden/>
            <w:lang w:val="en-GB"/>
          </w:rPr>
          <w:t>18</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57" w:history="1">
        <w:r w:rsidR="001129BB" w:rsidRPr="00F737AD">
          <w:rPr>
            <w:rStyle w:val="Hyperlink"/>
            <w:rFonts w:cs="Calibri"/>
            <w:noProof/>
            <w:lang w:val="en-GB"/>
          </w:rPr>
          <w:t>4.</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Results and Partnerships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_Toc340757 \h </w:instrText>
        </w:r>
        <w:r w:rsidR="001129BB" w:rsidRPr="00F737AD">
          <w:rPr>
            <w:noProof/>
            <w:webHidden/>
            <w:lang w:val="en-GB"/>
          </w:rPr>
        </w:r>
        <w:r w:rsidR="001129BB" w:rsidRPr="00F737AD">
          <w:rPr>
            <w:noProof/>
            <w:webHidden/>
            <w:lang w:val="en-GB"/>
          </w:rPr>
          <w:fldChar w:fldCharType="separate"/>
        </w:r>
        <w:r w:rsidR="001B7E32">
          <w:rPr>
            <w:noProof/>
            <w:webHidden/>
            <w:lang w:val="en-GB"/>
          </w:rPr>
          <w:t>24</w:t>
        </w:r>
        <w:r w:rsidR="001129BB" w:rsidRPr="00F737AD">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58" w:history="1">
        <w:r w:rsidR="001129BB" w:rsidRPr="00F737AD">
          <w:rPr>
            <w:rStyle w:val="Hyperlink"/>
            <w:rFonts w:cs="Calibri"/>
            <w:noProof/>
            <w:lang w:val="en-GB"/>
          </w:rPr>
          <w:t>4.1</w:t>
        </w:r>
        <w:r w:rsidR="001129BB" w:rsidRPr="00F737AD">
          <w:rPr>
            <w:rFonts w:eastAsia="Times New Roman"/>
            <w:noProof/>
            <w:sz w:val="22"/>
            <w:szCs w:val="22"/>
            <w:lang w:val="en-GB"/>
          </w:rPr>
          <w:tab/>
        </w:r>
        <w:r w:rsidR="001129BB" w:rsidRPr="00F737AD">
          <w:rPr>
            <w:rStyle w:val="Hyperlink"/>
            <w:rFonts w:cs="Calibri"/>
            <w:noProof/>
            <w:lang w:val="en-GB"/>
          </w:rPr>
          <w:t>Expected results</w:t>
        </w:r>
        <w:r w:rsidR="001129BB" w:rsidRPr="006A68A3">
          <w:rPr>
            <w:noProof/>
            <w:webHidden/>
            <w:lang w:val="en-GB"/>
          </w:rPr>
          <w:tab/>
        </w:r>
        <w:r w:rsidR="001129BB" w:rsidRPr="006A68A3">
          <w:rPr>
            <w:noProof/>
            <w:webHidden/>
            <w:lang w:val="en-GB"/>
          </w:rPr>
          <w:fldChar w:fldCharType="begin"/>
        </w:r>
        <w:r w:rsidR="001129BB" w:rsidRPr="006A68A3">
          <w:rPr>
            <w:noProof/>
            <w:webHidden/>
            <w:lang w:val="en-GB"/>
          </w:rPr>
          <w:instrText xml:space="preserve"> PAGEREF _Toc340758 \h </w:instrText>
        </w:r>
        <w:r w:rsidR="001129BB" w:rsidRPr="006A68A3">
          <w:rPr>
            <w:noProof/>
            <w:webHidden/>
            <w:lang w:val="en-GB"/>
          </w:rPr>
        </w:r>
        <w:r w:rsidR="001129BB" w:rsidRPr="006A68A3">
          <w:rPr>
            <w:noProof/>
            <w:webHidden/>
            <w:lang w:val="en-GB"/>
          </w:rPr>
          <w:fldChar w:fldCharType="separate"/>
        </w:r>
        <w:r w:rsidR="001B7E32">
          <w:rPr>
            <w:noProof/>
            <w:webHidden/>
            <w:lang w:val="en-GB"/>
          </w:rPr>
          <w:t>24</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59" w:history="1">
        <w:r w:rsidR="001129BB" w:rsidRPr="00F737AD">
          <w:rPr>
            <w:rStyle w:val="Hyperlink"/>
            <w:rFonts w:cs="Calibri"/>
            <w:noProof/>
            <w:lang w:val="en-GB"/>
          </w:rPr>
          <w:t>4.2</w:t>
        </w:r>
        <w:r w:rsidR="001129BB" w:rsidRPr="00F737AD">
          <w:rPr>
            <w:rFonts w:eastAsia="Times New Roman"/>
            <w:noProof/>
            <w:sz w:val="22"/>
            <w:szCs w:val="22"/>
            <w:lang w:val="en-GB"/>
          </w:rPr>
          <w:tab/>
        </w:r>
        <w:r w:rsidR="001129BB" w:rsidRPr="00F737AD">
          <w:rPr>
            <w:rStyle w:val="Hyperlink"/>
            <w:rFonts w:cs="Calibri"/>
            <w:noProof/>
            <w:lang w:val="en-GB"/>
          </w:rPr>
          <w:t>Partnerships</w:t>
        </w:r>
        <w:r w:rsidR="001129BB" w:rsidRPr="006A68A3">
          <w:rPr>
            <w:noProof/>
            <w:webHidden/>
            <w:lang w:val="en-GB"/>
          </w:rPr>
          <w:tab/>
        </w:r>
        <w:r w:rsidR="001129BB" w:rsidRPr="006A68A3">
          <w:rPr>
            <w:noProof/>
            <w:webHidden/>
            <w:lang w:val="en-GB"/>
          </w:rPr>
          <w:fldChar w:fldCharType="begin"/>
        </w:r>
        <w:r w:rsidR="001129BB" w:rsidRPr="006A68A3">
          <w:rPr>
            <w:noProof/>
            <w:webHidden/>
            <w:lang w:val="en-GB"/>
          </w:rPr>
          <w:instrText xml:space="preserve"> PAGEREF _Toc340759 \h </w:instrText>
        </w:r>
        <w:r w:rsidR="001129BB" w:rsidRPr="006A68A3">
          <w:rPr>
            <w:noProof/>
            <w:webHidden/>
            <w:lang w:val="en-GB"/>
          </w:rPr>
        </w:r>
        <w:r w:rsidR="001129BB" w:rsidRPr="006A68A3">
          <w:rPr>
            <w:noProof/>
            <w:webHidden/>
            <w:lang w:val="en-GB"/>
          </w:rPr>
          <w:fldChar w:fldCharType="separate"/>
        </w:r>
        <w:r w:rsidR="001B7E32">
          <w:rPr>
            <w:noProof/>
            <w:webHidden/>
            <w:lang w:val="en-GB"/>
          </w:rPr>
          <w:t>34</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0" w:history="1">
        <w:r w:rsidR="001129BB" w:rsidRPr="00F737AD">
          <w:rPr>
            <w:rStyle w:val="Hyperlink"/>
            <w:rFonts w:cs="Calibri"/>
            <w:noProof/>
            <w:lang w:val="en-GB"/>
          </w:rPr>
          <w:t>4.3</w:t>
        </w:r>
        <w:r w:rsidR="001129BB" w:rsidRPr="00F737AD">
          <w:rPr>
            <w:rFonts w:eastAsia="Times New Roman"/>
            <w:noProof/>
            <w:sz w:val="22"/>
            <w:szCs w:val="22"/>
            <w:lang w:val="en-GB"/>
          </w:rPr>
          <w:tab/>
        </w:r>
        <w:r w:rsidR="001129BB" w:rsidRPr="00F737AD">
          <w:rPr>
            <w:rStyle w:val="Hyperlink"/>
            <w:rFonts w:cs="Calibri"/>
            <w:noProof/>
            <w:lang w:val="en-GB"/>
          </w:rPr>
          <w:t>Risk and assumptions</w:t>
        </w:r>
        <w:r w:rsidR="001129BB" w:rsidRPr="006A68A3">
          <w:rPr>
            <w:noProof/>
            <w:webHidden/>
            <w:lang w:val="en-GB"/>
          </w:rPr>
          <w:tab/>
        </w:r>
        <w:r w:rsidR="001129BB" w:rsidRPr="006A68A3">
          <w:rPr>
            <w:noProof/>
            <w:webHidden/>
            <w:lang w:val="en-GB"/>
          </w:rPr>
          <w:fldChar w:fldCharType="begin"/>
        </w:r>
        <w:r w:rsidR="001129BB" w:rsidRPr="006A68A3">
          <w:rPr>
            <w:noProof/>
            <w:webHidden/>
            <w:lang w:val="en-GB"/>
          </w:rPr>
          <w:instrText xml:space="preserve"> PAGEREF _Toc340760 \h </w:instrText>
        </w:r>
        <w:r w:rsidR="001129BB" w:rsidRPr="006A68A3">
          <w:rPr>
            <w:noProof/>
            <w:webHidden/>
            <w:lang w:val="en-GB"/>
          </w:rPr>
        </w:r>
        <w:r w:rsidR="001129BB" w:rsidRPr="006A68A3">
          <w:rPr>
            <w:noProof/>
            <w:webHidden/>
            <w:lang w:val="en-GB"/>
          </w:rPr>
          <w:fldChar w:fldCharType="separate"/>
        </w:r>
        <w:r w:rsidR="001B7E32">
          <w:rPr>
            <w:noProof/>
            <w:webHidden/>
            <w:lang w:val="en-GB"/>
          </w:rPr>
          <w:t>35</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1" w:history="1">
        <w:r w:rsidR="001129BB" w:rsidRPr="00F737AD">
          <w:rPr>
            <w:rStyle w:val="Hyperlink"/>
            <w:rFonts w:cs="Calibri"/>
            <w:noProof/>
            <w:lang w:val="en-GB"/>
          </w:rPr>
          <w:t>4.4</w:t>
        </w:r>
        <w:r w:rsidR="001129BB" w:rsidRPr="00F737AD">
          <w:rPr>
            <w:rFonts w:eastAsia="Times New Roman"/>
            <w:noProof/>
            <w:sz w:val="22"/>
            <w:szCs w:val="22"/>
            <w:lang w:val="en-GB"/>
          </w:rPr>
          <w:tab/>
        </w:r>
        <w:r w:rsidR="001129BB" w:rsidRPr="00F737AD">
          <w:rPr>
            <w:rStyle w:val="Hyperlink"/>
            <w:rFonts w:cs="Calibri"/>
            <w:noProof/>
            <w:lang w:val="en-GB"/>
          </w:rPr>
          <w:t>South-South and Triangular Cooperation (SSTrC):</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_Toc340761 \h </w:instrText>
        </w:r>
        <w:r w:rsidR="001129BB" w:rsidRPr="006A68A3">
          <w:rPr>
            <w:noProof/>
            <w:webHidden/>
            <w:lang w:val="en-GB"/>
          </w:rPr>
        </w:r>
        <w:r w:rsidR="001129BB" w:rsidRPr="006A68A3">
          <w:rPr>
            <w:noProof/>
            <w:webHidden/>
            <w:lang w:val="en-GB"/>
          </w:rPr>
          <w:fldChar w:fldCharType="separate"/>
        </w:r>
        <w:r w:rsidR="001B7E32">
          <w:rPr>
            <w:noProof/>
            <w:webHidden/>
            <w:lang w:val="en-GB"/>
          </w:rPr>
          <w:t>37</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2" w:history="1">
        <w:r w:rsidR="001129BB" w:rsidRPr="00F737AD">
          <w:rPr>
            <w:rStyle w:val="Hyperlink"/>
            <w:rFonts w:cs="Calibri"/>
            <w:noProof/>
            <w:lang w:val="en-GB"/>
          </w:rPr>
          <w:t>4.5</w:t>
        </w:r>
        <w:r w:rsidR="001129BB" w:rsidRPr="00F737AD">
          <w:rPr>
            <w:rFonts w:eastAsia="Times New Roman"/>
            <w:noProof/>
            <w:sz w:val="22"/>
            <w:szCs w:val="22"/>
            <w:lang w:val="en-GB"/>
          </w:rPr>
          <w:tab/>
        </w:r>
        <w:r w:rsidR="001129BB" w:rsidRPr="00F737AD">
          <w:rPr>
            <w:rStyle w:val="Hyperlink"/>
            <w:rFonts w:cs="Calibri"/>
            <w:noProof/>
            <w:lang w:val="en-GB"/>
          </w:rPr>
          <w:t>Stakeholder engagement</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_Toc340762 \h </w:instrText>
        </w:r>
        <w:r w:rsidR="001129BB" w:rsidRPr="006A68A3">
          <w:rPr>
            <w:noProof/>
            <w:webHidden/>
            <w:lang w:val="en-GB"/>
          </w:rPr>
        </w:r>
        <w:r w:rsidR="001129BB" w:rsidRPr="006A68A3">
          <w:rPr>
            <w:noProof/>
            <w:webHidden/>
            <w:lang w:val="en-GB"/>
          </w:rPr>
          <w:fldChar w:fldCharType="separate"/>
        </w:r>
        <w:r w:rsidR="001B7E32">
          <w:rPr>
            <w:noProof/>
            <w:webHidden/>
            <w:lang w:val="en-GB"/>
          </w:rPr>
          <w:t>37</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3" w:history="1">
        <w:r w:rsidR="001129BB" w:rsidRPr="00F737AD">
          <w:rPr>
            <w:rStyle w:val="Hyperlink"/>
            <w:rFonts w:cs="Calibri"/>
            <w:noProof/>
            <w:lang w:val="en-GB"/>
          </w:rPr>
          <w:t>4.6</w:t>
        </w:r>
        <w:r w:rsidR="001129BB" w:rsidRPr="00F737AD">
          <w:rPr>
            <w:rFonts w:eastAsia="Times New Roman"/>
            <w:noProof/>
            <w:sz w:val="22"/>
            <w:szCs w:val="22"/>
            <w:lang w:val="en-GB"/>
          </w:rPr>
          <w:tab/>
        </w:r>
        <w:r w:rsidR="001129BB" w:rsidRPr="00F737AD">
          <w:rPr>
            <w:rStyle w:val="Hyperlink"/>
            <w:rFonts w:cs="Calibri"/>
            <w:noProof/>
            <w:lang w:val="en-GB"/>
          </w:rPr>
          <w:t>Mainstreaming gender</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_Toc340763 \h </w:instrText>
        </w:r>
        <w:r w:rsidR="001129BB" w:rsidRPr="006A68A3">
          <w:rPr>
            <w:noProof/>
            <w:webHidden/>
            <w:lang w:val="en-GB"/>
          </w:rPr>
        </w:r>
        <w:r w:rsidR="001129BB" w:rsidRPr="006A68A3">
          <w:rPr>
            <w:noProof/>
            <w:webHidden/>
            <w:lang w:val="en-GB"/>
          </w:rPr>
          <w:fldChar w:fldCharType="separate"/>
        </w:r>
        <w:r w:rsidR="001B7E32">
          <w:rPr>
            <w:noProof/>
            <w:webHidden/>
            <w:lang w:val="en-GB"/>
          </w:rPr>
          <w:t>38</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4" w:history="1">
        <w:r w:rsidR="001129BB" w:rsidRPr="00F737AD">
          <w:rPr>
            <w:rStyle w:val="Hyperlink"/>
            <w:rFonts w:cs="Calibri"/>
            <w:noProof/>
            <w:lang w:val="en-GB"/>
          </w:rPr>
          <w:t>4.7</w:t>
        </w:r>
        <w:r w:rsidR="001129BB" w:rsidRPr="00F737AD">
          <w:rPr>
            <w:rFonts w:eastAsia="Times New Roman"/>
            <w:noProof/>
            <w:sz w:val="22"/>
            <w:szCs w:val="22"/>
            <w:lang w:val="en-GB"/>
          </w:rPr>
          <w:tab/>
        </w:r>
        <w:r w:rsidR="001129BB" w:rsidRPr="00F737AD">
          <w:rPr>
            <w:rStyle w:val="Hyperlink"/>
            <w:rFonts w:cs="Calibri"/>
            <w:noProof/>
            <w:lang w:val="en-GB"/>
          </w:rPr>
          <w:t>Sustainability and scaling up</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_Toc340764 \h </w:instrText>
        </w:r>
        <w:r w:rsidR="001129BB" w:rsidRPr="006A68A3">
          <w:rPr>
            <w:noProof/>
            <w:webHidden/>
            <w:lang w:val="en-GB"/>
          </w:rPr>
        </w:r>
        <w:r w:rsidR="001129BB" w:rsidRPr="006A68A3">
          <w:rPr>
            <w:noProof/>
            <w:webHidden/>
            <w:lang w:val="en-GB"/>
          </w:rPr>
          <w:fldChar w:fldCharType="separate"/>
        </w:r>
        <w:r w:rsidR="001B7E32">
          <w:rPr>
            <w:noProof/>
            <w:webHidden/>
            <w:lang w:val="en-GB"/>
          </w:rPr>
          <w:t>40</w:t>
        </w:r>
        <w:r w:rsidR="001129BB" w:rsidRPr="006A68A3">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65" w:history="1">
        <w:r w:rsidR="001129BB" w:rsidRPr="00F737AD">
          <w:rPr>
            <w:rStyle w:val="Hyperlink"/>
            <w:rFonts w:cs="Calibri"/>
            <w:noProof/>
            <w:lang w:val="en-GB"/>
          </w:rPr>
          <w:t>5.</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Project Management</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_Toc340765 \h </w:instrText>
        </w:r>
        <w:r w:rsidR="001129BB" w:rsidRPr="00F737AD">
          <w:rPr>
            <w:noProof/>
            <w:webHidden/>
            <w:lang w:val="en-GB"/>
          </w:rPr>
        </w:r>
        <w:r w:rsidR="001129BB" w:rsidRPr="00F737AD">
          <w:rPr>
            <w:noProof/>
            <w:webHidden/>
            <w:lang w:val="en-GB"/>
          </w:rPr>
          <w:fldChar w:fldCharType="separate"/>
        </w:r>
        <w:r w:rsidR="001B7E32">
          <w:rPr>
            <w:noProof/>
            <w:webHidden/>
            <w:lang w:val="en-GB"/>
          </w:rPr>
          <w:t>42</w:t>
        </w:r>
        <w:r w:rsidR="001129BB" w:rsidRPr="00F737AD">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6" w:history="1">
        <w:r w:rsidR="001129BB" w:rsidRPr="00F737AD">
          <w:rPr>
            <w:rStyle w:val="Hyperlink"/>
            <w:rFonts w:cs="Calibri"/>
            <w:noProof/>
            <w:lang w:val="en-GB"/>
          </w:rPr>
          <w:t>5.1</w:t>
        </w:r>
        <w:r w:rsidR="001129BB" w:rsidRPr="00F737AD">
          <w:rPr>
            <w:rFonts w:eastAsia="Times New Roman"/>
            <w:noProof/>
            <w:sz w:val="22"/>
            <w:szCs w:val="22"/>
            <w:lang w:val="en-GB"/>
          </w:rPr>
          <w:tab/>
        </w:r>
        <w:r w:rsidR="001129BB" w:rsidRPr="00F737AD">
          <w:rPr>
            <w:rStyle w:val="Hyperlink"/>
            <w:rFonts w:cs="Calibri"/>
            <w:noProof/>
            <w:lang w:val="en-GB"/>
          </w:rPr>
          <w:t>Cost efficiency and effectiveness</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_Toc340766 \h </w:instrText>
        </w:r>
        <w:r w:rsidR="001129BB" w:rsidRPr="006A68A3">
          <w:rPr>
            <w:noProof/>
            <w:webHidden/>
            <w:lang w:val="en-GB"/>
          </w:rPr>
        </w:r>
        <w:r w:rsidR="001129BB" w:rsidRPr="006A68A3">
          <w:rPr>
            <w:noProof/>
            <w:webHidden/>
            <w:lang w:val="en-GB"/>
          </w:rPr>
          <w:fldChar w:fldCharType="separate"/>
        </w:r>
        <w:r w:rsidR="001B7E32">
          <w:rPr>
            <w:noProof/>
            <w:webHidden/>
            <w:lang w:val="en-GB"/>
          </w:rPr>
          <w:t>42</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67" w:history="1">
        <w:r w:rsidR="001129BB" w:rsidRPr="00F737AD">
          <w:rPr>
            <w:rStyle w:val="Hyperlink"/>
            <w:rFonts w:cs="Calibri"/>
            <w:noProof/>
            <w:lang w:val="en-GB"/>
          </w:rPr>
          <w:t>5.2</w:t>
        </w:r>
        <w:r w:rsidR="001129BB" w:rsidRPr="00F737AD">
          <w:rPr>
            <w:rFonts w:eastAsia="Times New Roman"/>
            <w:noProof/>
            <w:sz w:val="22"/>
            <w:szCs w:val="22"/>
            <w:lang w:val="en-GB"/>
          </w:rPr>
          <w:tab/>
        </w:r>
        <w:r w:rsidR="001129BB" w:rsidRPr="00F737AD">
          <w:rPr>
            <w:rStyle w:val="Hyperlink"/>
            <w:rFonts w:cs="Calibri"/>
            <w:noProof/>
            <w:lang w:val="en-GB"/>
          </w:rPr>
          <w:t>Project management</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_Toc340767 \h </w:instrText>
        </w:r>
        <w:r w:rsidR="001129BB" w:rsidRPr="006A68A3">
          <w:rPr>
            <w:noProof/>
            <w:webHidden/>
            <w:lang w:val="en-GB"/>
          </w:rPr>
        </w:r>
        <w:r w:rsidR="001129BB" w:rsidRPr="006A68A3">
          <w:rPr>
            <w:noProof/>
            <w:webHidden/>
            <w:lang w:val="en-GB"/>
          </w:rPr>
          <w:fldChar w:fldCharType="separate"/>
        </w:r>
        <w:r w:rsidR="001B7E32">
          <w:rPr>
            <w:noProof/>
            <w:webHidden/>
            <w:lang w:val="en-GB"/>
          </w:rPr>
          <w:t>43</w:t>
        </w:r>
        <w:r w:rsidR="001129BB" w:rsidRPr="006A68A3">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68" w:history="1">
        <w:r w:rsidR="001129BB" w:rsidRPr="00F737AD">
          <w:rPr>
            <w:rStyle w:val="Hyperlink"/>
            <w:rFonts w:cs="Calibri"/>
            <w:noProof/>
            <w:lang w:val="en-GB"/>
          </w:rPr>
          <w:t>6.</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Project Results Framework</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_Toc340768 \h </w:instrText>
        </w:r>
        <w:r w:rsidR="001129BB" w:rsidRPr="00F737AD">
          <w:rPr>
            <w:noProof/>
            <w:webHidden/>
            <w:lang w:val="en-GB"/>
          </w:rPr>
        </w:r>
        <w:r w:rsidR="001129BB" w:rsidRPr="00F737AD">
          <w:rPr>
            <w:noProof/>
            <w:webHidden/>
            <w:lang w:val="en-GB"/>
          </w:rPr>
          <w:fldChar w:fldCharType="separate"/>
        </w:r>
        <w:r w:rsidR="001B7E32">
          <w:rPr>
            <w:noProof/>
            <w:webHidden/>
            <w:lang w:val="en-GB"/>
          </w:rPr>
          <w:t>45</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69" w:history="1">
        <w:r w:rsidR="001129BB" w:rsidRPr="00F737AD">
          <w:rPr>
            <w:rStyle w:val="Hyperlink"/>
            <w:rFonts w:cs="Calibri"/>
            <w:noProof/>
            <w:lang w:val="en-GB"/>
          </w:rPr>
          <w:t>7.</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Monitoring and Evaluation (M&amp;E) Plan</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_Toc340769 \h </w:instrText>
        </w:r>
        <w:r w:rsidR="001129BB" w:rsidRPr="00F737AD">
          <w:rPr>
            <w:noProof/>
            <w:webHidden/>
            <w:lang w:val="en-GB"/>
          </w:rPr>
        </w:r>
        <w:r w:rsidR="001129BB" w:rsidRPr="00F737AD">
          <w:rPr>
            <w:noProof/>
            <w:webHidden/>
            <w:lang w:val="en-GB"/>
          </w:rPr>
          <w:fldChar w:fldCharType="separate"/>
        </w:r>
        <w:r w:rsidR="001B7E32">
          <w:rPr>
            <w:noProof/>
            <w:webHidden/>
            <w:lang w:val="en-GB"/>
          </w:rPr>
          <w:t>50</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0" w:history="1">
        <w:r w:rsidR="001129BB" w:rsidRPr="00F737AD">
          <w:rPr>
            <w:rStyle w:val="Hyperlink"/>
            <w:rFonts w:cs="Calibri"/>
            <w:noProof/>
            <w:lang w:val="en-GB"/>
          </w:rPr>
          <w:t>8.</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Governance and management arrangements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_Toc340770 \h </w:instrText>
        </w:r>
        <w:r w:rsidR="001129BB" w:rsidRPr="00F737AD">
          <w:rPr>
            <w:noProof/>
            <w:webHidden/>
            <w:lang w:val="en-GB"/>
          </w:rPr>
        </w:r>
        <w:r w:rsidR="001129BB" w:rsidRPr="00F737AD">
          <w:rPr>
            <w:noProof/>
            <w:webHidden/>
            <w:lang w:val="en-GB"/>
          </w:rPr>
          <w:fldChar w:fldCharType="separate"/>
        </w:r>
        <w:r w:rsidR="001B7E32">
          <w:rPr>
            <w:noProof/>
            <w:webHidden/>
            <w:lang w:val="en-GB"/>
          </w:rPr>
          <w:t>54</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1" w:history="1">
        <w:r w:rsidR="001129BB" w:rsidRPr="00F737AD">
          <w:rPr>
            <w:rStyle w:val="Hyperlink"/>
            <w:rFonts w:cs="Calibri"/>
            <w:noProof/>
            <w:lang w:val="en-GB"/>
          </w:rPr>
          <w:t>9.</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Financial Planning and Management</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_Toc340771 \h </w:instrText>
        </w:r>
        <w:r w:rsidR="001129BB" w:rsidRPr="00F737AD">
          <w:rPr>
            <w:noProof/>
            <w:webHidden/>
            <w:lang w:val="en-GB"/>
          </w:rPr>
        </w:r>
        <w:r w:rsidR="001129BB" w:rsidRPr="00F737AD">
          <w:rPr>
            <w:noProof/>
            <w:webHidden/>
            <w:lang w:val="en-GB"/>
          </w:rPr>
          <w:fldChar w:fldCharType="separate"/>
        </w:r>
        <w:r w:rsidR="001B7E32">
          <w:rPr>
            <w:noProof/>
            <w:webHidden/>
            <w:lang w:val="en-GB"/>
          </w:rPr>
          <w:t>56</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2" w:history="1">
        <w:r w:rsidR="001129BB" w:rsidRPr="00F737AD">
          <w:rPr>
            <w:rStyle w:val="Hyperlink"/>
            <w:rFonts w:cs="Calibri"/>
            <w:noProof/>
            <w:lang w:val="en-GB"/>
          </w:rPr>
          <w:t>10.</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Total UNDP Budget and Work Plan</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_Toc340772 \h </w:instrText>
        </w:r>
        <w:r w:rsidR="001129BB" w:rsidRPr="00F737AD">
          <w:rPr>
            <w:noProof/>
            <w:webHidden/>
            <w:lang w:val="en-GB"/>
          </w:rPr>
        </w:r>
        <w:r w:rsidR="001129BB" w:rsidRPr="00F737AD">
          <w:rPr>
            <w:noProof/>
            <w:webHidden/>
            <w:lang w:val="en-GB"/>
          </w:rPr>
          <w:fldChar w:fldCharType="separate"/>
        </w:r>
        <w:r w:rsidR="001B7E32">
          <w:rPr>
            <w:noProof/>
            <w:webHidden/>
            <w:lang w:val="en-GB"/>
          </w:rPr>
          <w:t>58</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3" w:history="1">
        <w:r w:rsidR="001129BB" w:rsidRPr="00F737AD">
          <w:rPr>
            <w:rStyle w:val="Hyperlink"/>
            <w:rFonts w:cs="Calibri"/>
            <w:noProof/>
            <w:lang w:val="en-GB"/>
          </w:rPr>
          <w:t>11.</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Legal Context</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_Toc340773 \h </w:instrText>
        </w:r>
        <w:r w:rsidR="001129BB" w:rsidRPr="00F737AD">
          <w:rPr>
            <w:noProof/>
            <w:webHidden/>
            <w:lang w:val="en-GB"/>
          </w:rPr>
        </w:r>
        <w:r w:rsidR="001129BB" w:rsidRPr="00F737AD">
          <w:rPr>
            <w:noProof/>
            <w:webHidden/>
            <w:lang w:val="en-GB"/>
          </w:rPr>
          <w:fldChar w:fldCharType="separate"/>
        </w:r>
        <w:r w:rsidR="001B7E32">
          <w:rPr>
            <w:noProof/>
            <w:webHidden/>
            <w:lang w:val="en-GB"/>
          </w:rPr>
          <w:t>62</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4" w:history="1">
        <w:r w:rsidR="001129BB" w:rsidRPr="00F737AD">
          <w:rPr>
            <w:rStyle w:val="Hyperlink"/>
            <w:rFonts w:cs="Calibri"/>
            <w:noProof/>
            <w:lang w:val="en-GB"/>
          </w:rPr>
          <w:t>12.</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Risk Management</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_Toc340774 \h </w:instrText>
        </w:r>
        <w:r w:rsidR="001129BB" w:rsidRPr="00F737AD">
          <w:rPr>
            <w:noProof/>
            <w:webHidden/>
            <w:lang w:val="en-GB"/>
          </w:rPr>
        </w:r>
        <w:r w:rsidR="001129BB" w:rsidRPr="00F737AD">
          <w:rPr>
            <w:noProof/>
            <w:webHidden/>
            <w:lang w:val="en-GB"/>
          </w:rPr>
          <w:fldChar w:fldCharType="separate"/>
        </w:r>
        <w:r w:rsidR="001B7E32">
          <w:rPr>
            <w:noProof/>
            <w:webHidden/>
            <w:lang w:val="en-GB"/>
          </w:rPr>
          <w:t>62</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5" w:history="1">
        <w:r w:rsidR="001129BB" w:rsidRPr="00F737AD">
          <w:rPr>
            <w:rStyle w:val="Hyperlink"/>
            <w:rFonts w:cs="Calibri"/>
            <w:noProof/>
            <w:lang w:val="en-GB"/>
          </w:rPr>
          <w:t>Annexes</w:t>
        </w:r>
        <w:r w:rsidR="001129BB" w:rsidRPr="00F737AD">
          <w:rPr>
            <w:noProof/>
            <w:webHidden/>
            <w:lang w:val="en-GB"/>
          </w:rPr>
          <w:tab/>
        </w:r>
      </w:hyperlink>
    </w:p>
    <w:p w:rsidR="001129BB" w:rsidRPr="00F737AD" w:rsidRDefault="00B803B6">
      <w:pPr>
        <w:pStyle w:val="TOC1"/>
        <w:rPr>
          <w:rFonts w:eastAsia="Times New Roman"/>
          <w:b w:val="0"/>
          <w:bCs w:val="0"/>
          <w:caps w:val="0"/>
          <w:noProof/>
          <w:sz w:val="22"/>
          <w:szCs w:val="22"/>
          <w:lang w:val="en-GB"/>
        </w:rPr>
      </w:pPr>
      <w:hyperlink w:anchor="_Toc340776" w:history="1">
        <w:r w:rsidR="001129BB" w:rsidRPr="00F737AD">
          <w:rPr>
            <w:rStyle w:val="Hyperlink"/>
            <w:rFonts w:cs="Calibri"/>
            <w:noProof/>
            <w:lang w:val="en-GB"/>
          </w:rPr>
          <w:t>Annex A.</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Multi-Year Work Plan</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_Toc340776 \h </w:instrText>
        </w:r>
        <w:r w:rsidR="001129BB" w:rsidRPr="00F737AD">
          <w:rPr>
            <w:noProof/>
            <w:webHidden/>
            <w:lang w:val="en-GB"/>
          </w:rPr>
        </w:r>
        <w:r w:rsidR="001129BB" w:rsidRPr="00F737AD">
          <w:rPr>
            <w:noProof/>
            <w:webHidden/>
            <w:lang w:val="en-GB"/>
          </w:rPr>
          <w:fldChar w:fldCharType="separate"/>
        </w:r>
        <w:r w:rsidR="001B7E32">
          <w:rPr>
            <w:noProof/>
            <w:webHidden/>
            <w:lang w:val="en-GB"/>
          </w:rPr>
          <w:t>65</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7" w:history="1">
        <w:r w:rsidR="001129BB" w:rsidRPr="00F737AD">
          <w:rPr>
            <w:rStyle w:val="Hyperlink"/>
            <w:rFonts w:cs="Calibri"/>
            <w:noProof/>
            <w:lang w:val="en-GB"/>
          </w:rPr>
          <w:t>Annex B.</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Consultancies and subcontracts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_Toc340777 \h </w:instrText>
        </w:r>
        <w:r w:rsidR="001129BB" w:rsidRPr="00F737AD">
          <w:rPr>
            <w:noProof/>
            <w:webHidden/>
            <w:lang w:val="en-GB"/>
          </w:rPr>
        </w:r>
        <w:r w:rsidR="001129BB" w:rsidRPr="00F737AD">
          <w:rPr>
            <w:noProof/>
            <w:webHidden/>
            <w:lang w:val="en-GB"/>
          </w:rPr>
          <w:fldChar w:fldCharType="separate"/>
        </w:r>
        <w:r w:rsidR="001B7E32">
          <w:rPr>
            <w:noProof/>
            <w:webHidden/>
            <w:lang w:val="en-GB"/>
          </w:rPr>
          <w:t>67</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8" w:history="1">
        <w:r w:rsidR="001129BB" w:rsidRPr="00F737AD">
          <w:rPr>
            <w:rStyle w:val="Hyperlink"/>
            <w:rFonts w:cs="Calibri"/>
            <w:noProof/>
            <w:lang w:val="en-GB"/>
          </w:rPr>
          <w:t>Annex C.</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 xml:space="preserve">terms of reference of </w:t>
        </w:r>
        <w:r w:rsidR="002E1796" w:rsidRPr="00F737AD">
          <w:rPr>
            <w:rStyle w:val="Hyperlink"/>
            <w:rFonts w:cs="Calibri"/>
            <w:noProof/>
            <w:lang w:val="en-GB"/>
          </w:rPr>
          <w:t>PSC</w:t>
        </w:r>
        <w:r w:rsidR="001129BB" w:rsidRPr="00F737AD">
          <w:rPr>
            <w:rStyle w:val="Hyperlink"/>
            <w:rFonts w:cs="Calibri"/>
            <w:noProof/>
            <w:lang w:val="en-GB"/>
          </w:rPr>
          <w:t xml:space="preserve"> and project staff</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_Toc340778 \h </w:instrText>
        </w:r>
        <w:r w:rsidR="001129BB" w:rsidRPr="00F737AD">
          <w:rPr>
            <w:noProof/>
            <w:webHidden/>
            <w:lang w:val="en-GB"/>
          </w:rPr>
        </w:r>
        <w:r w:rsidR="001129BB" w:rsidRPr="00F737AD">
          <w:rPr>
            <w:noProof/>
            <w:webHidden/>
            <w:lang w:val="en-GB"/>
          </w:rPr>
          <w:fldChar w:fldCharType="separate"/>
        </w:r>
        <w:r w:rsidR="001B7E32">
          <w:rPr>
            <w:noProof/>
            <w:webHidden/>
            <w:lang w:val="en-GB"/>
          </w:rPr>
          <w:t>70</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79" w:history="1">
        <w:r w:rsidR="001129BB" w:rsidRPr="00F737AD">
          <w:rPr>
            <w:rStyle w:val="Hyperlink"/>
            <w:rFonts w:cs="Calibri"/>
            <w:noProof/>
            <w:lang w:val="en-GB"/>
          </w:rPr>
          <w:t>Annex D.</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Gender analysis and action plan</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_Toc340779 \h </w:instrText>
        </w:r>
        <w:r w:rsidR="001129BB" w:rsidRPr="00F737AD">
          <w:rPr>
            <w:noProof/>
            <w:webHidden/>
            <w:lang w:val="en-GB"/>
          </w:rPr>
        </w:r>
        <w:r w:rsidR="001129BB" w:rsidRPr="00F737AD">
          <w:rPr>
            <w:noProof/>
            <w:webHidden/>
            <w:lang w:val="en-GB"/>
          </w:rPr>
          <w:fldChar w:fldCharType="separate"/>
        </w:r>
        <w:r w:rsidR="001B7E32">
          <w:rPr>
            <w:noProof/>
            <w:webHidden/>
            <w:lang w:val="en-GB"/>
          </w:rPr>
          <w:t>75</w:t>
        </w:r>
        <w:r w:rsidR="001129BB" w:rsidRPr="00F737AD">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0" w:history="1">
        <w:r w:rsidR="001129BB" w:rsidRPr="00F737AD">
          <w:rPr>
            <w:rStyle w:val="Hyperlink"/>
            <w:rFonts w:cs="Calibri"/>
            <w:noProof/>
            <w:lang w:val="en-GB"/>
          </w:rPr>
          <w:t>D.1</w:t>
        </w:r>
        <w:r w:rsidR="001129BB" w:rsidRPr="00F737AD">
          <w:rPr>
            <w:rFonts w:eastAsia="Times New Roman"/>
            <w:noProof/>
            <w:sz w:val="22"/>
            <w:szCs w:val="22"/>
            <w:lang w:val="en-GB"/>
          </w:rPr>
          <w:tab/>
        </w:r>
        <w:r w:rsidR="001129BB" w:rsidRPr="00F737AD">
          <w:rPr>
            <w:rStyle w:val="Hyperlink"/>
            <w:rFonts w:cs="Calibri"/>
            <w:noProof/>
            <w:lang w:val="en-GB"/>
          </w:rPr>
          <w:t>Gender mainstreaming analysis</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_Toc340780 \h </w:instrText>
        </w:r>
        <w:r w:rsidR="001129BB" w:rsidRPr="006A68A3">
          <w:rPr>
            <w:noProof/>
            <w:webHidden/>
            <w:lang w:val="en-GB"/>
          </w:rPr>
        </w:r>
        <w:r w:rsidR="001129BB" w:rsidRPr="006A68A3">
          <w:rPr>
            <w:noProof/>
            <w:webHidden/>
            <w:lang w:val="en-GB"/>
          </w:rPr>
          <w:fldChar w:fldCharType="separate"/>
        </w:r>
        <w:r w:rsidR="001B7E32">
          <w:rPr>
            <w:noProof/>
            <w:webHidden/>
            <w:lang w:val="en-GB"/>
          </w:rPr>
          <w:t>75</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1" w:history="1">
        <w:r w:rsidR="001129BB" w:rsidRPr="00F737AD">
          <w:rPr>
            <w:rStyle w:val="Hyperlink"/>
            <w:rFonts w:cs="Calibri"/>
            <w:noProof/>
            <w:lang w:val="en-GB"/>
          </w:rPr>
          <w:t>D.2</w:t>
        </w:r>
        <w:r w:rsidR="001129BB" w:rsidRPr="00F737AD">
          <w:rPr>
            <w:rFonts w:eastAsia="Times New Roman"/>
            <w:noProof/>
            <w:sz w:val="22"/>
            <w:szCs w:val="22"/>
            <w:lang w:val="en-GB"/>
          </w:rPr>
          <w:tab/>
        </w:r>
        <w:r w:rsidR="001129BB" w:rsidRPr="00F737AD">
          <w:rPr>
            <w:rStyle w:val="Hyperlink"/>
            <w:rFonts w:cs="Calibri"/>
            <w:noProof/>
            <w:lang w:val="en-GB"/>
          </w:rPr>
          <w:t>Gender action plan</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_Toc340781 \h </w:instrText>
        </w:r>
        <w:r w:rsidR="001129BB" w:rsidRPr="006A68A3">
          <w:rPr>
            <w:noProof/>
            <w:webHidden/>
            <w:lang w:val="en-GB"/>
          </w:rPr>
        </w:r>
        <w:r w:rsidR="001129BB" w:rsidRPr="006A68A3">
          <w:rPr>
            <w:noProof/>
            <w:webHidden/>
            <w:lang w:val="en-GB"/>
          </w:rPr>
          <w:fldChar w:fldCharType="separate"/>
        </w:r>
        <w:r w:rsidR="001B7E32">
          <w:rPr>
            <w:noProof/>
            <w:webHidden/>
            <w:lang w:val="en-GB"/>
          </w:rPr>
          <w:t>79</w:t>
        </w:r>
        <w:r w:rsidR="001129BB" w:rsidRPr="006A68A3">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82" w:history="1">
        <w:r w:rsidR="001129BB" w:rsidRPr="00F737AD">
          <w:rPr>
            <w:rStyle w:val="Hyperlink"/>
            <w:rFonts w:cs="Calibri"/>
            <w:noProof/>
            <w:lang w:val="en-GB"/>
          </w:rPr>
          <w:t>Annex E.</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Report on baseline Conditions on Markets, Stakeholders, Policy and Regulations for LEDs and Distribution Transformers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_Toc340782 \h </w:instrText>
        </w:r>
        <w:r w:rsidR="001129BB" w:rsidRPr="00F737AD">
          <w:rPr>
            <w:noProof/>
            <w:webHidden/>
            <w:lang w:val="en-GB"/>
          </w:rPr>
        </w:r>
        <w:r w:rsidR="001129BB" w:rsidRPr="00F737AD">
          <w:rPr>
            <w:noProof/>
            <w:webHidden/>
            <w:lang w:val="en-GB"/>
          </w:rPr>
          <w:fldChar w:fldCharType="separate"/>
        </w:r>
        <w:r w:rsidR="001B7E32">
          <w:rPr>
            <w:noProof/>
            <w:webHidden/>
            <w:lang w:val="en-GB"/>
          </w:rPr>
          <w:t>83</w:t>
        </w:r>
        <w:r w:rsidR="001129BB" w:rsidRPr="00F737AD">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3" w:history="1">
        <w:r w:rsidR="001129BB" w:rsidRPr="00F737AD">
          <w:rPr>
            <w:rStyle w:val="Hyperlink"/>
            <w:rFonts w:cs="Calibri"/>
            <w:noProof/>
            <w:lang w:val="en-GB"/>
          </w:rPr>
          <w:t>E.1</w:t>
        </w:r>
        <w:r w:rsidR="001129BB" w:rsidRPr="00F737AD">
          <w:rPr>
            <w:rFonts w:eastAsia="Times New Roman"/>
            <w:noProof/>
            <w:sz w:val="22"/>
            <w:szCs w:val="22"/>
            <w:lang w:val="en-GB"/>
          </w:rPr>
          <w:tab/>
        </w:r>
        <w:r w:rsidR="001129BB" w:rsidRPr="00F737AD">
          <w:rPr>
            <w:rStyle w:val="Hyperlink"/>
            <w:rFonts w:cs="Calibri"/>
            <w:noProof/>
            <w:lang w:val="en-GB"/>
          </w:rPr>
          <w:t>Power sector and energy efficiency institutional-regulatory framework</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_Toc340783 \h </w:instrText>
        </w:r>
        <w:r w:rsidR="001129BB" w:rsidRPr="006A68A3">
          <w:rPr>
            <w:noProof/>
            <w:webHidden/>
            <w:lang w:val="en-GB"/>
          </w:rPr>
        </w:r>
        <w:r w:rsidR="001129BB" w:rsidRPr="006A68A3">
          <w:rPr>
            <w:noProof/>
            <w:webHidden/>
            <w:lang w:val="en-GB"/>
          </w:rPr>
          <w:fldChar w:fldCharType="separate"/>
        </w:r>
        <w:r w:rsidR="001B7E32">
          <w:rPr>
            <w:noProof/>
            <w:webHidden/>
            <w:lang w:val="en-GB"/>
          </w:rPr>
          <w:t>83</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4" w:history="1">
        <w:r w:rsidR="001129BB" w:rsidRPr="00F737AD">
          <w:rPr>
            <w:rStyle w:val="Hyperlink"/>
            <w:rFonts w:cs="Calibri"/>
            <w:noProof/>
            <w:lang w:val="en-GB"/>
          </w:rPr>
          <w:t>E.2</w:t>
        </w:r>
        <w:r w:rsidR="001129BB" w:rsidRPr="00F737AD">
          <w:rPr>
            <w:rFonts w:eastAsia="Times New Roman"/>
            <w:noProof/>
            <w:sz w:val="22"/>
            <w:szCs w:val="22"/>
            <w:lang w:val="en-GB"/>
          </w:rPr>
          <w:tab/>
        </w:r>
        <w:r w:rsidR="001129BB" w:rsidRPr="00F737AD">
          <w:rPr>
            <w:rStyle w:val="Hyperlink"/>
            <w:rFonts w:cs="Calibri"/>
            <w:noProof/>
            <w:lang w:val="en-GB"/>
          </w:rPr>
          <w:t>The market for LED lighting in South Africa</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_Toc340784 \h </w:instrText>
        </w:r>
        <w:r w:rsidR="001129BB" w:rsidRPr="006A68A3">
          <w:rPr>
            <w:noProof/>
            <w:webHidden/>
            <w:lang w:val="en-GB"/>
          </w:rPr>
        </w:r>
        <w:r w:rsidR="001129BB" w:rsidRPr="006A68A3">
          <w:rPr>
            <w:noProof/>
            <w:webHidden/>
            <w:lang w:val="en-GB"/>
          </w:rPr>
          <w:fldChar w:fldCharType="separate"/>
        </w:r>
        <w:r w:rsidR="001B7E32">
          <w:rPr>
            <w:noProof/>
            <w:webHidden/>
            <w:lang w:val="en-GB"/>
          </w:rPr>
          <w:t>92</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5" w:history="1">
        <w:r w:rsidR="001129BB" w:rsidRPr="00F737AD">
          <w:rPr>
            <w:rStyle w:val="Hyperlink"/>
            <w:rFonts w:cs="Calibri"/>
            <w:noProof/>
            <w:lang w:val="en-GB"/>
          </w:rPr>
          <w:t>E.3</w:t>
        </w:r>
        <w:r w:rsidR="001129BB" w:rsidRPr="00F737AD">
          <w:rPr>
            <w:rFonts w:eastAsia="Times New Roman"/>
            <w:noProof/>
            <w:sz w:val="22"/>
            <w:szCs w:val="22"/>
            <w:lang w:val="en-GB"/>
          </w:rPr>
          <w:tab/>
        </w:r>
        <w:r w:rsidR="001129BB" w:rsidRPr="00F737AD">
          <w:rPr>
            <w:rStyle w:val="Hyperlink"/>
            <w:rFonts w:cs="Calibri"/>
            <w:noProof/>
            <w:lang w:val="en-GB"/>
          </w:rPr>
          <w:t>Distribution transformers in South Africa</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_Toc340785 \h </w:instrText>
        </w:r>
        <w:r w:rsidR="001129BB" w:rsidRPr="006A68A3">
          <w:rPr>
            <w:noProof/>
            <w:webHidden/>
            <w:lang w:val="en-GB"/>
          </w:rPr>
        </w:r>
        <w:r w:rsidR="001129BB" w:rsidRPr="006A68A3">
          <w:rPr>
            <w:noProof/>
            <w:webHidden/>
            <w:lang w:val="en-GB"/>
          </w:rPr>
          <w:fldChar w:fldCharType="separate"/>
        </w:r>
        <w:r w:rsidR="001B7E32">
          <w:rPr>
            <w:noProof/>
            <w:webHidden/>
            <w:lang w:val="en-GB"/>
          </w:rPr>
          <w:t>99</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6" w:history="1">
        <w:r w:rsidR="001129BB" w:rsidRPr="00F737AD">
          <w:rPr>
            <w:rStyle w:val="Hyperlink"/>
            <w:rFonts w:cs="Calibri"/>
            <w:noProof/>
            <w:lang w:val="en-GB"/>
          </w:rPr>
          <w:t>E.4</w:t>
        </w:r>
        <w:r w:rsidR="001129BB" w:rsidRPr="00F737AD">
          <w:rPr>
            <w:rFonts w:eastAsia="Times New Roman"/>
            <w:noProof/>
            <w:sz w:val="22"/>
            <w:szCs w:val="22"/>
            <w:lang w:val="en-GB"/>
          </w:rPr>
          <w:tab/>
        </w:r>
        <w:r w:rsidR="001129BB" w:rsidRPr="00F737AD">
          <w:rPr>
            <w:rStyle w:val="Hyperlink"/>
            <w:rFonts w:cs="Calibri"/>
            <w:noProof/>
            <w:lang w:val="en-GB"/>
          </w:rPr>
          <w:t>Waste management and recycling</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_Toc340786 \h </w:instrText>
        </w:r>
        <w:r w:rsidR="001129BB" w:rsidRPr="006A68A3">
          <w:rPr>
            <w:noProof/>
            <w:webHidden/>
            <w:lang w:val="en-GB"/>
          </w:rPr>
        </w:r>
        <w:r w:rsidR="001129BB" w:rsidRPr="006A68A3">
          <w:rPr>
            <w:noProof/>
            <w:webHidden/>
            <w:lang w:val="en-GB"/>
          </w:rPr>
          <w:fldChar w:fldCharType="separate"/>
        </w:r>
        <w:r w:rsidR="001B7E32">
          <w:rPr>
            <w:noProof/>
            <w:webHidden/>
            <w:lang w:val="en-GB"/>
          </w:rPr>
          <w:t>102</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7" w:history="1">
        <w:r w:rsidR="001129BB" w:rsidRPr="00F737AD">
          <w:rPr>
            <w:rStyle w:val="Hyperlink"/>
            <w:rFonts w:cs="Calibri"/>
            <w:noProof/>
            <w:lang w:val="en-GB"/>
          </w:rPr>
          <w:t>E.5</w:t>
        </w:r>
        <w:r w:rsidR="001129BB" w:rsidRPr="00F737AD">
          <w:rPr>
            <w:rFonts w:eastAsia="Times New Roman"/>
            <w:noProof/>
            <w:sz w:val="22"/>
            <w:szCs w:val="22"/>
            <w:lang w:val="en-GB"/>
          </w:rPr>
          <w:tab/>
        </w:r>
        <w:r w:rsidR="001129BB" w:rsidRPr="00F737AD">
          <w:rPr>
            <w:rStyle w:val="Hyperlink"/>
            <w:rFonts w:cs="Calibri"/>
            <w:noProof/>
            <w:lang w:val="en-GB"/>
          </w:rPr>
          <w:t>Financing of energy efficiency and the market for energy services</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_Toc340787 \h </w:instrText>
        </w:r>
        <w:r w:rsidR="001129BB" w:rsidRPr="006A68A3">
          <w:rPr>
            <w:noProof/>
            <w:webHidden/>
            <w:lang w:val="en-GB"/>
          </w:rPr>
        </w:r>
        <w:r w:rsidR="001129BB" w:rsidRPr="006A68A3">
          <w:rPr>
            <w:noProof/>
            <w:webHidden/>
            <w:lang w:val="en-GB"/>
          </w:rPr>
          <w:fldChar w:fldCharType="separate"/>
        </w:r>
        <w:r w:rsidR="001B7E32">
          <w:rPr>
            <w:noProof/>
            <w:webHidden/>
            <w:lang w:val="en-GB"/>
          </w:rPr>
          <w:t>103</w:t>
        </w:r>
        <w:r w:rsidR="001129BB" w:rsidRPr="006A68A3">
          <w:rPr>
            <w:noProof/>
            <w:webHidden/>
            <w:lang w:val="en-GB"/>
          </w:rPr>
          <w:fldChar w:fldCharType="end"/>
        </w:r>
      </w:hyperlink>
    </w:p>
    <w:p w:rsidR="001129BB" w:rsidRPr="00F737AD" w:rsidRDefault="00B803B6">
      <w:pPr>
        <w:pStyle w:val="TOC2"/>
        <w:rPr>
          <w:rFonts w:eastAsia="Times New Roman"/>
          <w:noProof/>
          <w:sz w:val="22"/>
          <w:szCs w:val="22"/>
          <w:lang w:val="en-GB"/>
        </w:rPr>
      </w:pPr>
      <w:hyperlink w:anchor="_Toc340788" w:history="1">
        <w:r w:rsidR="001129BB" w:rsidRPr="00F737AD">
          <w:rPr>
            <w:rStyle w:val="Hyperlink"/>
            <w:rFonts w:cs="Calibri"/>
            <w:noProof/>
            <w:lang w:val="en-GB"/>
          </w:rPr>
          <w:t>E.6</w:t>
        </w:r>
        <w:r w:rsidR="001129BB" w:rsidRPr="00F737AD">
          <w:rPr>
            <w:rFonts w:eastAsia="Times New Roman"/>
            <w:noProof/>
            <w:sz w:val="22"/>
            <w:szCs w:val="22"/>
            <w:lang w:val="en-GB"/>
          </w:rPr>
          <w:tab/>
        </w:r>
        <w:r w:rsidR="001129BB" w:rsidRPr="00F737AD">
          <w:rPr>
            <w:rStyle w:val="Hyperlink"/>
            <w:rFonts w:cs="Calibri"/>
            <w:noProof/>
            <w:lang w:val="en-GB"/>
          </w:rPr>
          <w:t>Key consideration for the Project-supported Energy Efficiency Financial Instrument (EEFI)</w:t>
        </w:r>
        <w:r w:rsidR="001129BB" w:rsidRPr="00F14B6A">
          <w:rPr>
            <w:noProof/>
            <w:webHidden/>
            <w:lang w:val="en-GB"/>
          </w:rPr>
          <w:tab/>
        </w:r>
        <w:r w:rsidR="001129BB" w:rsidRPr="006A68A3">
          <w:rPr>
            <w:noProof/>
            <w:webHidden/>
            <w:lang w:val="en-GB"/>
          </w:rPr>
          <w:fldChar w:fldCharType="begin"/>
        </w:r>
        <w:r w:rsidR="001129BB" w:rsidRPr="00F14B6A">
          <w:rPr>
            <w:noProof/>
            <w:webHidden/>
            <w:lang w:val="en-GB"/>
          </w:rPr>
          <w:instrText xml:space="preserve"> PAGEREF _Toc340788 \h </w:instrText>
        </w:r>
        <w:r w:rsidR="001129BB" w:rsidRPr="006A68A3">
          <w:rPr>
            <w:noProof/>
            <w:webHidden/>
            <w:lang w:val="en-GB"/>
          </w:rPr>
        </w:r>
        <w:r w:rsidR="001129BB" w:rsidRPr="006A68A3">
          <w:rPr>
            <w:noProof/>
            <w:webHidden/>
            <w:lang w:val="en-GB"/>
          </w:rPr>
          <w:fldChar w:fldCharType="separate"/>
        </w:r>
        <w:r w:rsidR="001B7E32">
          <w:rPr>
            <w:noProof/>
            <w:webHidden/>
            <w:lang w:val="en-GB"/>
          </w:rPr>
          <w:t>114</w:t>
        </w:r>
        <w:r w:rsidR="001129BB" w:rsidRPr="006A68A3">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89" w:history="1">
        <w:r w:rsidR="001129BB" w:rsidRPr="00F737AD">
          <w:rPr>
            <w:rStyle w:val="Hyperlink"/>
            <w:rFonts w:cs="Calibri"/>
            <w:noProof/>
            <w:lang w:val="en-GB"/>
          </w:rPr>
          <w:t>Annex F.</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GEF CORE INDICATORS AND calculations of greenhouse gas emission reductions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_Toc340789 \h </w:instrText>
        </w:r>
        <w:r w:rsidR="001129BB" w:rsidRPr="00F737AD">
          <w:rPr>
            <w:noProof/>
            <w:webHidden/>
            <w:lang w:val="en-GB"/>
          </w:rPr>
        </w:r>
        <w:r w:rsidR="001129BB" w:rsidRPr="00F737AD">
          <w:rPr>
            <w:noProof/>
            <w:webHidden/>
            <w:lang w:val="en-GB"/>
          </w:rPr>
          <w:fldChar w:fldCharType="separate"/>
        </w:r>
        <w:r w:rsidR="001B7E32">
          <w:rPr>
            <w:noProof/>
            <w:webHidden/>
            <w:lang w:val="en-GB"/>
          </w:rPr>
          <w:t>119</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90" w:history="1">
        <w:r w:rsidR="001129BB" w:rsidRPr="00F737AD">
          <w:rPr>
            <w:rStyle w:val="Hyperlink"/>
            <w:rFonts w:cs="Calibri"/>
            <w:noProof/>
            <w:lang w:val="en-GB"/>
          </w:rPr>
          <w:t>Annex G.</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Stakeholder engagement and communication plan</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_Toc340790 \h </w:instrText>
        </w:r>
        <w:r w:rsidR="001129BB" w:rsidRPr="00F737AD">
          <w:rPr>
            <w:noProof/>
            <w:webHidden/>
            <w:lang w:val="en-GB"/>
          </w:rPr>
        </w:r>
        <w:r w:rsidR="001129BB" w:rsidRPr="00F737AD">
          <w:rPr>
            <w:noProof/>
            <w:webHidden/>
            <w:lang w:val="en-GB"/>
          </w:rPr>
          <w:fldChar w:fldCharType="separate"/>
        </w:r>
        <w:r w:rsidR="001B7E32">
          <w:rPr>
            <w:noProof/>
            <w:webHidden/>
            <w:lang w:val="en-GB"/>
          </w:rPr>
          <w:t>128</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91" w:history="1">
        <w:r w:rsidR="001129BB" w:rsidRPr="00F737AD">
          <w:rPr>
            <w:rStyle w:val="Hyperlink"/>
            <w:rFonts w:cs="Calibri"/>
            <w:noProof/>
            <w:lang w:val="en-GB"/>
          </w:rPr>
          <w:t>Annex H.</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Additional budget and co-financing tables</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_Toc340791 \h </w:instrText>
        </w:r>
        <w:r w:rsidR="001129BB" w:rsidRPr="00F737AD">
          <w:rPr>
            <w:noProof/>
            <w:webHidden/>
            <w:lang w:val="en-GB"/>
          </w:rPr>
        </w:r>
        <w:r w:rsidR="001129BB" w:rsidRPr="00F737AD">
          <w:rPr>
            <w:noProof/>
            <w:webHidden/>
            <w:lang w:val="en-GB"/>
          </w:rPr>
          <w:fldChar w:fldCharType="separate"/>
        </w:r>
        <w:r w:rsidR="001B7E32">
          <w:rPr>
            <w:noProof/>
            <w:webHidden/>
            <w:lang w:val="en-GB"/>
          </w:rPr>
          <w:t>131</w:t>
        </w:r>
        <w:r w:rsidR="001129BB" w:rsidRPr="00F737AD">
          <w:rPr>
            <w:noProof/>
            <w:webHidden/>
            <w:lang w:val="en-GB"/>
          </w:rPr>
          <w:fldChar w:fldCharType="end"/>
        </w:r>
      </w:hyperlink>
    </w:p>
    <w:p w:rsidR="001129BB" w:rsidRPr="00F737AD" w:rsidRDefault="00B803B6">
      <w:pPr>
        <w:pStyle w:val="TOC1"/>
        <w:rPr>
          <w:rFonts w:eastAsia="Times New Roman"/>
          <w:b w:val="0"/>
          <w:bCs w:val="0"/>
          <w:caps w:val="0"/>
          <w:noProof/>
          <w:sz w:val="22"/>
          <w:szCs w:val="22"/>
          <w:lang w:val="en-GB"/>
        </w:rPr>
      </w:pPr>
      <w:hyperlink w:anchor="_Toc340792" w:history="1">
        <w:r w:rsidR="001129BB" w:rsidRPr="00F737AD">
          <w:rPr>
            <w:rStyle w:val="Hyperlink"/>
            <w:rFonts w:cs="Calibri"/>
            <w:noProof/>
            <w:lang w:val="en-GB"/>
          </w:rPr>
          <w:t>Annex I.</w:t>
        </w:r>
        <w:r w:rsidR="001129BB" w:rsidRPr="00F737AD">
          <w:rPr>
            <w:rFonts w:eastAsia="Times New Roman"/>
            <w:b w:val="0"/>
            <w:bCs w:val="0"/>
            <w:caps w:val="0"/>
            <w:noProof/>
            <w:sz w:val="22"/>
            <w:szCs w:val="22"/>
            <w:lang w:val="en-GB"/>
          </w:rPr>
          <w:tab/>
        </w:r>
        <w:r w:rsidR="001129BB" w:rsidRPr="00F737AD">
          <w:rPr>
            <w:rStyle w:val="Hyperlink"/>
            <w:rFonts w:cs="Calibri"/>
            <w:noProof/>
            <w:lang w:val="en-GB"/>
          </w:rPr>
          <w:t>Social and environment screening report</w:t>
        </w:r>
        <w:r w:rsidR="001129BB" w:rsidRPr="00F737AD">
          <w:rPr>
            <w:noProof/>
            <w:webHidden/>
            <w:lang w:val="en-GB"/>
          </w:rPr>
          <w:tab/>
        </w:r>
        <w:r w:rsidR="001129BB" w:rsidRPr="00F737AD">
          <w:rPr>
            <w:noProof/>
            <w:webHidden/>
            <w:lang w:val="en-GB"/>
          </w:rPr>
          <w:fldChar w:fldCharType="begin"/>
        </w:r>
        <w:r w:rsidR="001129BB" w:rsidRPr="00F737AD">
          <w:rPr>
            <w:noProof/>
            <w:webHidden/>
            <w:lang w:val="en-GB"/>
          </w:rPr>
          <w:instrText xml:space="preserve"> PAGEREF _Toc340792 \h </w:instrText>
        </w:r>
        <w:r w:rsidR="001129BB" w:rsidRPr="00F737AD">
          <w:rPr>
            <w:noProof/>
            <w:webHidden/>
            <w:lang w:val="en-GB"/>
          </w:rPr>
        </w:r>
        <w:r w:rsidR="001129BB" w:rsidRPr="00F737AD">
          <w:rPr>
            <w:noProof/>
            <w:webHidden/>
            <w:lang w:val="en-GB"/>
          </w:rPr>
          <w:fldChar w:fldCharType="separate"/>
        </w:r>
        <w:r w:rsidR="001B7E32">
          <w:rPr>
            <w:noProof/>
            <w:webHidden/>
            <w:lang w:val="en-GB"/>
          </w:rPr>
          <w:t>133</w:t>
        </w:r>
        <w:r w:rsidR="001129BB" w:rsidRPr="00F737AD">
          <w:rPr>
            <w:noProof/>
            <w:webHidden/>
            <w:lang w:val="en-GB"/>
          </w:rPr>
          <w:fldChar w:fldCharType="end"/>
        </w:r>
      </w:hyperlink>
    </w:p>
    <w:p w:rsidR="00D64EA4" w:rsidRPr="00F737AD" w:rsidRDefault="008E495B" w:rsidP="00235AE4">
      <w:pPr>
        <w:spacing w:after="240"/>
        <w:rPr>
          <w:rFonts w:cs="Calibri"/>
          <w:lang w:val="en-GB"/>
        </w:rPr>
      </w:pPr>
      <w:r w:rsidRPr="00F737AD">
        <w:rPr>
          <w:rFonts w:cs="Calibri"/>
          <w:b/>
          <w:bCs/>
          <w:caps/>
          <w:szCs w:val="20"/>
          <w:lang w:val="en-GB"/>
        </w:rPr>
        <w:fldChar w:fldCharType="end"/>
      </w:r>
    </w:p>
    <w:p w:rsidR="00AE31A1" w:rsidRPr="00F737AD" w:rsidRDefault="00AE31A1">
      <w:pPr>
        <w:spacing w:after="0"/>
        <w:jc w:val="left"/>
        <w:rPr>
          <w:rFonts w:cs="Calibri"/>
          <w:szCs w:val="20"/>
          <w:lang w:val="en-GB"/>
        </w:rPr>
      </w:pPr>
    </w:p>
    <w:p w:rsidR="00073DB2" w:rsidRPr="00F737AD" w:rsidRDefault="00073DB2">
      <w:pPr>
        <w:spacing w:after="0"/>
        <w:jc w:val="left"/>
        <w:rPr>
          <w:rFonts w:cs="Calibri"/>
          <w:szCs w:val="20"/>
          <w:lang w:val="en-GB"/>
        </w:rPr>
      </w:pPr>
    </w:p>
    <w:p w:rsidR="00073DB2" w:rsidRPr="00666B27" w:rsidRDefault="00073DB2" w:rsidP="00073DB2">
      <w:pPr>
        <w:pStyle w:val="Heading1"/>
        <w:numPr>
          <w:ilvl w:val="0"/>
          <w:numId w:val="0"/>
        </w:numPr>
        <w:rPr>
          <w:rFonts w:ascii="Calibri" w:hAnsi="Calibri"/>
        </w:rPr>
      </w:pPr>
      <w:r w:rsidRPr="00F737AD">
        <w:rPr>
          <w:rFonts w:ascii="Calibri" w:hAnsi="Calibri" w:cs="Calibri"/>
          <w:szCs w:val="20"/>
        </w:rPr>
        <w:br w:type="page"/>
      </w:r>
      <w:bookmarkStart w:id="7" w:name="_Toc497848290"/>
      <w:bookmarkStart w:id="8" w:name="_Toc340751"/>
      <w:r w:rsidRPr="00666B27">
        <w:rPr>
          <w:rFonts w:ascii="Calibri" w:hAnsi="Calibri"/>
        </w:rPr>
        <w:lastRenderedPageBreak/>
        <w:t xml:space="preserve">List of </w:t>
      </w:r>
      <w:bookmarkEnd w:id="7"/>
      <w:r w:rsidR="007A193A" w:rsidRPr="00666B27">
        <w:rPr>
          <w:rFonts w:ascii="Calibri" w:hAnsi="Calibri"/>
        </w:rPr>
        <w:t>boxes</w:t>
      </w:r>
      <w:bookmarkEnd w:id="8"/>
    </w:p>
    <w:p w:rsidR="007A193A" w:rsidRPr="00666B27" w:rsidRDefault="007A193A" w:rsidP="007A193A">
      <w:pPr>
        <w:rPr>
          <w:lang w:val="en-GB" w:eastAsia="en-GB"/>
        </w:rPr>
      </w:pPr>
    </w:p>
    <w:p w:rsidR="00B92C93" w:rsidRPr="00F737AD" w:rsidRDefault="007A193A">
      <w:pPr>
        <w:pStyle w:val="TableofFigures"/>
        <w:tabs>
          <w:tab w:val="left" w:pos="1134"/>
          <w:tab w:val="right" w:leader="dot" w:pos="9962"/>
        </w:tabs>
        <w:rPr>
          <w:rFonts w:eastAsia="Times New Roman" w:cs="Calibri"/>
          <w:noProof/>
          <w:sz w:val="22"/>
          <w:szCs w:val="22"/>
          <w:lang w:val="en-GB"/>
        </w:rPr>
      </w:pPr>
      <w:r w:rsidRPr="00F737AD">
        <w:rPr>
          <w:rFonts w:cs="Calibri"/>
          <w:lang w:val="en-GB" w:eastAsia="en-GB"/>
        </w:rPr>
        <w:fldChar w:fldCharType="begin"/>
      </w:r>
      <w:r w:rsidRPr="00F737AD">
        <w:rPr>
          <w:rFonts w:cs="Calibri"/>
          <w:lang w:val="en-GB" w:eastAsia="en-GB"/>
        </w:rPr>
        <w:instrText xml:space="preserve"> TOC \h \z \c "Box" </w:instrText>
      </w:r>
      <w:r w:rsidRPr="00F737AD">
        <w:rPr>
          <w:rFonts w:cs="Calibri"/>
          <w:lang w:val="en-GB" w:eastAsia="en-GB"/>
        </w:rPr>
        <w:fldChar w:fldCharType="separate"/>
      </w:r>
      <w:hyperlink w:anchor="_Toc179825" w:history="1">
        <w:r w:rsidR="00B92C93" w:rsidRPr="00F737AD">
          <w:rPr>
            <w:rStyle w:val="Hyperlink"/>
            <w:rFonts w:cs="Calibri"/>
            <w:noProof/>
            <w:lang w:val="en-GB"/>
          </w:rPr>
          <w:t>Box 1</w:t>
        </w:r>
        <w:r w:rsidR="00B92C93" w:rsidRPr="00F737AD">
          <w:rPr>
            <w:rFonts w:eastAsia="Times New Roman" w:cs="Calibri"/>
            <w:noProof/>
            <w:sz w:val="22"/>
            <w:szCs w:val="22"/>
            <w:lang w:val="en-GB"/>
          </w:rPr>
          <w:tab/>
        </w:r>
        <w:r w:rsidR="00B92C93" w:rsidRPr="00F737AD">
          <w:rPr>
            <w:rStyle w:val="Hyperlink"/>
            <w:rFonts w:cs="Calibri"/>
            <w:noProof/>
            <w:lang w:val="en-GB"/>
          </w:rPr>
          <w:t>Electricity generation, South Africa</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_Toc179825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16" w:anchor="_Toc179826" w:history="1">
        <w:r w:rsidR="00B92C93" w:rsidRPr="00F737AD">
          <w:rPr>
            <w:rStyle w:val="Hyperlink"/>
            <w:rFonts w:cs="Calibri"/>
            <w:noProof/>
            <w:lang w:val="en-GB"/>
          </w:rPr>
          <w:t>Box 2</w:t>
        </w:r>
        <w:r w:rsidR="00B92C93" w:rsidRPr="00F737AD">
          <w:rPr>
            <w:rFonts w:eastAsia="Times New Roman" w:cs="Calibri"/>
            <w:noProof/>
            <w:sz w:val="22"/>
            <w:szCs w:val="22"/>
            <w:lang w:val="en-GB"/>
          </w:rPr>
          <w:tab/>
        </w:r>
        <w:r w:rsidR="00B92C93" w:rsidRPr="00F737AD">
          <w:rPr>
            <w:rStyle w:val="Hyperlink"/>
            <w:rFonts w:cs="Calibri"/>
            <w:noProof/>
            <w:lang w:val="en-GB"/>
          </w:rPr>
          <w:t>Linkages of energy with the SDGs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_Toc179826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27" w:history="1">
        <w:r w:rsidR="00B92C93" w:rsidRPr="00F737AD">
          <w:rPr>
            <w:rStyle w:val="Hyperlink"/>
            <w:rFonts w:cs="Calibri"/>
            <w:noProof/>
            <w:lang w:val="en-GB"/>
          </w:rPr>
          <w:t>Box 4</w:t>
        </w:r>
        <w:r w:rsidR="00B92C93" w:rsidRPr="00F737AD">
          <w:rPr>
            <w:rFonts w:eastAsia="Times New Roman" w:cs="Calibri"/>
            <w:noProof/>
            <w:sz w:val="22"/>
            <w:szCs w:val="22"/>
            <w:lang w:val="en-GB"/>
          </w:rPr>
          <w:tab/>
        </w:r>
        <w:r w:rsidR="00B92C93" w:rsidRPr="00F737AD">
          <w:rPr>
            <w:rStyle w:val="Hyperlink"/>
            <w:rFonts w:cs="Calibri"/>
            <w:noProof/>
            <w:lang w:val="en-GB"/>
          </w:rPr>
          <w:t>Overview of barriers and challenges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_Toc179827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17" w:anchor="_Toc179828" w:history="1">
        <w:r w:rsidR="00B92C93" w:rsidRPr="00F737AD">
          <w:rPr>
            <w:rStyle w:val="Hyperlink"/>
            <w:rFonts w:cs="Calibri"/>
            <w:noProof/>
            <w:lang w:val="en-GB"/>
          </w:rPr>
          <w:t>Box 3</w:t>
        </w:r>
        <w:r w:rsidR="00B92C93" w:rsidRPr="00F737AD">
          <w:rPr>
            <w:rFonts w:eastAsia="Times New Roman" w:cs="Calibri"/>
            <w:noProof/>
            <w:sz w:val="22"/>
            <w:szCs w:val="22"/>
            <w:lang w:val="en-GB"/>
          </w:rPr>
          <w:tab/>
        </w:r>
        <w:r w:rsidR="00B92C93" w:rsidRPr="00F737AD">
          <w:rPr>
            <w:rStyle w:val="Hyperlink"/>
            <w:rFonts w:cs="Calibri"/>
            <w:noProof/>
            <w:lang w:val="en-GB"/>
          </w:rPr>
          <w:t>Theory of change: development challenge, causes and expected results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_Toc179828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17</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18" w:anchor="_Toc179829" w:history="1">
        <w:r w:rsidR="00B92C93" w:rsidRPr="00F737AD">
          <w:rPr>
            <w:rStyle w:val="Hyperlink"/>
            <w:rFonts w:cs="Calibri"/>
            <w:noProof/>
            <w:lang w:val="en-GB"/>
          </w:rPr>
          <w:t>Box 5</w:t>
        </w:r>
        <w:r w:rsidR="00B92C93" w:rsidRPr="00F737AD">
          <w:rPr>
            <w:rFonts w:eastAsia="Times New Roman" w:cs="Calibri"/>
            <w:noProof/>
            <w:sz w:val="22"/>
            <w:szCs w:val="22"/>
            <w:lang w:val="en-GB"/>
          </w:rPr>
          <w:tab/>
        </w:r>
        <w:r w:rsidR="00B92C93" w:rsidRPr="00F737AD">
          <w:rPr>
            <w:rStyle w:val="Hyperlink"/>
            <w:rFonts w:cs="Calibri"/>
            <w:noProof/>
            <w:lang w:val="en-GB"/>
          </w:rPr>
          <w:t>Theory of change: pathway from outcomes to impacts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_Toc179829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20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0" w:history="1">
        <w:r w:rsidR="00B92C93" w:rsidRPr="00F737AD">
          <w:rPr>
            <w:rStyle w:val="Hyperlink"/>
            <w:rFonts w:cs="Calibri"/>
            <w:noProof/>
            <w:lang w:val="en-GB"/>
          </w:rPr>
          <w:t>Box 6</w:t>
        </w:r>
        <w:r w:rsidR="00B92C93" w:rsidRPr="00F737AD">
          <w:rPr>
            <w:rFonts w:eastAsia="Times New Roman" w:cs="Calibri"/>
            <w:noProof/>
            <w:sz w:val="22"/>
            <w:szCs w:val="22"/>
            <w:lang w:val="en-GB"/>
          </w:rPr>
          <w:tab/>
        </w:r>
        <w:r w:rsidR="00B92C93" w:rsidRPr="00F737AD">
          <w:rPr>
            <w:rStyle w:val="Hyperlink"/>
            <w:rFonts w:cs="Calibri"/>
            <w:noProof/>
            <w:lang w:val="en-GB"/>
          </w:rPr>
          <w:t>Proposed incremental activities that address barriers while supplementing baseline activities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_Toc179830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21</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19" w:anchor="_Toc179831" w:history="1">
        <w:r w:rsidR="00B92C93" w:rsidRPr="00F737AD">
          <w:rPr>
            <w:rStyle w:val="Hyperlink"/>
            <w:rFonts w:cs="Calibri"/>
            <w:noProof/>
            <w:lang w:val="en-GB"/>
          </w:rPr>
          <w:t>Box 7</w:t>
        </w:r>
        <w:r w:rsidR="00B92C93" w:rsidRPr="00F737AD">
          <w:rPr>
            <w:rFonts w:eastAsia="Times New Roman" w:cs="Calibri"/>
            <w:noProof/>
            <w:sz w:val="22"/>
            <w:szCs w:val="22"/>
            <w:lang w:val="en-GB"/>
          </w:rPr>
          <w:tab/>
        </w:r>
        <w:r w:rsidR="00B92C93" w:rsidRPr="00F737AD">
          <w:rPr>
            <w:rStyle w:val="Hyperlink"/>
            <w:rFonts w:cs="Calibri"/>
            <w:noProof/>
            <w:lang w:val="en-GB"/>
          </w:rPr>
          <w:t>Monitoring, verification and enforcement (MVE)</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_Toc179831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26</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0" w:anchor="_Toc179832" w:history="1">
        <w:r w:rsidR="00B92C93" w:rsidRPr="00F737AD">
          <w:rPr>
            <w:rStyle w:val="Hyperlink"/>
            <w:rFonts w:cs="Calibri"/>
            <w:noProof/>
            <w:lang w:val="en-GB"/>
          </w:rPr>
          <w:t>Box 8</w:t>
        </w:r>
        <w:r w:rsidR="00B92C93" w:rsidRPr="00F737AD">
          <w:rPr>
            <w:rFonts w:eastAsia="Times New Roman" w:cs="Calibri"/>
            <w:noProof/>
            <w:sz w:val="22"/>
            <w:szCs w:val="22"/>
            <w:lang w:val="en-GB"/>
          </w:rPr>
          <w:tab/>
        </w:r>
        <w:r w:rsidR="00B92C93" w:rsidRPr="00F737AD">
          <w:rPr>
            <w:rStyle w:val="Hyperlink"/>
            <w:rFonts w:cs="Calibri"/>
            <w:noProof/>
            <w:lang w:val="en-GB"/>
          </w:rPr>
          <w:t>Energy Efficiency Financial Instrument (EEFI) to support LED and distribution transformer</w:t>
        </w:r>
        <w:r w:rsidR="00A05165" w:rsidRPr="00F737AD">
          <w:rPr>
            <w:rStyle w:val="Hyperlink"/>
            <w:rFonts w:cs="Calibri"/>
            <w:noProof/>
            <w:lang w:val="en-GB"/>
          </w:rPr>
          <w:t xml:space="preserve"> application</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_Toc179832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31</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3" w:history="1">
        <w:r w:rsidR="00B92C93" w:rsidRPr="00F737AD">
          <w:rPr>
            <w:rStyle w:val="Hyperlink"/>
            <w:rFonts w:cs="Calibri"/>
            <w:noProof/>
            <w:lang w:val="en-GB"/>
          </w:rPr>
          <w:t>Box 9</w:t>
        </w:r>
        <w:r w:rsidR="00B92C93" w:rsidRPr="00F737AD">
          <w:rPr>
            <w:rFonts w:eastAsia="Times New Roman" w:cs="Calibri"/>
            <w:noProof/>
            <w:sz w:val="22"/>
            <w:szCs w:val="22"/>
            <w:lang w:val="en-GB"/>
          </w:rPr>
          <w:tab/>
        </w:r>
        <w:r w:rsidR="00B92C93" w:rsidRPr="00F737AD">
          <w:rPr>
            <w:rStyle w:val="Hyperlink"/>
            <w:rFonts w:cs="Calibri"/>
            <w:noProof/>
            <w:lang w:val="en-GB"/>
          </w:rPr>
          <w:t>Project risks, including impact and probability, and mitigation measures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_Toc179833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35</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4" w:history="1">
        <w:r w:rsidR="00B92C93" w:rsidRPr="00F737AD">
          <w:rPr>
            <w:rStyle w:val="Hyperlink"/>
            <w:rFonts w:cs="Calibri"/>
            <w:noProof/>
            <w:lang w:val="en-GB"/>
          </w:rPr>
          <w:t>Box 10</w:t>
        </w:r>
        <w:r w:rsidR="00B92C93" w:rsidRPr="00F737AD">
          <w:rPr>
            <w:rFonts w:eastAsia="Times New Roman" w:cs="Calibri"/>
            <w:noProof/>
            <w:sz w:val="22"/>
            <w:szCs w:val="22"/>
            <w:lang w:val="en-GB"/>
          </w:rPr>
          <w:tab/>
        </w:r>
        <w:r w:rsidR="00B92C93" w:rsidRPr="00F737AD">
          <w:rPr>
            <w:rStyle w:val="Hyperlink"/>
            <w:rFonts w:cs="Calibri"/>
            <w:noProof/>
            <w:lang w:val="en-GB"/>
          </w:rPr>
          <w:t>Role of stakeholders in the Project</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_Toc179834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37</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1" w:anchor="_Toc179835" w:history="1">
        <w:r w:rsidR="00B92C93" w:rsidRPr="00F737AD">
          <w:rPr>
            <w:rStyle w:val="Hyperlink"/>
            <w:rFonts w:cs="Calibri"/>
            <w:noProof/>
            <w:lang w:val="en-GB"/>
          </w:rPr>
          <w:t>Box 11</w:t>
        </w:r>
        <w:r w:rsidR="00B92C93" w:rsidRPr="00F737AD">
          <w:rPr>
            <w:rFonts w:eastAsia="Times New Roman" w:cs="Calibri"/>
            <w:noProof/>
            <w:sz w:val="22"/>
            <w:szCs w:val="22"/>
            <w:lang w:val="en-GB"/>
          </w:rPr>
          <w:tab/>
        </w:r>
        <w:r w:rsidR="00B92C93" w:rsidRPr="00F737AD">
          <w:rPr>
            <w:rStyle w:val="Hyperlink"/>
            <w:rFonts w:cs="Calibri"/>
            <w:noProof/>
            <w:lang w:val="en-GB"/>
          </w:rPr>
          <w:t>Summary of direct greenhouse gas emission reduction</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_Toc179835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43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2" w:anchor="_Toc179836" w:history="1">
        <w:r w:rsidR="00B92C93" w:rsidRPr="00F737AD">
          <w:rPr>
            <w:rStyle w:val="Hyperlink"/>
            <w:rFonts w:cs="Calibri"/>
            <w:noProof/>
            <w:lang w:val="en-GB"/>
          </w:rPr>
          <w:t>Box 12</w:t>
        </w:r>
        <w:r w:rsidR="00B92C93" w:rsidRPr="00F737AD">
          <w:rPr>
            <w:rFonts w:eastAsia="Times New Roman" w:cs="Calibri"/>
            <w:noProof/>
            <w:sz w:val="22"/>
            <w:szCs w:val="22"/>
            <w:lang w:val="en-GB"/>
          </w:rPr>
          <w:tab/>
        </w:r>
        <w:r w:rsidR="00B92C93" w:rsidRPr="00F737AD">
          <w:rPr>
            <w:rStyle w:val="Hyperlink"/>
            <w:rFonts w:cs="Calibri"/>
            <w:noProof/>
            <w:lang w:val="en-GB"/>
          </w:rPr>
          <w:t>Mandatory GEF M&amp;E requirements and M&amp;E budget</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_Toc179836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53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7" w:history="1">
        <w:r w:rsidR="00B92C93" w:rsidRPr="00F737AD">
          <w:rPr>
            <w:rStyle w:val="Hyperlink"/>
            <w:rFonts w:cs="Calibri"/>
            <w:noProof/>
            <w:lang w:val="en-GB"/>
          </w:rPr>
          <w:t>Box 13</w:t>
        </w:r>
        <w:r w:rsidR="00B92C93" w:rsidRPr="00F737AD">
          <w:rPr>
            <w:rFonts w:eastAsia="Times New Roman" w:cs="Calibri"/>
            <w:noProof/>
            <w:sz w:val="22"/>
            <w:szCs w:val="22"/>
            <w:lang w:val="en-GB"/>
          </w:rPr>
          <w:tab/>
        </w:r>
        <w:r w:rsidR="00B92C93" w:rsidRPr="00F737AD">
          <w:rPr>
            <w:rStyle w:val="Hyperlink"/>
            <w:rFonts w:cs="Calibri"/>
            <w:noProof/>
            <w:lang w:val="en-GB"/>
          </w:rPr>
          <w:t>Project management and organization structure</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_Toc179837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54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8" w:history="1">
        <w:r w:rsidR="00B92C93" w:rsidRPr="00F737AD">
          <w:rPr>
            <w:rStyle w:val="Hyperlink"/>
            <w:rFonts w:cs="Calibri"/>
            <w:noProof/>
            <w:lang w:val="en-GB"/>
          </w:rPr>
          <w:t>Box 14</w:t>
        </w:r>
        <w:r w:rsidR="00B92C93" w:rsidRPr="00F737AD">
          <w:rPr>
            <w:rFonts w:eastAsia="Times New Roman" w:cs="Calibri"/>
            <w:noProof/>
            <w:sz w:val="22"/>
            <w:szCs w:val="22"/>
            <w:lang w:val="en-GB"/>
          </w:rPr>
          <w:tab/>
        </w:r>
        <w:r w:rsidR="00B92C93" w:rsidRPr="00F737AD">
          <w:rPr>
            <w:rStyle w:val="Hyperlink"/>
            <w:rFonts w:cs="Calibri"/>
            <w:noProof/>
            <w:lang w:val="en-GB"/>
          </w:rPr>
          <w:t>Cofinancing and sources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_Toc179838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56</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39" w:history="1">
        <w:r w:rsidR="00B92C93" w:rsidRPr="00F737AD">
          <w:rPr>
            <w:rStyle w:val="Hyperlink"/>
            <w:rFonts w:cs="Calibri"/>
            <w:noProof/>
            <w:lang w:val="en-GB"/>
          </w:rPr>
          <w:t>Box 15</w:t>
        </w:r>
        <w:r w:rsidR="00B92C93" w:rsidRPr="00F737AD">
          <w:rPr>
            <w:rFonts w:eastAsia="Times New Roman" w:cs="Calibri"/>
            <w:noProof/>
            <w:sz w:val="22"/>
            <w:szCs w:val="22"/>
            <w:lang w:val="en-GB"/>
          </w:rPr>
          <w:tab/>
        </w:r>
        <w:r w:rsidR="00B92C93" w:rsidRPr="00F737AD">
          <w:rPr>
            <w:rStyle w:val="Hyperlink"/>
            <w:rFonts w:cs="Calibri"/>
            <w:noProof/>
            <w:lang w:val="en-GB"/>
          </w:rPr>
          <w:t>Gender-related indicators and targets (from the project Results Framework)</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_Toc179839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79</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40" w:history="1">
        <w:r w:rsidR="00B92C93" w:rsidRPr="00F737AD">
          <w:rPr>
            <w:rStyle w:val="Hyperlink"/>
            <w:rFonts w:cs="Calibri"/>
            <w:noProof/>
            <w:lang w:val="en-GB"/>
          </w:rPr>
          <w:t>Box 16</w:t>
        </w:r>
        <w:r w:rsidR="00B92C93" w:rsidRPr="00F737AD">
          <w:rPr>
            <w:rFonts w:eastAsia="Times New Roman" w:cs="Calibri"/>
            <w:noProof/>
            <w:sz w:val="22"/>
            <w:szCs w:val="22"/>
            <w:lang w:val="en-GB"/>
          </w:rPr>
          <w:tab/>
        </w:r>
        <w:r w:rsidR="00B92C93" w:rsidRPr="00F737AD">
          <w:rPr>
            <w:rStyle w:val="Hyperlink"/>
            <w:rFonts w:cs="Calibri"/>
            <w:noProof/>
            <w:lang w:val="en-GB"/>
          </w:rPr>
          <w:t>Gender and social inclusion action plan: a gender mainstreaming measurement tool</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_Toc179840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80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41" w:history="1">
        <w:r w:rsidR="00B92C93" w:rsidRPr="00F737AD">
          <w:rPr>
            <w:rStyle w:val="Hyperlink"/>
            <w:rFonts w:cs="Calibri"/>
            <w:noProof/>
            <w:lang w:val="en-GB"/>
          </w:rPr>
          <w:t>Box 17</w:t>
        </w:r>
        <w:r w:rsidR="00B92C93" w:rsidRPr="00F737AD">
          <w:rPr>
            <w:rFonts w:eastAsia="Times New Roman" w:cs="Calibri"/>
            <w:noProof/>
            <w:sz w:val="22"/>
            <w:szCs w:val="22"/>
            <w:lang w:val="en-GB"/>
          </w:rPr>
          <w:tab/>
        </w:r>
        <w:r w:rsidR="00B92C93" w:rsidRPr="00F737AD">
          <w:rPr>
            <w:rStyle w:val="Hyperlink"/>
            <w:rFonts w:cs="Calibri"/>
            <w:noProof/>
            <w:lang w:val="en-GB"/>
          </w:rPr>
          <w:t>Gender-aspects in Theory of Change</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_Toc179841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81</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3" w:anchor="_Toc179842" w:history="1">
        <w:r w:rsidR="00B92C93" w:rsidRPr="00F737AD">
          <w:rPr>
            <w:rStyle w:val="Hyperlink"/>
            <w:rFonts w:cs="Calibri"/>
            <w:noProof/>
            <w:lang w:val="en-GB"/>
          </w:rPr>
          <w:t>Box 18</w:t>
        </w:r>
        <w:r w:rsidR="00B92C93" w:rsidRPr="00F737AD">
          <w:rPr>
            <w:rFonts w:eastAsia="Times New Roman" w:cs="Calibri"/>
            <w:noProof/>
            <w:sz w:val="22"/>
            <w:szCs w:val="22"/>
            <w:lang w:val="en-GB"/>
          </w:rPr>
          <w:tab/>
        </w:r>
        <w:r w:rsidR="00B92C93" w:rsidRPr="00F737AD">
          <w:rPr>
            <w:rStyle w:val="Hyperlink"/>
            <w:rFonts w:cs="Calibri"/>
            <w:noProof/>
            <w:lang w:val="en-GB"/>
          </w:rPr>
          <w:t>South Africa, power generation capacity</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_Toc179842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83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4" w:anchor="_Toc179843" w:history="1">
        <w:r w:rsidR="00B92C93" w:rsidRPr="00F737AD">
          <w:rPr>
            <w:rStyle w:val="Hyperlink"/>
            <w:rFonts w:cs="Calibri"/>
            <w:noProof/>
            <w:lang w:val="en-GB"/>
          </w:rPr>
          <w:t>Box 19</w:t>
        </w:r>
        <w:r w:rsidR="00B92C93" w:rsidRPr="00F737AD">
          <w:rPr>
            <w:rFonts w:eastAsia="Times New Roman" w:cs="Calibri"/>
            <w:noProof/>
            <w:sz w:val="22"/>
            <w:szCs w:val="22"/>
            <w:lang w:val="en-GB"/>
          </w:rPr>
          <w:tab/>
        </w:r>
        <w:r w:rsidR="00B92C93" w:rsidRPr="00F737AD">
          <w:rPr>
            <w:rStyle w:val="Hyperlink"/>
            <w:rFonts w:cs="Calibri"/>
            <w:noProof/>
            <w:lang w:val="en-GB"/>
          </w:rPr>
          <w:t>Historic and future Eskom price trajectories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_Toc179843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84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5" w:anchor="_Toc179844" w:history="1">
        <w:r w:rsidR="00B92C93" w:rsidRPr="00F737AD">
          <w:rPr>
            <w:rStyle w:val="Hyperlink"/>
            <w:rFonts w:cs="Calibri"/>
            <w:noProof/>
            <w:lang w:val="en-GB"/>
          </w:rPr>
          <w:t>Box 20</w:t>
        </w:r>
        <w:r w:rsidR="00B92C93" w:rsidRPr="00F737AD">
          <w:rPr>
            <w:rFonts w:eastAsia="Times New Roman" w:cs="Calibri"/>
            <w:noProof/>
            <w:sz w:val="22"/>
            <w:szCs w:val="22"/>
            <w:lang w:val="en-GB"/>
          </w:rPr>
          <w:tab/>
        </w:r>
        <w:r w:rsidR="00B92C93" w:rsidRPr="00F737AD">
          <w:rPr>
            <w:rStyle w:val="Hyperlink"/>
            <w:rFonts w:cs="Calibri"/>
            <w:noProof/>
            <w:lang w:val="en-GB"/>
          </w:rPr>
          <w:t xml:space="preserve"> Historic Eskom tariffs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_Toc179844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85</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6" w:anchor="_Toc179845" w:history="1">
        <w:r w:rsidR="00B92C93" w:rsidRPr="00F737AD">
          <w:rPr>
            <w:rStyle w:val="Hyperlink"/>
            <w:rFonts w:cs="Calibri"/>
            <w:noProof/>
            <w:lang w:val="en-GB"/>
          </w:rPr>
          <w:t>Box 21</w:t>
        </w:r>
        <w:r w:rsidR="00B92C93" w:rsidRPr="00F737AD">
          <w:rPr>
            <w:rFonts w:eastAsia="Times New Roman" w:cs="Calibri"/>
            <w:noProof/>
            <w:sz w:val="22"/>
            <w:szCs w:val="22"/>
            <w:lang w:val="en-GB"/>
          </w:rPr>
          <w:tab/>
        </w:r>
        <w:r w:rsidR="00B92C93" w:rsidRPr="00F737AD">
          <w:rPr>
            <w:rStyle w:val="Hyperlink"/>
            <w:rFonts w:cs="Calibri"/>
            <w:noProof/>
            <w:lang w:val="en-GB"/>
          </w:rPr>
          <w:t>Energy efficiency standards and labelling in South Africa</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_Toc179845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7" w:anchor="_Toc179846" w:history="1">
        <w:r w:rsidR="00B92C93" w:rsidRPr="00F737AD">
          <w:rPr>
            <w:rStyle w:val="Hyperlink"/>
            <w:rFonts w:cs="Calibri"/>
            <w:noProof/>
            <w:lang w:val="en-GB"/>
          </w:rPr>
          <w:t>Box 17</w:t>
        </w:r>
        <w:r w:rsidR="00B92C93" w:rsidRPr="00F737AD">
          <w:rPr>
            <w:rFonts w:eastAsia="Times New Roman" w:cs="Calibri"/>
            <w:noProof/>
            <w:sz w:val="22"/>
            <w:szCs w:val="22"/>
            <w:lang w:val="en-GB"/>
          </w:rPr>
          <w:tab/>
        </w:r>
        <w:r w:rsidR="00B92C93" w:rsidRPr="00F737AD">
          <w:rPr>
            <w:rStyle w:val="Hyperlink"/>
            <w:rFonts w:cs="Calibri"/>
            <w:noProof/>
            <w:lang w:val="en-GB"/>
          </w:rPr>
          <w:t>Municipal revenues and expenditures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_Toc179846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91</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8" w:anchor="_Toc179847" w:history="1">
        <w:r w:rsidR="00B92C93" w:rsidRPr="00F737AD">
          <w:rPr>
            <w:rStyle w:val="Hyperlink"/>
            <w:rFonts w:cs="Calibri"/>
            <w:noProof/>
            <w:lang w:val="en-GB"/>
          </w:rPr>
          <w:t>Box 23</w:t>
        </w:r>
        <w:r w:rsidR="00B92C93" w:rsidRPr="00F737AD">
          <w:rPr>
            <w:rFonts w:eastAsia="Times New Roman" w:cs="Calibri"/>
            <w:noProof/>
            <w:sz w:val="22"/>
            <w:szCs w:val="22"/>
            <w:lang w:val="en-GB"/>
          </w:rPr>
          <w:tab/>
        </w:r>
        <w:r w:rsidR="00B92C93" w:rsidRPr="00F737AD">
          <w:rPr>
            <w:rStyle w:val="Hyperlink"/>
            <w:rFonts w:cs="Calibri"/>
            <w:noProof/>
            <w:lang w:val="en-GB"/>
          </w:rPr>
          <w:t>Annual lamp sales in South Africa in 2016 (DoE study on residential lighting)</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_Toc179847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92</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29" w:anchor="_Toc179848" w:history="1">
        <w:r w:rsidR="00B92C93" w:rsidRPr="00F737AD">
          <w:rPr>
            <w:rStyle w:val="Hyperlink"/>
            <w:rFonts w:cs="Calibri"/>
            <w:noProof/>
            <w:lang w:val="en-GB"/>
          </w:rPr>
          <w:t>Box 24</w:t>
        </w:r>
        <w:r w:rsidR="00B92C93" w:rsidRPr="00F737AD">
          <w:rPr>
            <w:rFonts w:eastAsia="Times New Roman" w:cs="Calibri"/>
            <w:noProof/>
            <w:sz w:val="22"/>
            <w:szCs w:val="22"/>
            <w:lang w:val="en-GB"/>
          </w:rPr>
          <w:tab/>
        </w:r>
        <w:r w:rsidR="00B92C93" w:rsidRPr="00F737AD">
          <w:rPr>
            <w:rStyle w:val="Hyperlink"/>
            <w:rFonts w:cs="Calibri"/>
            <w:noProof/>
            <w:lang w:val="en-GB"/>
          </w:rPr>
          <w:t>Energy-efficient lighting: an overview</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_Toc179848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0" w:anchor="_Toc179849" w:history="1">
        <w:r w:rsidR="00B92C93" w:rsidRPr="00F737AD">
          <w:rPr>
            <w:rStyle w:val="Hyperlink"/>
            <w:rFonts w:cs="Calibri"/>
            <w:noProof/>
            <w:lang w:val="en-GB"/>
          </w:rPr>
          <w:t>Box 25</w:t>
        </w:r>
        <w:r w:rsidR="00B92C93" w:rsidRPr="00F737AD">
          <w:rPr>
            <w:rFonts w:eastAsia="Times New Roman" w:cs="Calibri"/>
            <w:noProof/>
            <w:sz w:val="22"/>
            <w:szCs w:val="22"/>
            <w:lang w:val="en-GB"/>
          </w:rPr>
          <w:tab/>
        </w:r>
        <w:r w:rsidR="00B92C93" w:rsidRPr="00F737AD">
          <w:rPr>
            <w:rStyle w:val="Hyperlink"/>
            <w:rFonts w:cs="Calibri"/>
            <w:noProof/>
            <w:lang w:val="en-GB"/>
          </w:rPr>
          <w:t>Estimates of annual lamps sales and installed stock in 2014</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_Toc179849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1" w:anchor="_Toc179850" w:history="1">
        <w:r w:rsidR="00B92C93" w:rsidRPr="00F737AD">
          <w:rPr>
            <w:rStyle w:val="Hyperlink"/>
            <w:rFonts w:cs="Calibri"/>
            <w:noProof/>
            <w:lang w:val="en-GB"/>
          </w:rPr>
          <w:t>Box 26</w:t>
        </w:r>
        <w:r w:rsidR="00B92C93" w:rsidRPr="00F737AD">
          <w:rPr>
            <w:rFonts w:eastAsia="Times New Roman" w:cs="Calibri"/>
            <w:noProof/>
            <w:sz w:val="22"/>
            <w:szCs w:val="22"/>
            <w:lang w:val="en-GB"/>
          </w:rPr>
          <w:tab/>
        </w:r>
        <w:r w:rsidR="00B92C93" w:rsidRPr="00F737AD">
          <w:rPr>
            <w:rStyle w:val="Hyperlink"/>
            <w:rFonts w:cs="Calibri"/>
            <w:noProof/>
            <w:lang w:val="en-GB"/>
          </w:rPr>
          <w:t>Lamp supply chain in South Africa</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_Toc179850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95</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2" w:anchor="_Toc179851" w:history="1">
        <w:r w:rsidR="00B92C93" w:rsidRPr="00F737AD">
          <w:rPr>
            <w:rStyle w:val="Hyperlink"/>
            <w:rFonts w:cs="Calibri"/>
            <w:noProof/>
            <w:lang w:val="en-GB"/>
          </w:rPr>
          <w:t>Box 27</w:t>
        </w:r>
        <w:r w:rsidR="00B92C93" w:rsidRPr="00F737AD">
          <w:rPr>
            <w:rFonts w:eastAsia="Times New Roman" w:cs="Calibri"/>
            <w:noProof/>
            <w:sz w:val="22"/>
            <w:szCs w:val="22"/>
            <w:lang w:val="en-GB"/>
          </w:rPr>
          <w:tab/>
        </w:r>
        <w:r w:rsidR="00B92C93" w:rsidRPr="00F737AD">
          <w:rPr>
            <w:rStyle w:val="Hyperlink"/>
            <w:rFonts w:cs="Calibri"/>
            <w:noProof/>
            <w:lang w:val="en-GB"/>
          </w:rPr>
          <w:t>Street lighting characteristics in South African cities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_Toc179851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96</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3" w:anchor="_Toc179852" w:history="1">
        <w:r w:rsidR="00B92C93" w:rsidRPr="00F737AD">
          <w:rPr>
            <w:rStyle w:val="Hyperlink"/>
            <w:rFonts w:cs="Calibri"/>
            <w:noProof/>
            <w:lang w:val="en-GB"/>
          </w:rPr>
          <w:t>Box 28</w:t>
        </w:r>
        <w:r w:rsidR="00B92C93" w:rsidRPr="00F737AD">
          <w:rPr>
            <w:rFonts w:eastAsia="Times New Roman" w:cs="Calibri"/>
            <w:noProof/>
            <w:sz w:val="22"/>
            <w:szCs w:val="22"/>
            <w:lang w:val="en-GB"/>
          </w:rPr>
          <w:tab/>
        </w:r>
        <w:r w:rsidR="00B92C93" w:rsidRPr="00F737AD">
          <w:rPr>
            <w:rStyle w:val="Hyperlink"/>
            <w:rFonts w:cs="Calibri"/>
            <w:noProof/>
            <w:lang w:val="en-GB"/>
          </w:rPr>
          <w:t>Local production of LED street lighting luminaires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_Toc179852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97</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4" w:anchor="_Toc179853" w:history="1">
        <w:r w:rsidR="00B92C93" w:rsidRPr="00F737AD">
          <w:rPr>
            <w:rStyle w:val="Hyperlink"/>
            <w:rFonts w:cs="Calibri"/>
            <w:noProof/>
            <w:lang w:val="en-GB"/>
          </w:rPr>
          <w:t>Box 29</w:t>
        </w:r>
        <w:r w:rsidR="00B92C93" w:rsidRPr="00F737AD">
          <w:rPr>
            <w:rFonts w:eastAsia="Times New Roman" w:cs="Calibri"/>
            <w:noProof/>
            <w:sz w:val="22"/>
            <w:szCs w:val="22"/>
            <w:lang w:val="en-GB"/>
          </w:rPr>
          <w:tab/>
        </w:r>
        <w:r w:rsidR="00B92C93" w:rsidRPr="00F737AD">
          <w:rPr>
            <w:rStyle w:val="Hyperlink"/>
            <w:rFonts w:cs="Calibri"/>
            <w:noProof/>
            <w:lang w:val="en-GB"/>
          </w:rPr>
          <w:t>Energy label, bulbs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_Toc179853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97</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5" w:anchor="_Toc179854" w:history="1">
        <w:r w:rsidR="00B92C93" w:rsidRPr="00F737AD">
          <w:rPr>
            <w:rStyle w:val="Hyperlink"/>
            <w:rFonts w:cs="Calibri"/>
            <w:noProof/>
            <w:lang w:val="en-GB"/>
          </w:rPr>
          <w:t>Box 30</w:t>
        </w:r>
        <w:r w:rsidR="00B92C93" w:rsidRPr="00F737AD">
          <w:rPr>
            <w:rFonts w:eastAsia="Times New Roman" w:cs="Calibri"/>
            <w:noProof/>
            <w:sz w:val="22"/>
            <w:szCs w:val="22"/>
            <w:lang w:val="en-GB"/>
          </w:rPr>
          <w:tab/>
        </w:r>
        <w:r w:rsidR="00B92C93" w:rsidRPr="00F737AD">
          <w:rPr>
            <w:rStyle w:val="Hyperlink"/>
            <w:rFonts w:cs="Calibri"/>
            <w:noProof/>
            <w:lang w:val="en-GB"/>
          </w:rPr>
          <w:t>Promotion of street lighting</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_Toc179854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98</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6" w:anchor="_Toc179855" w:history="1">
        <w:r w:rsidR="00B92C93" w:rsidRPr="00F737AD">
          <w:rPr>
            <w:rStyle w:val="Hyperlink"/>
            <w:rFonts w:cs="Calibri"/>
            <w:noProof/>
            <w:lang w:val="en-GB"/>
          </w:rPr>
          <w:t>Box 31</w:t>
        </w:r>
        <w:r w:rsidR="00B92C93" w:rsidRPr="00F737AD">
          <w:rPr>
            <w:rFonts w:eastAsia="Times New Roman" w:cs="Calibri"/>
            <w:noProof/>
            <w:sz w:val="22"/>
            <w:szCs w:val="22"/>
            <w:lang w:val="en-GB"/>
          </w:rPr>
          <w:tab/>
        </w:r>
        <w:r w:rsidR="00B92C93" w:rsidRPr="00F737AD">
          <w:rPr>
            <w:rStyle w:val="Hyperlink"/>
            <w:rFonts w:cs="Calibri"/>
            <w:noProof/>
            <w:lang w:val="en-GB"/>
          </w:rPr>
          <w:t>Examples of transformers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_Toc179855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99</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7" w:anchor="_Toc179856" w:history="1">
        <w:r w:rsidR="00B92C93" w:rsidRPr="00F737AD">
          <w:rPr>
            <w:rStyle w:val="Hyperlink"/>
            <w:rFonts w:cs="Calibri"/>
            <w:noProof/>
            <w:lang w:val="en-GB"/>
          </w:rPr>
          <w:t>Box 32</w:t>
        </w:r>
        <w:r w:rsidR="00B92C93" w:rsidRPr="00F737AD">
          <w:rPr>
            <w:rFonts w:eastAsia="Times New Roman" w:cs="Calibri"/>
            <w:noProof/>
            <w:sz w:val="22"/>
            <w:szCs w:val="22"/>
            <w:lang w:val="en-GB"/>
          </w:rPr>
          <w:tab/>
        </w:r>
        <w:r w:rsidR="00B92C93" w:rsidRPr="00F737AD">
          <w:rPr>
            <w:rStyle w:val="Hyperlink"/>
            <w:rFonts w:cs="Calibri"/>
            <w:noProof/>
            <w:lang w:val="en-GB"/>
          </w:rPr>
          <w:t>South Africa transformer benchmarking</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_Toc179856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99</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8" w:anchor="_Toc179857" w:history="1">
        <w:r w:rsidR="00B92C93" w:rsidRPr="00F737AD">
          <w:rPr>
            <w:rStyle w:val="Hyperlink"/>
            <w:rFonts w:cs="Calibri"/>
            <w:noProof/>
            <w:lang w:val="en-GB"/>
          </w:rPr>
          <w:t>Box 33</w:t>
        </w:r>
        <w:r w:rsidR="00B92C93" w:rsidRPr="00F737AD">
          <w:rPr>
            <w:rFonts w:eastAsia="Times New Roman" w:cs="Calibri"/>
            <w:noProof/>
            <w:sz w:val="22"/>
            <w:szCs w:val="22"/>
            <w:lang w:val="en-GB"/>
          </w:rPr>
          <w:tab/>
        </w:r>
        <w:r w:rsidR="00B92C93" w:rsidRPr="00F737AD">
          <w:rPr>
            <w:rStyle w:val="Hyperlink"/>
            <w:rFonts w:cs="Calibri"/>
            <w:noProof/>
            <w:lang w:val="en-GB"/>
          </w:rPr>
          <w:t>Efficiency, losses and transformers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_Toc179857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100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39" w:anchor="_Toc179858" w:history="1">
        <w:r w:rsidR="00B92C93" w:rsidRPr="00F737AD">
          <w:rPr>
            <w:rStyle w:val="Hyperlink"/>
            <w:rFonts w:cs="Calibri"/>
            <w:noProof/>
            <w:lang w:val="en-GB"/>
          </w:rPr>
          <w:t>Box 34</w:t>
        </w:r>
        <w:r w:rsidR="00B92C93" w:rsidRPr="00F737AD">
          <w:rPr>
            <w:rFonts w:eastAsia="Times New Roman" w:cs="Calibri"/>
            <w:noProof/>
            <w:sz w:val="22"/>
            <w:szCs w:val="22"/>
            <w:lang w:val="en-GB"/>
          </w:rPr>
          <w:tab/>
        </w:r>
        <w:r w:rsidR="00B92C93" w:rsidRPr="00F737AD">
          <w:rPr>
            <w:rStyle w:val="Hyperlink"/>
            <w:rFonts w:cs="Calibri"/>
            <w:noProof/>
            <w:lang w:val="en-GB"/>
          </w:rPr>
          <w:t>Government schemes for Eskom and municipal energy efficiency</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_Toc179858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105</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0" w:anchor="_Toc179859" w:history="1">
        <w:r w:rsidR="00B92C93" w:rsidRPr="00F737AD">
          <w:rPr>
            <w:rStyle w:val="Hyperlink"/>
            <w:rFonts w:cs="Calibri"/>
            <w:noProof/>
            <w:lang w:val="en-GB"/>
          </w:rPr>
          <w:t>Box 35</w:t>
        </w:r>
        <w:r w:rsidR="00B92C93" w:rsidRPr="00F737AD">
          <w:rPr>
            <w:rFonts w:eastAsia="Times New Roman" w:cs="Calibri"/>
            <w:noProof/>
            <w:sz w:val="22"/>
            <w:szCs w:val="22"/>
            <w:lang w:val="en-GB"/>
          </w:rPr>
          <w:tab/>
        </w:r>
        <w:r w:rsidR="00B92C93" w:rsidRPr="00F737AD">
          <w:rPr>
            <w:rStyle w:val="Hyperlink"/>
            <w:rFonts w:cs="Calibri"/>
            <w:noProof/>
            <w:lang w:val="en-GB"/>
          </w:rPr>
          <w:t>Energy Efficiency in Public Buildings and Infrastructure Programme (EEPBIP)</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_Toc179859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1" w:anchor="_Toc179860" w:history="1">
        <w:r w:rsidR="00B92C93" w:rsidRPr="00F737AD">
          <w:rPr>
            <w:rStyle w:val="Hyperlink"/>
            <w:rFonts w:cs="Calibri"/>
            <w:noProof/>
            <w:lang w:val="en-GB"/>
          </w:rPr>
          <w:t>Box 36</w:t>
        </w:r>
        <w:r w:rsidR="00B92C93" w:rsidRPr="00F737AD">
          <w:rPr>
            <w:rFonts w:eastAsia="Times New Roman" w:cs="Calibri"/>
            <w:noProof/>
            <w:sz w:val="22"/>
            <w:szCs w:val="22"/>
            <w:lang w:val="en-GB"/>
          </w:rPr>
          <w:tab/>
        </w:r>
        <w:r w:rsidR="00B92C93" w:rsidRPr="00F737AD">
          <w:rPr>
            <w:rStyle w:val="Hyperlink"/>
            <w:rFonts w:cs="Calibri"/>
            <w:noProof/>
            <w:lang w:val="en-GB"/>
          </w:rPr>
          <w:t>Advantages and disadvantages of various financing models</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_Toc179860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2" w:anchor="_Toc179861" w:history="1">
        <w:r w:rsidR="00B92C93" w:rsidRPr="00F737AD">
          <w:rPr>
            <w:rStyle w:val="Hyperlink"/>
            <w:rFonts w:cs="Calibri"/>
            <w:noProof/>
            <w:lang w:val="en-GB"/>
          </w:rPr>
          <w:t>Box 37</w:t>
        </w:r>
        <w:r w:rsidR="00B92C93" w:rsidRPr="00F737AD">
          <w:rPr>
            <w:rFonts w:eastAsia="Times New Roman" w:cs="Calibri"/>
            <w:noProof/>
            <w:sz w:val="22"/>
            <w:szCs w:val="22"/>
            <w:lang w:val="en-GB"/>
          </w:rPr>
          <w:tab/>
        </w:r>
        <w:r w:rsidR="00B92C93" w:rsidRPr="00F737AD">
          <w:rPr>
            <w:rStyle w:val="Hyperlink"/>
            <w:rFonts w:cs="Calibri"/>
            <w:noProof/>
            <w:lang w:val="en-GB"/>
          </w:rPr>
          <w:t>Transaction cost of grant-based vs. debt financing by EEFI</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_Toc179861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116</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3" w:anchor="_Toc179862" w:history="1">
        <w:r w:rsidR="00B92C93" w:rsidRPr="00F737AD">
          <w:rPr>
            <w:rStyle w:val="Hyperlink"/>
            <w:rFonts w:cs="Calibri"/>
            <w:noProof/>
            <w:lang w:val="en-GB"/>
          </w:rPr>
          <w:t>Box 38</w:t>
        </w:r>
        <w:r w:rsidR="00B92C93" w:rsidRPr="00F737AD">
          <w:rPr>
            <w:rFonts w:eastAsia="Times New Roman" w:cs="Calibri"/>
            <w:noProof/>
            <w:sz w:val="22"/>
            <w:szCs w:val="22"/>
            <w:lang w:val="en-GB"/>
          </w:rPr>
          <w:tab/>
        </w:r>
        <w:r w:rsidR="00B92C93" w:rsidRPr="00F737AD">
          <w:rPr>
            <w:rStyle w:val="Hyperlink"/>
            <w:rFonts w:cs="Calibri"/>
            <w:noProof/>
            <w:lang w:val="en-GB"/>
          </w:rPr>
          <w:t>Basic fund data and key indicators, EEFI</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_Toc179862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117</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4" w:anchor="_Toc179863" w:history="1">
        <w:r w:rsidR="00B92C93" w:rsidRPr="00F737AD">
          <w:rPr>
            <w:rStyle w:val="Hyperlink"/>
            <w:rFonts w:cs="Calibri"/>
            <w:noProof/>
            <w:lang w:val="en-GB"/>
          </w:rPr>
          <w:t>Box 39</w:t>
        </w:r>
        <w:r w:rsidR="00B92C93" w:rsidRPr="00F737AD">
          <w:rPr>
            <w:rFonts w:eastAsia="Times New Roman" w:cs="Calibri"/>
            <w:noProof/>
            <w:sz w:val="22"/>
            <w:szCs w:val="22"/>
            <w:lang w:val="en-GB"/>
          </w:rPr>
          <w:tab/>
        </w:r>
        <w:r w:rsidR="00B92C93" w:rsidRPr="00F737AD">
          <w:rPr>
            <w:rStyle w:val="Hyperlink"/>
            <w:rFonts w:cs="Calibri"/>
            <w:noProof/>
            <w:lang w:val="en-GB"/>
          </w:rPr>
          <w:t>Cash flow modelling</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_Toc179863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118</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5" w:anchor="_Toc179864" w:history="1">
        <w:r w:rsidR="00B92C93" w:rsidRPr="00F737AD">
          <w:rPr>
            <w:rStyle w:val="Hyperlink"/>
            <w:rFonts w:cs="Calibri"/>
            <w:noProof/>
            <w:lang w:val="en-GB"/>
          </w:rPr>
          <w:t>Box 37</w:t>
        </w:r>
        <w:r w:rsidR="00B92C93" w:rsidRPr="00F737AD">
          <w:rPr>
            <w:rFonts w:eastAsia="Times New Roman" w:cs="Calibri"/>
            <w:noProof/>
            <w:sz w:val="22"/>
            <w:szCs w:val="22"/>
            <w:lang w:val="en-GB"/>
          </w:rPr>
          <w:tab/>
        </w:r>
        <w:r w:rsidR="00B92C93" w:rsidRPr="00F737AD">
          <w:rPr>
            <w:rStyle w:val="Hyperlink"/>
            <w:rFonts w:cs="Calibri"/>
            <w:noProof/>
            <w:lang w:val="en-GB"/>
          </w:rPr>
          <w:t>South Africa – pathway to energy efficiency (U4E)</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_Toc179864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119</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6" w:anchor="_Toc179865" w:history="1">
        <w:r w:rsidR="00B92C93" w:rsidRPr="00F737AD">
          <w:rPr>
            <w:rStyle w:val="Hyperlink"/>
            <w:rFonts w:cs="Calibri"/>
            <w:noProof/>
            <w:lang w:val="en-GB"/>
          </w:rPr>
          <w:t>Box 38</w:t>
        </w:r>
        <w:r w:rsidR="00B92C93" w:rsidRPr="00F737AD">
          <w:rPr>
            <w:rFonts w:eastAsia="Times New Roman" w:cs="Calibri"/>
            <w:noProof/>
            <w:sz w:val="22"/>
            <w:szCs w:val="22"/>
            <w:lang w:val="en-GB"/>
          </w:rPr>
          <w:tab/>
        </w:r>
        <w:r w:rsidR="00B92C93" w:rsidRPr="00F737AD">
          <w:rPr>
            <w:rStyle w:val="Hyperlink"/>
            <w:rFonts w:cs="Calibri"/>
            <w:noProof/>
            <w:lang w:val="en-GB"/>
          </w:rPr>
          <w:t>Assumptions and base data calculations, HE transformers, energy savings and GHG reduction</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_Toc179865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120</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7" w:anchor="_Toc179866" w:history="1">
        <w:r w:rsidR="00B92C93" w:rsidRPr="00F737AD">
          <w:rPr>
            <w:rStyle w:val="Hyperlink"/>
            <w:rFonts w:cs="Calibri"/>
            <w:noProof/>
            <w:lang w:val="en-GB"/>
          </w:rPr>
          <w:t>Box 39</w:t>
        </w:r>
        <w:r w:rsidR="00B92C93" w:rsidRPr="00F737AD">
          <w:rPr>
            <w:rFonts w:eastAsia="Times New Roman" w:cs="Calibri"/>
            <w:noProof/>
            <w:sz w:val="22"/>
            <w:szCs w:val="22"/>
            <w:lang w:val="en-GB"/>
          </w:rPr>
          <w:tab/>
        </w:r>
        <w:r w:rsidR="00B92C93" w:rsidRPr="00F737AD">
          <w:rPr>
            <w:rStyle w:val="Hyperlink"/>
            <w:rFonts w:cs="Calibri"/>
            <w:noProof/>
            <w:lang w:val="en-GB"/>
          </w:rPr>
          <w:t>Assumptions and base data calculations, LED lighting, market share and prices (2017)</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_Toc179866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121</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8" w:anchor="_Toc179867" w:history="1">
        <w:r w:rsidR="00B92C93" w:rsidRPr="00F737AD">
          <w:rPr>
            <w:rStyle w:val="Hyperlink"/>
            <w:rFonts w:cs="Calibri"/>
            <w:noProof/>
            <w:lang w:val="en-GB"/>
          </w:rPr>
          <w:t>Box 39</w:t>
        </w:r>
        <w:r w:rsidR="00B92C93" w:rsidRPr="00F737AD">
          <w:rPr>
            <w:rFonts w:eastAsia="Times New Roman" w:cs="Calibri"/>
            <w:noProof/>
            <w:sz w:val="22"/>
            <w:szCs w:val="22"/>
            <w:lang w:val="en-GB"/>
          </w:rPr>
          <w:tab/>
        </w:r>
        <w:r w:rsidR="00B92C93" w:rsidRPr="00F737AD">
          <w:rPr>
            <w:rStyle w:val="Hyperlink"/>
            <w:rFonts w:cs="Calibri"/>
            <w:noProof/>
            <w:lang w:val="en-GB"/>
          </w:rPr>
          <w:t>Assumptions and base data calculations, LED lighting, energy consumption per device</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_Toc179867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122</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68" w:history="1">
        <w:r w:rsidR="00B92C93" w:rsidRPr="00F737AD">
          <w:rPr>
            <w:rStyle w:val="Hyperlink"/>
            <w:rFonts w:cs="Calibri"/>
            <w:noProof/>
            <w:lang w:val="en-GB"/>
          </w:rPr>
          <w:t>Box 40</w:t>
        </w:r>
        <w:r w:rsidR="00B92C93" w:rsidRPr="00F737AD">
          <w:rPr>
            <w:rFonts w:eastAsia="Times New Roman" w:cs="Calibri"/>
            <w:noProof/>
            <w:sz w:val="22"/>
            <w:szCs w:val="22"/>
            <w:lang w:val="en-GB"/>
          </w:rPr>
          <w:tab/>
        </w:r>
        <w:r w:rsidR="00B92C93" w:rsidRPr="00F737AD">
          <w:rPr>
            <w:rStyle w:val="Hyperlink"/>
            <w:rFonts w:cs="Calibri"/>
            <w:noProof/>
            <w:lang w:val="en-GB"/>
          </w:rPr>
          <w:t xml:space="preserve">LED and other lamps stock South Africa - baseline and GEF alternative scenario </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_Toc179868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123</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69" w:history="1">
        <w:r w:rsidR="00B92C93" w:rsidRPr="00F737AD">
          <w:rPr>
            <w:rStyle w:val="Hyperlink"/>
            <w:rFonts w:cs="Calibri"/>
            <w:noProof/>
            <w:lang w:val="en-GB"/>
          </w:rPr>
          <w:t>Box 41</w:t>
        </w:r>
        <w:r w:rsidR="00B92C93" w:rsidRPr="00F737AD">
          <w:rPr>
            <w:rFonts w:eastAsia="Times New Roman" w:cs="Calibri"/>
            <w:noProof/>
            <w:sz w:val="22"/>
            <w:szCs w:val="22"/>
            <w:lang w:val="en-GB"/>
          </w:rPr>
          <w:tab/>
        </w:r>
        <w:r w:rsidR="00B92C93" w:rsidRPr="00F737AD">
          <w:rPr>
            <w:rStyle w:val="Hyperlink"/>
            <w:rFonts w:cs="Calibri"/>
            <w:noProof/>
            <w:lang w:val="en-GB"/>
          </w:rPr>
          <w:t>Distribution transformers stock South Africa – baseline and GEF alternative scenario</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_Toc179869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w:anchor="_Toc179870" w:history="1">
        <w:r w:rsidR="00B92C93" w:rsidRPr="00F737AD">
          <w:rPr>
            <w:rStyle w:val="Hyperlink"/>
            <w:rFonts w:cs="Calibri"/>
            <w:noProof/>
            <w:lang w:val="en-GB"/>
          </w:rPr>
          <w:t>Box 42</w:t>
        </w:r>
        <w:r w:rsidR="00B92C93" w:rsidRPr="00F737AD">
          <w:rPr>
            <w:rFonts w:eastAsia="Times New Roman" w:cs="Calibri"/>
            <w:noProof/>
            <w:sz w:val="22"/>
            <w:szCs w:val="22"/>
            <w:lang w:val="en-GB"/>
          </w:rPr>
          <w:tab/>
        </w:r>
        <w:r w:rsidR="00B92C93" w:rsidRPr="00F737AD">
          <w:rPr>
            <w:rStyle w:val="Hyperlink"/>
            <w:rFonts w:cs="Calibri"/>
            <w:noProof/>
            <w:lang w:val="en-GB"/>
          </w:rPr>
          <w:t>Peak power demand reduction and avoided mercury content</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_Toc179870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124</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49" w:anchor="_Toc179871" w:history="1">
        <w:r w:rsidR="00B92C93" w:rsidRPr="00F737AD">
          <w:rPr>
            <w:rStyle w:val="Hyperlink"/>
            <w:rFonts w:cs="Calibri"/>
            <w:noProof/>
            <w:lang w:val="en-GB"/>
          </w:rPr>
          <w:t>Box 43</w:t>
        </w:r>
        <w:r w:rsidR="00B92C93" w:rsidRPr="00F737AD">
          <w:rPr>
            <w:rFonts w:eastAsia="Times New Roman" w:cs="Calibri"/>
            <w:noProof/>
            <w:sz w:val="22"/>
            <w:szCs w:val="22"/>
            <w:lang w:val="en-GB"/>
          </w:rPr>
          <w:tab/>
        </w:r>
        <w:r w:rsidR="00B92C93" w:rsidRPr="00F737AD">
          <w:rPr>
            <w:rStyle w:val="Hyperlink"/>
            <w:rFonts w:cs="Calibri"/>
            <w:noProof/>
            <w:lang w:val="en-GB"/>
          </w:rPr>
          <w:t>Monetary savings due to replacement per type of lamp</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_Toc179871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125</w:t>
        </w:r>
        <w:r w:rsidR="00B92C93" w:rsidRPr="00F737AD">
          <w:rPr>
            <w:rFonts w:cs="Calibri"/>
            <w:noProof/>
            <w:webHidden/>
            <w:lang w:val="en-GB"/>
          </w:rPr>
          <w:fldChar w:fldCharType="end"/>
        </w:r>
      </w:hyperlink>
    </w:p>
    <w:p w:rsidR="00B92C93" w:rsidRPr="00F737AD" w:rsidRDefault="00B803B6">
      <w:pPr>
        <w:pStyle w:val="TableofFigures"/>
        <w:tabs>
          <w:tab w:val="left" w:pos="1134"/>
          <w:tab w:val="right" w:leader="dot" w:pos="9962"/>
        </w:tabs>
        <w:rPr>
          <w:rFonts w:eastAsia="Times New Roman" w:cs="Calibri"/>
          <w:noProof/>
          <w:sz w:val="22"/>
          <w:szCs w:val="22"/>
          <w:lang w:val="en-GB"/>
        </w:rPr>
      </w:pPr>
      <w:hyperlink r:id="rId50" w:anchor="_Toc179872" w:history="1">
        <w:r w:rsidR="00B92C93" w:rsidRPr="00F737AD">
          <w:rPr>
            <w:rStyle w:val="Hyperlink"/>
            <w:rFonts w:cs="Calibri"/>
            <w:noProof/>
            <w:lang w:val="en-GB"/>
          </w:rPr>
          <w:t>Box 44</w:t>
        </w:r>
        <w:r w:rsidR="00B92C93" w:rsidRPr="00F737AD">
          <w:rPr>
            <w:rFonts w:eastAsia="Times New Roman" w:cs="Calibri"/>
            <w:noProof/>
            <w:sz w:val="22"/>
            <w:szCs w:val="22"/>
            <w:lang w:val="en-GB"/>
          </w:rPr>
          <w:tab/>
        </w:r>
        <w:r w:rsidR="00B92C93" w:rsidRPr="00F737AD">
          <w:rPr>
            <w:rStyle w:val="Hyperlink"/>
            <w:rFonts w:cs="Calibri"/>
            <w:noProof/>
            <w:lang w:val="en-GB"/>
          </w:rPr>
          <w:t>Potential energy savings and avoided emissions in South Africa in 2030</w:t>
        </w:r>
        <w:r w:rsidR="00B92C93" w:rsidRPr="00F737AD">
          <w:rPr>
            <w:rFonts w:cs="Calibri"/>
            <w:noProof/>
            <w:webHidden/>
            <w:lang w:val="en-GB"/>
          </w:rPr>
          <w:tab/>
        </w:r>
        <w:r w:rsidR="00B92C93" w:rsidRPr="00F737AD">
          <w:rPr>
            <w:rFonts w:cs="Calibri"/>
            <w:noProof/>
            <w:webHidden/>
            <w:lang w:val="en-GB"/>
          </w:rPr>
          <w:fldChar w:fldCharType="begin"/>
        </w:r>
        <w:r w:rsidR="00B92C93" w:rsidRPr="00F737AD">
          <w:rPr>
            <w:rFonts w:cs="Calibri"/>
            <w:noProof/>
            <w:webHidden/>
            <w:lang w:val="en-GB"/>
          </w:rPr>
          <w:instrText xml:space="preserve"> PAGEREF _Toc179872 \h </w:instrText>
        </w:r>
        <w:r w:rsidR="00B92C93" w:rsidRPr="00F737AD">
          <w:rPr>
            <w:rFonts w:cs="Calibri"/>
            <w:noProof/>
            <w:webHidden/>
            <w:lang w:val="en-GB"/>
          </w:rPr>
        </w:r>
        <w:r w:rsidR="00B92C93" w:rsidRPr="00F737AD">
          <w:rPr>
            <w:rFonts w:cs="Calibri"/>
            <w:noProof/>
            <w:webHidden/>
            <w:lang w:val="en-GB"/>
          </w:rPr>
          <w:fldChar w:fldCharType="separate"/>
        </w:r>
        <w:r w:rsidR="001B7E32">
          <w:rPr>
            <w:rFonts w:cs="Calibri"/>
            <w:noProof/>
            <w:webHidden/>
            <w:lang w:val="en-GB"/>
          </w:rPr>
          <w:t>127</w:t>
        </w:r>
        <w:r w:rsidR="00B92C93" w:rsidRPr="00F737AD">
          <w:rPr>
            <w:rFonts w:cs="Calibri"/>
            <w:noProof/>
            <w:webHidden/>
            <w:lang w:val="en-GB"/>
          </w:rPr>
          <w:fldChar w:fldCharType="end"/>
        </w:r>
      </w:hyperlink>
    </w:p>
    <w:p w:rsidR="007A193A" w:rsidRPr="0057545E" w:rsidRDefault="007A193A" w:rsidP="008C2684">
      <w:pPr>
        <w:tabs>
          <w:tab w:val="left" w:pos="709"/>
        </w:tabs>
        <w:ind w:left="709" w:hanging="709"/>
        <w:rPr>
          <w:lang w:val="en-GB" w:eastAsia="en-GB"/>
        </w:rPr>
      </w:pPr>
      <w:r w:rsidRPr="00F737AD">
        <w:rPr>
          <w:rFonts w:cs="Calibri"/>
          <w:lang w:val="en-GB" w:eastAsia="en-GB"/>
        </w:rPr>
        <w:fldChar w:fldCharType="end"/>
      </w:r>
    </w:p>
    <w:p w:rsidR="00073DB2" w:rsidRPr="00353542" w:rsidRDefault="00073DB2" w:rsidP="00073DB2">
      <w:pPr>
        <w:rPr>
          <w:lang w:val="en-GB" w:eastAsia="en-GB"/>
        </w:rPr>
      </w:pPr>
    </w:p>
    <w:p w:rsidR="00073DB2" w:rsidRPr="00666B27" w:rsidRDefault="00073DB2" w:rsidP="00073DB2">
      <w:pPr>
        <w:pStyle w:val="Heading1"/>
        <w:numPr>
          <w:ilvl w:val="0"/>
          <w:numId w:val="0"/>
        </w:numPr>
        <w:ind w:left="360" w:hanging="360"/>
      </w:pPr>
      <w:r w:rsidRPr="00666B27">
        <w:rPr>
          <w:b w:val="0"/>
        </w:rPr>
        <w:br w:type="page"/>
      </w:r>
      <w:bookmarkStart w:id="9" w:name="_Toc497848291"/>
      <w:bookmarkStart w:id="10" w:name="_Toc340752"/>
      <w:r w:rsidRPr="00666B27">
        <w:lastRenderedPageBreak/>
        <w:t>List of acronyms and abbreviations</w:t>
      </w:r>
      <w:bookmarkEnd w:id="9"/>
      <w:bookmarkEnd w:id="10"/>
    </w:p>
    <w:p w:rsidR="007A193A" w:rsidRPr="00666B27" w:rsidRDefault="007A193A" w:rsidP="007A193A">
      <w:pPr>
        <w:rPr>
          <w:lang w:val="en-GB" w:eastAsia="en-GB"/>
        </w:rPr>
      </w:pPr>
    </w:p>
    <w:p w:rsidR="001A31BB" w:rsidRPr="00666B27" w:rsidRDefault="001A31BB" w:rsidP="001A31BB">
      <w:pPr>
        <w:rPr>
          <w:lang w:val="en-GB" w:eastAsia="en-GB"/>
        </w:rPr>
      </w:pPr>
    </w:p>
    <w:p w:rsidR="00DD0EE8" w:rsidRPr="00666B27" w:rsidRDefault="00DD0EE8" w:rsidP="00DD0EE8">
      <w:pPr>
        <w:tabs>
          <w:tab w:val="left" w:pos="1276"/>
        </w:tabs>
        <w:spacing w:after="0"/>
        <w:ind w:left="1276" w:hanging="1276"/>
        <w:jc w:val="left"/>
        <w:rPr>
          <w:rFonts w:eastAsia="Calibri"/>
          <w:szCs w:val="20"/>
          <w:lang w:val="en-GB"/>
        </w:rPr>
      </w:pPr>
      <w:bookmarkStart w:id="11" w:name="_Hlk337199"/>
      <w:bookmarkStart w:id="12" w:name="_Hlk179964"/>
      <w:r w:rsidRPr="00666B27">
        <w:rPr>
          <w:rFonts w:eastAsia="Calibri"/>
          <w:szCs w:val="20"/>
          <w:lang w:val="en-GB"/>
        </w:rPr>
        <w:t>ADAM</w:t>
      </w:r>
      <w:r w:rsidRPr="00666B27">
        <w:rPr>
          <w:rFonts w:eastAsia="Calibri"/>
          <w:szCs w:val="20"/>
          <w:lang w:val="en-GB"/>
        </w:rPr>
        <w:tab/>
        <w:t>Approach to Distribution Asset Management</w:t>
      </w:r>
    </w:p>
    <w:p w:rsidR="00DD0EE8" w:rsidRPr="00773D9D" w:rsidRDefault="00DD0EE8" w:rsidP="00DD0EE8">
      <w:pPr>
        <w:tabs>
          <w:tab w:val="left" w:pos="1276"/>
        </w:tabs>
        <w:spacing w:after="0"/>
        <w:ind w:left="1276" w:hanging="1276"/>
        <w:jc w:val="left"/>
        <w:rPr>
          <w:rFonts w:eastAsia="Calibri"/>
          <w:szCs w:val="20"/>
          <w:lang w:val="fr-FR"/>
        </w:rPr>
      </w:pPr>
      <w:r w:rsidRPr="00773D9D">
        <w:rPr>
          <w:rFonts w:eastAsia="Calibri"/>
          <w:szCs w:val="20"/>
          <w:lang w:val="fr-FR"/>
        </w:rPr>
        <w:t>ADF</w:t>
      </w:r>
      <w:r w:rsidRPr="00773D9D">
        <w:rPr>
          <w:rFonts w:eastAsia="Calibri"/>
          <w:szCs w:val="20"/>
          <w:lang w:val="fr-FR"/>
        </w:rPr>
        <w:tab/>
        <w:t>Agence Française de Développement</w:t>
      </w:r>
    </w:p>
    <w:p w:rsidR="00DD0EE8" w:rsidRPr="00773D9D" w:rsidRDefault="00DD0EE8" w:rsidP="00DD0EE8">
      <w:pPr>
        <w:tabs>
          <w:tab w:val="left" w:pos="1276"/>
        </w:tabs>
        <w:spacing w:after="0"/>
        <w:ind w:left="1276" w:hanging="1276"/>
        <w:jc w:val="left"/>
        <w:rPr>
          <w:rFonts w:eastAsia="Calibri"/>
          <w:szCs w:val="20"/>
          <w:lang w:val="fr-FR"/>
        </w:rPr>
      </w:pPr>
      <w:r w:rsidRPr="00773D9D">
        <w:rPr>
          <w:rFonts w:eastAsia="Calibri"/>
          <w:szCs w:val="20"/>
          <w:lang w:val="fr-FR"/>
        </w:rPr>
        <w:t>AMEU</w:t>
      </w:r>
      <w:r w:rsidRPr="00773D9D">
        <w:rPr>
          <w:rFonts w:eastAsia="Calibri"/>
          <w:szCs w:val="20"/>
          <w:lang w:val="fr-FR"/>
        </w:rPr>
        <w:tab/>
        <w:t>Association of Municipal Electric Utilities</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CAPEX</w:t>
      </w:r>
      <w:r w:rsidRPr="006A68A3">
        <w:rPr>
          <w:rFonts w:eastAsia="Calibri"/>
          <w:szCs w:val="20"/>
          <w:lang w:val="en-GB"/>
        </w:rPr>
        <w:tab/>
        <w:t>capital expenditure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CDR</w:t>
      </w:r>
      <w:r w:rsidRPr="006A68A3">
        <w:rPr>
          <w:rFonts w:eastAsia="Calibri"/>
          <w:szCs w:val="20"/>
          <w:lang w:val="en-GB"/>
        </w:rPr>
        <w:tab/>
        <w:t>Combined Delivery Report</w:t>
      </w:r>
    </w:p>
    <w:p w:rsidR="00DD0EE8" w:rsidRPr="00353542"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CEO</w:t>
      </w:r>
      <w:r w:rsidRPr="0057545E">
        <w:rPr>
          <w:rFonts w:eastAsia="Calibri"/>
          <w:szCs w:val="20"/>
          <w:lang w:val="en-GB"/>
        </w:rPr>
        <w:tab/>
        <w:t>Chief Executive Officer</w:t>
      </w:r>
    </w:p>
    <w:p w:rsidR="00DD0EE8" w:rsidRPr="008E26A0" w:rsidRDefault="00DD0EE8" w:rsidP="00DD0EE8">
      <w:pPr>
        <w:tabs>
          <w:tab w:val="left" w:pos="1276"/>
        </w:tabs>
        <w:spacing w:after="0"/>
        <w:ind w:left="1276" w:hanging="1276"/>
        <w:jc w:val="left"/>
        <w:rPr>
          <w:rFonts w:eastAsia="Calibri"/>
          <w:szCs w:val="20"/>
          <w:lang w:val="en-GB"/>
        </w:rPr>
      </w:pPr>
      <w:r w:rsidRPr="003B7D62">
        <w:rPr>
          <w:rFonts w:eastAsia="Calibri"/>
          <w:szCs w:val="20"/>
          <w:lang w:val="en-GB"/>
        </w:rPr>
        <w:t>CEO ER</w:t>
      </w:r>
      <w:r w:rsidRPr="003B7D62">
        <w:rPr>
          <w:rFonts w:eastAsia="Calibri"/>
          <w:szCs w:val="20"/>
          <w:lang w:val="en-GB"/>
        </w:rPr>
        <w:tab/>
        <w:t>CEO Endorsement Request</w:t>
      </w:r>
    </w:p>
    <w:p w:rsidR="00DD0EE8" w:rsidRPr="004722F0" w:rsidRDefault="00DD0EE8" w:rsidP="00DD0EE8">
      <w:pPr>
        <w:tabs>
          <w:tab w:val="left" w:pos="1276"/>
        </w:tabs>
        <w:spacing w:after="0"/>
        <w:ind w:left="1276" w:hanging="1276"/>
        <w:jc w:val="left"/>
        <w:rPr>
          <w:rFonts w:eastAsia="Calibri"/>
          <w:szCs w:val="20"/>
          <w:lang w:val="en-GB"/>
        </w:rPr>
      </w:pPr>
      <w:r w:rsidRPr="004722F0">
        <w:rPr>
          <w:rFonts w:eastAsia="Calibri"/>
          <w:szCs w:val="20"/>
          <w:lang w:val="en-GB"/>
        </w:rPr>
        <w:t>CFL</w:t>
      </w:r>
      <w:r w:rsidRPr="004722F0">
        <w:rPr>
          <w:rFonts w:eastAsia="Calibri"/>
          <w:szCs w:val="20"/>
          <w:lang w:val="en-GB"/>
        </w:rPr>
        <w:tab/>
        <w:t>compact fluorescent lamp</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CFU</w:t>
      </w:r>
      <w:r w:rsidRPr="006A68A3">
        <w:rPr>
          <w:rFonts w:eastAsia="Calibri"/>
          <w:szCs w:val="20"/>
          <w:lang w:val="en-GB"/>
        </w:rPr>
        <w:tab/>
        <w:t>Carbon Finance Unit (of DBSA)</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CO</w:t>
      </w:r>
      <w:r w:rsidRPr="006A68A3">
        <w:rPr>
          <w:rFonts w:eastAsia="Calibri"/>
          <w:szCs w:val="20"/>
          <w:lang w:val="en-GB"/>
        </w:rPr>
        <w:tab/>
        <w:t>Country Office</w:t>
      </w:r>
    </w:p>
    <w:p w:rsidR="00DD0EE8" w:rsidRPr="003B7D62"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COMESA</w:t>
      </w:r>
      <w:r w:rsidRPr="0057545E">
        <w:rPr>
          <w:rFonts w:eastAsia="Calibri"/>
          <w:szCs w:val="20"/>
          <w:lang w:val="en-GB"/>
        </w:rPr>
        <w:tab/>
        <w:t xml:space="preserve">Common Market for </w:t>
      </w:r>
      <w:r w:rsidRPr="00353542">
        <w:rPr>
          <w:rFonts w:eastAsia="Calibri"/>
          <w:szCs w:val="20"/>
          <w:lang w:val="en-GB"/>
        </w:rPr>
        <w:t>Eastern and Southern Africa</w:t>
      </w:r>
    </w:p>
    <w:p w:rsidR="00DD0EE8" w:rsidRPr="004722F0" w:rsidRDefault="00DD0EE8" w:rsidP="00DD0EE8">
      <w:pPr>
        <w:tabs>
          <w:tab w:val="left" w:pos="1276"/>
        </w:tabs>
        <w:spacing w:after="0"/>
        <w:ind w:left="1276" w:hanging="1276"/>
        <w:jc w:val="left"/>
        <w:rPr>
          <w:rFonts w:eastAsia="Calibri"/>
          <w:szCs w:val="20"/>
          <w:lang w:val="en-GB"/>
        </w:rPr>
      </w:pPr>
      <w:r w:rsidRPr="004722F0">
        <w:rPr>
          <w:rFonts w:eastAsia="Calibri"/>
          <w:szCs w:val="20"/>
          <w:lang w:val="en-GB"/>
        </w:rPr>
        <w:t>CPD</w:t>
      </w:r>
      <w:r w:rsidRPr="004722F0">
        <w:rPr>
          <w:rFonts w:eastAsia="Calibri"/>
          <w:szCs w:val="20"/>
          <w:lang w:val="en-GB"/>
        </w:rPr>
        <w:tab/>
        <w:t>Country Programme Document (UNDP)</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CSIR</w:t>
      </w:r>
      <w:r w:rsidRPr="00666B27">
        <w:rPr>
          <w:rFonts w:eastAsia="Calibri"/>
          <w:szCs w:val="20"/>
          <w:lang w:val="en-GB"/>
        </w:rPr>
        <w:tab/>
        <w:t>Council for Scientific and Industrial Research</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CSO</w:t>
      </w:r>
      <w:r w:rsidRPr="00666B27">
        <w:rPr>
          <w:rFonts w:eastAsia="Calibri"/>
          <w:szCs w:val="20"/>
          <w:lang w:val="en-GB"/>
        </w:rPr>
        <w:tab/>
        <w:t>civil society organisation</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LFL</w:t>
      </w:r>
      <w:r w:rsidRPr="00666B27">
        <w:rPr>
          <w:rFonts w:eastAsia="Calibri"/>
          <w:szCs w:val="20"/>
          <w:lang w:val="en-GB"/>
        </w:rPr>
        <w:tab/>
        <w:t>linear fluorescent lamp</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CO</w:t>
      </w:r>
      <w:r w:rsidRPr="00666B27">
        <w:rPr>
          <w:rFonts w:eastAsia="Calibri"/>
          <w:szCs w:val="20"/>
          <w:vertAlign w:val="subscript"/>
          <w:lang w:val="en-GB"/>
        </w:rPr>
        <w:t>2</w:t>
      </w:r>
      <w:r w:rsidRPr="00666B27">
        <w:rPr>
          <w:rFonts w:eastAsia="Calibri"/>
          <w:szCs w:val="20"/>
          <w:lang w:val="en-GB"/>
        </w:rPr>
        <w:tab/>
        <w:t>carbon dioxide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DBSA</w:t>
      </w:r>
      <w:r w:rsidRPr="00666B27">
        <w:rPr>
          <w:rFonts w:eastAsia="Calibri"/>
          <w:szCs w:val="20"/>
          <w:lang w:val="en-GB"/>
        </w:rPr>
        <w:tab/>
        <w:t>Development Bank of Southern Africa</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DEA</w:t>
      </w:r>
      <w:r w:rsidRPr="00666B27">
        <w:rPr>
          <w:rFonts w:eastAsia="Calibri"/>
          <w:szCs w:val="20"/>
          <w:lang w:val="en-GB"/>
        </w:rPr>
        <w:tab/>
        <w:t>Department of Environmental Affairs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DoE</w:t>
      </w:r>
      <w:r w:rsidRPr="00666B27">
        <w:rPr>
          <w:rFonts w:eastAsia="Calibri"/>
          <w:szCs w:val="20"/>
          <w:lang w:val="en-GB"/>
        </w:rPr>
        <w:tab/>
        <w:t>Department of Energy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DPE</w:t>
      </w:r>
      <w:r w:rsidRPr="00666B27">
        <w:rPr>
          <w:rFonts w:eastAsia="Calibri"/>
          <w:szCs w:val="20"/>
          <w:lang w:val="en-GB"/>
        </w:rPr>
        <w:tab/>
        <w:t>Department of Public Enterprises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DSM</w:t>
      </w:r>
      <w:r w:rsidRPr="00666B27">
        <w:rPr>
          <w:rFonts w:eastAsia="Calibri"/>
          <w:szCs w:val="20"/>
          <w:lang w:val="en-GB"/>
        </w:rPr>
        <w:tab/>
        <w:t>Demand-side management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DTI</w:t>
      </w:r>
      <w:r w:rsidRPr="00666B27">
        <w:rPr>
          <w:rFonts w:eastAsia="Calibri"/>
          <w:szCs w:val="20"/>
          <w:lang w:val="en-GB"/>
        </w:rPr>
        <w:tab/>
        <w:t>Department of Trade and Industry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EDIH</w:t>
      </w:r>
      <w:r w:rsidRPr="00666B27">
        <w:rPr>
          <w:rFonts w:eastAsia="Calibri"/>
          <w:szCs w:val="20"/>
          <w:lang w:val="en-GB"/>
        </w:rPr>
        <w:tab/>
        <w:t>Electricity Distribution Industry Holding Company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EE</w:t>
      </w:r>
      <w:r w:rsidRPr="00666B27">
        <w:rPr>
          <w:rFonts w:eastAsia="Calibri"/>
          <w:szCs w:val="20"/>
          <w:lang w:val="en-GB"/>
        </w:rPr>
        <w:tab/>
        <w:t>energy efficiency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EE-DSM</w:t>
      </w:r>
      <w:r w:rsidRPr="00666B27">
        <w:rPr>
          <w:rFonts w:eastAsia="Calibri"/>
          <w:szCs w:val="20"/>
          <w:lang w:val="en-GB"/>
        </w:rPr>
        <w:tab/>
        <w:t>energy efficiency and demand-side management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EEFI</w:t>
      </w:r>
      <w:r w:rsidRPr="00666B27">
        <w:rPr>
          <w:rFonts w:eastAsia="Calibri"/>
          <w:szCs w:val="20"/>
          <w:lang w:val="en-GB"/>
        </w:rPr>
        <w:tab/>
        <w:t>Energy Efficiency Financial Instrument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EEPIP</w:t>
      </w:r>
      <w:r w:rsidRPr="00666B27">
        <w:rPr>
          <w:rFonts w:eastAsia="Calibri"/>
          <w:szCs w:val="20"/>
          <w:lang w:val="en-GB"/>
        </w:rPr>
        <w:tab/>
        <w:t>Energy Efficiency in Public Buildings and Infrastructure Programme (V-NAMA)</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EE S&amp;L</w:t>
      </w:r>
      <w:r w:rsidRPr="00666B27">
        <w:rPr>
          <w:rFonts w:eastAsia="Calibri"/>
          <w:szCs w:val="20"/>
          <w:lang w:val="en-GB"/>
        </w:rPr>
        <w:tab/>
        <w:t>Market Transformation through Energy Efficiency Standards &amp; Labelling of Appliances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EPC</w:t>
      </w:r>
      <w:r w:rsidRPr="00666B27">
        <w:rPr>
          <w:rFonts w:eastAsia="Calibri"/>
          <w:szCs w:val="20"/>
          <w:lang w:val="en-GB"/>
        </w:rPr>
        <w:tab/>
        <w:t>energy performance contracting</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ESCO</w:t>
      </w:r>
      <w:r w:rsidRPr="00666B27">
        <w:rPr>
          <w:rFonts w:eastAsia="Calibri"/>
          <w:szCs w:val="20"/>
          <w:lang w:val="en-GB"/>
        </w:rPr>
        <w:tab/>
        <w:t>energy service company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e-WASA</w:t>
      </w:r>
      <w:r w:rsidRPr="00666B27">
        <w:rPr>
          <w:rFonts w:eastAsia="Calibri"/>
          <w:szCs w:val="20"/>
          <w:lang w:val="en-GB"/>
        </w:rPr>
        <w:tab/>
        <w:t>e-Waste Association of South Africa</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FPIC</w:t>
      </w:r>
      <w:r w:rsidRPr="00666B27">
        <w:rPr>
          <w:rFonts w:eastAsia="Calibri"/>
          <w:szCs w:val="20"/>
          <w:lang w:val="en-GB"/>
        </w:rPr>
        <w:tab/>
        <w:t>Free Prior and Informed Consent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FSP</w:t>
      </w:r>
      <w:r w:rsidRPr="00666B27">
        <w:rPr>
          <w:rFonts w:eastAsia="Calibri"/>
          <w:szCs w:val="20"/>
          <w:lang w:val="en-GB"/>
        </w:rPr>
        <w:tab/>
        <w:t>full-sized project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GDP</w:t>
      </w:r>
      <w:r w:rsidRPr="00666B27">
        <w:rPr>
          <w:rFonts w:eastAsia="Calibri"/>
          <w:szCs w:val="20"/>
          <w:lang w:val="en-GB"/>
        </w:rPr>
        <w:tab/>
        <w:t>Gross domestic product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GEF</w:t>
      </w:r>
      <w:r w:rsidRPr="00666B27">
        <w:rPr>
          <w:rFonts w:eastAsia="Calibri"/>
          <w:szCs w:val="20"/>
          <w:lang w:val="en-GB"/>
        </w:rPr>
        <w:tab/>
        <w:t>Global Environment Facility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GEFSEC</w:t>
      </w:r>
      <w:r w:rsidRPr="00666B27">
        <w:rPr>
          <w:rFonts w:eastAsia="Calibri"/>
          <w:szCs w:val="20"/>
          <w:lang w:val="en-GB"/>
        </w:rPr>
        <w:tab/>
        <w:t>Global Environment Facility Secretariat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GHG</w:t>
      </w:r>
      <w:r w:rsidRPr="00666B27">
        <w:rPr>
          <w:rFonts w:eastAsia="Calibri"/>
          <w:szCs w:val="20"/>
          <w:lang w:val="en-GB"/>
        </w:rPr>
        <w:tab/>
        <w:t>greenhouse gas</w:t>
      </w:r>
    </w:p>
    <w:p w:rsidR="00DD0EE8" w:rsidRPr="00625F44" w:rsidRDefault="00DD0EE8" w:rsidP="00DD0EE8">
      <w:pPr>
        <w:tabs>
          <w:tab w:val="left" w:pos="1276"/>
        </w:tabs>
        <w:spacing w:after="0"/>
        <w:ind w:left="1276" w:hanging="1276"/>
        <w:jc w:val="left"/>
        <w:rPr>
          <w:rFonts w:eastAsia="Calibri"/>
          <w:szCs w:val="20"/>
          <w:lang w:val="de-DE"/>
        </w:rPr>
      </w:pPr>
      <w:r w:rsidRPr="00625F44">
        <w:rPr>
          <w:rFonts w:eastAsia="Calibri"/>
          <w:szCs w:val="20"/>
          <w:lang w:val="de-DE"/>
        </w:rPr>
        <w:t>GIZ</w:t>
      </w:r>
      <w:r w:rsidRPr="00625F44">
        <w:rPr>
          <w:rFonts w:eastAsia="Calibri"/>
          <w:szCs w:val="20"/>
          <w:lang w:val="de-DE"/>
        </w:rPr>
        <w:tab/>
        <w:t>Gesellschaft für Technische Zusammenarbeit</w:t>
      </w:r>
    </w:p>
    <w:p w:rsidR="00DD0EE8" w:rsidRPr="00625F44" w:rsidRDefault="00DD0EE8" w:rsidP="00DD0EE8">
      <w:pPr>
        <w:tabs>
          <w:tab w:val="left" w:pos="1276"/>
        </w:tabs>
        <w:spacing w:after="0"/>
        <w:ind w:left="1276" w:hanging="1276"/>
        <w:jc w:val="left"/>
        <w:rPr>
          <w:rFonts w:eastAsia="Calibri"/>
          <w:szCs w:val="20"/>
          <w:lang w:val="de-DE"/>
        </w:rPr>
      </w:pPr>
      <w:r w:rsidRPr="00625F44">
        <w:rPr>
          <w:rFonts w:eastAsia="Calibri"/>
          <w:szCs w:val="20"/>
          <w:lang w:val="de-DE"/>
        </w:rPr>
        <w:t>GWh</w:t>
      </w:r>
      <w:r w:rsidRPr="00625F44">
        <w:rPr>
          <w:rFonts w:eastAsia="Calibri"/>
          <w:szCs w:val="20"/>
          <w:lang w:val="de-DE"/>
        </w:rPr>
        <w:tab/>
        <w:t>Gigawatt-hour (billion watt-hours)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HE</w:t>
      </w:r>
      <w:r w:rsidRPr="00666B27">
        <w:rPr>
          <w:rFonts w:eastAsia="Calibri"/>
          <w:szCs w:val="20"/>
          <w:lang w:val="en-GB"/>
        </w:rPr>
        <w:tab/>
        <w:t>high efficiency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HID</w:t>
      </w:r>
      <w:r w:rsidRPr="00666B27">
        <w:rPr>
          <w:rFonts w:eastAsia="Calibri"/>
          <w:szCs w:val="20"/>
          <w:lang w:val="en-GB"/>
        </w:rPr>
        <w:tab/>
        <w:t>high-intensity discharge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HPS</w:t>
      </w:r>
      <w:r w:rsidRPr="00666B27">
        <w:rPr>
          <w:rFonts w:eastAsia="Calibri"/>
          <w:szCs w:val="20"/>
          <w:lang w:val="en-GB"/>
        </w:rPr>
        <w:tab/>
        <w:t>high-pressure sodium</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IA</w:t>
      </w:r>
      <w:r w:rsidRPr="00666B27">
        <w:rPr>
          <w:rFonts w:eastAsia="Calibri"/>
          <w:szCs w:val="20"/>
          <w:lang w:val="en-GB"/>
        </w:rPr>
        <w:tab/>
        <w:t>Implementing Agency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IDC</w:t>
      </w:r>
      <w:r w:rsidRPr="00666B27">
        <w:rPr>
          <w:rFonts w:eastAsia="Calibri"/>
          <w:szCs w:val="20"/>
          <w:lang w:val="en-GB"/>
        </w:rPr>
        <w:tab/>
        <w:t>Industrial Development Corporation</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IDM</w:t>
      </w:r>
      <w:r w:rsidRPr="00666B27">
        <w:rPr>
          <w:rFonts w:eastAsia="Calibri"/>
          <w:szCs w:val="20"/>
          <w:lang w:val="en-GB"/>
        </w:rPr>
        <w:tab/>
        <w:t>Integrated demand management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IEO</w:t>
      </w:r>
      <w:r w:rsidRPr="00666B27">
        <w:rPr>
          <w:rFonts w:eastAsia="Calibri"/>
          <w:szCs w:val="20"/>
          <w:lang w:val="en-GB"/>
        </w:rPr>
        <w:tab/>
        <w:t>Independent Evaluation Office (of UNDP)</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IESSA</w:t>
      </w:r>
      <w:r w:rsidRPr="00666B27">
        <w:rPr>
          <w:rFonts w:eastAsia="Calibri"/>
          <w:szCs w:val="20"/>
          <w:lang w:val="en-GB"/>
        </w:rPr>
        <w:tab/>
        <w:t>Illumination Engineering Society of South Africa</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INDC</w:t>
      </w:r>
      <w:r w:rsidRPr="00666B27">
        <w:rPr>
          <w:rFonts w:eastAsia="Calibri"/>
          <w:szCs w:val="20"/>
          <w:lang w:val="en-GB"/>
        </w:rPr>
        <w:tab/>
        <w:t>Intended Nationally Determined Contribution</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lastRenderedPageBreak/>
        <w:t>K</w:t>
      </w:r>
      <w:r w:rsidRPr="00666B27">
        <w:rPr>
          <w:rFonts w:eastAsia="Calibri"/>
          <w:szCs w:val="20"/>
          <w:lang w:val="en-GB"/>
        </w:rPr>
        <w:tab/>
        <w:t>Kelvin (degrees)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kVA</w:t>
      </w:r>
      <w:r w:rsidRPr="00666B27">
        <w:rPr>
          <w:rFonts w:eastAsia="Calibri"/>
          <w:szCs w:val="20"/>
          <w:lang w:val="en-GB"/>
        </w:rPr>
        <w:tab/>
        <w:t>kilovolt-ampere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kWh</w:t>
      </w:r>
      <w:r w:rsidRPr="00666B27">
        <w:rPr>
          <w:rFonts w:eastAsia="Calibri"/>
          <w:szCs w:val="20"/>
          <w:lang w:val="en-GB"/>
        </w:rPr>
        <w:tab/>
        <w:t>kilowatt-hour</w:t>
      </w:r>
    </w:p>
    <w:p w:rsidR="00DD0EE8" w:rsidRPr="00666B27" w:rsidRDefault="00DD0EE8" w:rsidP="00DD0EE8">
      <w:pPr>
        <w:tabs>
          <w:tab w:val="left" w:pos="1276"/>
        </w:tabs>
        <w:spacing w:after="0"/>
        <w:ind w:left="1276" w:hanging="1276"/>
        <w:jc w:val="left"/>
        <w:rPr>
          <w:rFonts w:eastAsia="Calibri"/>
          <w:szCs w:val="20"/>
          <w:lang w:val="en-GB"/>
        </w:rPr>
      </w:pPr>
      <w:proofErr w:type="spellStart"/>
      <w:r w:rsidRPr="00666B27">
        <w:rPr>
          <w:rFonts w:eastAsia="Calibri"/>
          <w:szCs w:val="20"/>
          <w:lang w:val="en-GB"/>
        </w:rPr>
        <w:t>LoA</w:t>
      </w:r>
      <w:proofErr w:type="spellEnd"/>
      <w:r w:rsidRPr="00666B27">
        <w:rPr>
          <w:rFonts w:eastAsia="Calibri"/>
          <w:szCs w:val="20"/>
          <w:lang w:val="en-GB"/>
        </w:rPr>
        <w:tab/>
        <w:t>Letter of Agreement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LED</w:t>
      </w:r>
      <w:r w:rsidRPr="00666B27">
        <w:rPr>
          <w:rFonts w:eastAsia="Calibri"/>
          <w:szCs w:val="20"/>
          <w:lang w:val="en-GB"/>
        </w:rPr>
        <w:tab/>
        <w:t>light-emitting diode</w:t>
      </w:r>
    </w:p>
    <w:p w:rsidR="00DD0EE8" w:rsidRPr="00666B27" w:rsidRDefault="00DD0EE8" w:rsidP="00DD0EE8">
      <w:pPr>
        <w:tabs>
          <w:tab w:val="left" w:pos="1276"/>
        </w:tabs>
        <w:spacing w:after="0"/>
        <w:ind w:left="1276" w:hanging="1276"/>
        <w:jc w:val="left"/>
        <w:rPr>
          <w:rFonts w:eastAsia="Calibri"/>
          <w:szCs w:val="20"/>
          <w:lang w:val="en-GB"/>
        </w:rPr>
      </w:pPr>
      <w:proofErr w:type="spellStart"/>
      <w:r w:rsidRPr="00666B27">
        <w:rPr>
          <w:rFonts w:eastAsia="Calibri"/>
          <w:szCs w:val="20"/>
          <w:lang w:val="en-GB"/>
        </w:rPr>
        <w:t>lm</w:t>
      </w:r>
      <w:proofErr w:type="spellEnd"/>
      <w:r w:rsidRPr="00666B27">
        <w:rPr>
          <w:rFonts w:eastAsia="Calibri"/>
          <w:szCs w:val="20"/>
          <w:lang w:val="en-GB"/>
        </w:rPr>
        <w:tab/>
        <w:t>lumen</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LSM</w:t>
      </w:r>
      <w:r w:rsidRPr="00666B27">
        <w:rPr>
          <w:rFonts w:eastAsia="Calibri"/>
          <w:szCs w:val="20"/>
          <w:lang w:val="en-GB"/>
        </w:rPr>
        <w:tab/>
        <w:t>Living Standard Measure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MEEDSM</w:t>
      </w:r>
      <w:r w:rsidRPr="00666B27">
        <w:rPr>
          <w:rFonts w:eastAsia="Calibri"/>
          <w:szCs w:val="20"/>
          <w:lang w:val="en-GB"/>
        </w:rPr>
        <w:tab/>
        <w:t>Municipal Energy Efficiency and Demand-side Management Programme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MEPS</w:t>
      </w:r>
      <w:r w:rsidRPr="00666B27">
        <w:rPr>
          <w:rFonts w:eastAsia="Calibri"/>
          <w:szCs w:val="20"/>
          <w:lang w:val="en-GB"/>
        </w:rPr>
        <w:tab/>
        <w:t>minimum energy performance standard</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MFMA</w:t>
      </w:r>
      <w:r w:rsidRPr="006A68A3">
        <w:rPr>
          <w:rFonts w:eastAsia="Calibri"/>
          <w:szCs w:val="20"/>
          <w:lang w:val="en-GB"/>
        </w:rPr>
        <w:tab/>
        <w:t>Municipal Financial Management Act</w:t>
      </w:r>
    </w:p>
    <w:p w:rsidR="00DD0EE8" w:rsidRPr="003B7D62"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MSP</w:t>
      </w:r>
      <w:r w:rsidRPr="0057545E">
        <w:rPr>
          <w:rFonts w:eastAsia="Calibri"/>
          <w:szCs w:val="20"/>
          <w:lang w:val="en-GB"/>
        </w:rPr>
        <w:tab/>
        <w:t xml:space="preserve">medium-sized </w:t>
      </w:r>
      <w:r w:rsidRPr="00353542">
        <w:rPr>
          <w:rFonts w:eastAsia="Calibri"/>
          <w:szCs w:val="20"/>
          <w:lang w:val="en-GB"/>
        </w:rPr>
        <w:t>project</w:t>
      </w:r>
    </w:p>
    <w:p w:rsidR="00DD0EE8" w:rsidRPr="004722F0" w:rsidRDefault="00DD0EE8" w:rsidP="00DD0EE8">
      <w:pPr>
        <w:tabs>
          <w:tab w:val="left" w:pos="1276"/>
        </w:tabs>
        <w:spacing w:after="0"/>
        <w:ind w:left="1276" w:hanging="1276"/>
        <w:jc w:val="left"/>
        <w:rPr>
          <w:rFonts w:eastAsia="Calibri"/>
          <w:szCs w:val="20"/>
          <w:lang w:val="en-GB"/>
        </w:rPr>
      </w:pPr>
      <w:r w:rsidRPr="004722F0">
        <w:rPr>
          <w:rFonts w:eastAsia="Calibri"/>
          <w:szCs w:val="20"/>
          <w:lang w:val="en-GB"/>
        </w:rPr>
        <w:t>MTE</w:t>
      </w:r>
      <w:r w:rsidRPr="004722F0">
        <w:rPr>
          <w:rFonts w:eastAsia="Calibri"/>
          <w:szCs w:val="20"/>
          <w:lang w:val="en-GB"/>
        </w:rPr>
        <w:tab/>
        <w:t>mid-term review</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MV</w:t>
      </w:r>
      <w:r w:rsidRPr="00666B27">
        <w:rPr>
          <w:rFonts w:eastAsia="Calibri"/>
          <w:szCs w:val="20"/>
          <w:lang w:val="en-GB"/>
        </w:rPr>
        <w:tab/>
        <w:t>mercury vapour</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MVA</w:t>
      </w:r>
      <w:r w:rsidRPr="00666B27">
        <w:rPr>
          <w:rFonts w:eastAsia="Calibri"/>
          <w:szCs w:val="20"/>
          <w:lang w:val="en-GB"/>
        </w:rPr>
        <w:tab/>
        <w:t>megavolt-ampere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MVE</w:t>
      </w:r>
      <w:r w:rsidRPr="00666B27">
        <w:rPr>
          <w:rFonts w:eastAsia="Calibri"/>
          <w:szCs w:val="20"/>
          <w:lang w:val="en-GB"/>
        </w:rPr>
        <w:tab/>
        <w:t>monitoring, verification and enforcement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MW</w:t>
      </w:r>
      <w:r w:rsidRPr="00666B27">
        <w:rPr>
          <w:rFonts w:eastAsia="Calibri"/>
          <w:szCs w:val="20"/>
          <w:lang w:val="en-GB"/>
        </w:rPr>
        <w:tab/>
        <w:t>megawatt (million Watt)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MWh</w:t>
      </w:r>
      <w:r w:rsidRPr="00666B27">
        <w:rPr>
          <w:rFonts w:eastAsia="Calibri"/>
          <w:szCs w:val="20"/>
          <w:lang w:val="en-GB"/>
        </w:rPr>
        <w:tab/>
        <w:t>megawatt-hour (million Watt-hours)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NAMA</w:t>
      </w:r>
      <w:r w:rsidRPr="00666B27">
        <w:rPr>
          <w:rFonts w:eastAsia="Calibri"/>
          <w:szCs w:val="20"/>
          <w:lang w:val="en-GB"/>
        </w:rPr>
        <w:tab/>
        <w:t>Nationally Appropriate Mitigation Actions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NBI</w:t>
      </w:r>
      <w:r w:rsidRPr="00666B27">
        <w:rPr>
          <w:rFonts w:eastAsia="Calibri"/>
          <w:szCs w:val="20"/>
          <w:lang w:val="en-GB"/>
        </w:rPr>
        <w:tab/>
        <w:t>National Business Initiative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NCRS</w:t>
      </w:r>
      <w:r w:rsidRPr="00666B27">
        <w:rPr>
          <w:rFonts w:eastAsia="Calibri"/>
          <w:szCs w:val="20"/>
          <w:lang w:val="en-GB"/>
        </w:rPr>
        <w:tab/>
        <w:t>National Regulator for Compulsory Specifications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NEES</w:t>
      </w:r>
      <w:r w:rsidRPr="00666B27">
        <w:rPr>
          <w:rFonts w:eastAsia="Calibri"/>
          <w:szCs w:val="20"/>
          <w:lang w:val="en-GB"/>
        </w:rPr>
        <w:tab/>
        <w:t>National Energy Efficiency Strategy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NERSA</w:t>
      </w:r>
      <w:r w:rsidRPr="00666B27">
        <w:rPr>
          <w:rFonts w:eastAsia="Calibri"/>
          <w:szCs w:val="20"/>
          <w:lang w:val="en-GB"/>
        </w:rPr>
        <w:tab/>
        <w:t>National Energy Regulator of South Africa</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NGO</w:t>
      </w:r>
      <w:r w:rsidRPr="00666B27">
        <w:rPr>
          <w:rFonts w:eastAsia="Calibri"/>
          <w:szCs w:val="20"/>
          <w:lang w:val="en-GB"/>
        </w:rPr>
        <w:tab/>
        <w:t xml:space="preserve">non-governmental </w:t>
      </w:r>
      <w:r w:rsidRPr="00666B27">
        <w:rPr>
          <w:rFonts w:eastAsia="Calibri"/>
          <w:noProof/>
          <w:szCs w:val="20"/>
          <w:lang w:val="en-GB"/>
        </w:rPr>
        <w:t>organisation</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NMISA</w:t>
      </w:r>
      <w:r w:rsidRPr="006A68A3">
        <w:rPr>
          <w:rFonts w:eastAsia="Calibri"/>
          <w:szCs w:val="20"/>
          <w:lang w:val="en-GB"/>
        </w:rPr>
        <w:tab/>
        <w:t>National Metrology Institute of South Africa</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NPD</w:t>
      </w:r>
      <w:r w:rsidRPr="006A68A3">
        <w:rPr>
          <w:rFonts w:eastAsia="Calibri"/>
          <w:szCs w:val="20"/>
          <w:lang w:val="en-GB"/>
        </w:rPr>
        <w:tab/>
        <w:t>National Project Director</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OPEX</w:t>
      </w:r>
      <w:r w:rsidRPr="006A68A3">
        <w:rPr>
          <w:rFonts w:eastAsia="Calibri"/>
          <w:szCs w:val="20"/>
          <w:lang w:val="en-GB"/>
        </w:rPr>
        <w:tab/>
        <w:t>operational expenditure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PAC</w:t>
      </w:r>
      <w:r w:rsidRPr="006A68A3">
        <w:rPr>
          <w:rFonts w:eastAsia="Calibri"/>
          <w:szCs w:val="20"/>
          <w:lang w:val="en-GB"/>
        </w:rPr>
        <w:tab/>
        <w:t>Project Appraisal Committee (UNDP)</w:t>
      </w:r>
    </w:p>
    <w:p w:rsidR="00DD0EE8" w:rsidRPr="00353542"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PCB</w:t>
      </w:r>
      <w:r w:rsidRPr="0057545E">
        <w:rPr>
          <w:rFonts w:eastAsia="Calibri"/>
          <w:szCs w:val="20"/>
          <w:lang w:val="en-GB"/>
        </w:rPr>
        <w:tab/>
        <w:t>polychlorinated biphenyls</w:t>
      </w:r>
    </w:p>
    <w:p w:rsidR="00DD0EE8" w:rsidRPr="008E26A0" w:rsidRDefault="00DD0EE8" w:rsidP="00DD0EE8">
      <w:pPr>
        <w:tabs>
          <w:tab w:val="left" w:pos="1276"/>
        </w:tabs>
        <w:spacing w:after="0"/>
        <w:ind w:left="1276" w:hanging="1276"/>
        <w:jc w:val="left"/>
        <w:rPr>
          <w:rFonts w:eastAsia="Calibri"/>
          <w:szCs w:val="20"/>
          <w:lang w:val="en-GB"/>
        </w:rPr>
      </w:pPr>
      <w:r w:rsidRPr="003B7D62">
        <w:rPr>
          <w:rFonts w:eastAsia="Calibri"/>
          <w:szCs w:val="20"/>
          <w:lang w:val="en-GB"/>
        </w:rPr>
        <w:t>PIF</w:t>
      </w:r>
      <w:r w:rsidRPr="003B7D62">
        <w:rPr>
          <w:rFonts w:eastAsia="Calibri"/>
          <w:szCs w:val="20"/>
          <w:lang w:val="en-GB"/>
        </w:rPr>
        <w:tab/>
        <w:t>Project Identification Form</w:t>
      </w:r>
    </w:p>
    <w:p w:rsidR="00DD0EE8" w:rsidRPr="00773D9D" w:rsidRDefault="00DD0EE8" w:rsidP="00DD0EE8">
      <w:pPr>
        <w:tabs>
          <w:tab w:val="left" w:pos="1276"/>
        </w:tabs>
        <w:spacing w:after="0"/>
        <w:ind w:left="1276" w:hanging="1276"/>
        <w:jc w:val="left"/>
        <w:rPr>
          <w:rFonts w:eastAsia="Calibri"/>
          <w:szCs w:val="20"/>
          <w:lang w:val="fr-FR"/>
        </w:rPr>
      </w:pPr>
      <w:r w:rsidRPr="00773D9D">
        <w:rPr>
          <w:rFonts w:eastAsia="Calibri"/>
          <w:szCs w:val="20"/>
          <w:lang w:val="fr-FR"/>
        </w:rPr>
        <w:t>PIR</w:t>
      </w:r>
      <w:r w:rsidRPr="00773D9D">
        <w:rPr>
          <w:rFonts w:eastAsia="Calibri"/>
          <w:szCs w:val="20"/>
          <w:lang w:val="fr-FR"/>
        </w:rPr>
        <w:tab/>
        <w:t xml:space="preserve">GEF Project </w:t>
      </w:r>
      <w:proofErr w:type="spellStart"/>
      <w:r w:rsidRPr="00773D9D">
        <w:rPr>
          <w:rFonts w:eastAsia="Calibri"/>
          <w:szCs w:val="20"/>
          <w:lang w:val="fr-FR"/>
        </w:rPr>
        <w:t>Implementation</w:t>
      </w:r>
      <w:proofErr w:type="spellEnd"/>
      <w:r w:rsidRPr="00773D9D">
        <w:rPr>
          <w:rFonts w:eastAsia="Calibri"/>
          <w:szCs w:val="20"/>
          <w:lang w:val="fr-FR"/>
        </w:rPr>
        <w:t xml:space="preserve"> Report</w:t>
      </w:r>
    </w:p>
    <w:p w:rsidR="00DD0EE8" w:rsidRPr="00773D9D" w:rsidRDefault="00DD0EE8" w:rsidP="00DD0EE8">
      <w:pPr>
        <w:tabs>
          <w:tab w:val="left" w:pos="1276"/>
        </w:tabs>
        <w:spacing w:after="0"/>
        <w:ind w:left="1276" w:hanging="1276"/>
        <w:jc w:val="left"/>
        <w:rPr>
          <w:rFonts w:eastAsia="Calibri"/>
          <w:szCs w:val="20"/>
          <w:lang w:val="fr-FR"/>
        </w:rPr>
      </w:pPr>
      <w:r w:rsidRPr="00773D9D">
        <w:rPr>
          <w:rFonts w:eastAsia="Calibri"/>
          <w:szCs w:val="20"/>
          <w:lang w:val="fr-FR"/>
        </w:rPr>
        <w:t>PJ</w:t>
      </w:r>
      <w:r w:rsidRPr="00773D9D">
        <w:rPr>
          <w:rFonts w:eastAsia="Calibri"/>
          <w:szCs w:val="20"/>
          <w:lang w:val="fr-FR"/>
        </w:rPr>
        <w:tab/>
      </w:r>
      <w:proofErr w:type="spellStart"/>
      <w:r w:rsidRPr="00773D9D">
        <w:rPr>
          <w:rFonts w:eastAsia="Calibri"/>
          <w:szCs w:val="20"/>
          <w:lang w:val="fr-FR"/>
        </w:rPr>
        <w:t>petajoules</w:t>
      </w:r>
      <w:proofErr w:type="spellEnd"/>
      <w:r w:rsidRPr="00773D9D">
        <w:rPr>
          <w:rFonts w:eastAsia="Calibri"/>
          <w:szCs w:val="20"/>
          <w:lang w:val="fr-FR"/>
        </w:rPr>
        <w:t xml:space="preserve"> (10</w:t>
      </w:r>
      <w:r w:rsidRPr="00773D9D">
        <w:rPr>
          <w:rFonts w:eastAsia="Calibri"/>
          <w:szCs w:val="20"/>
          <w:vertAlign w:val="superscript"/>
          <w:lang w:val="fr-FR"/>
        </w:rPr>
        <w:t>15</w:t>
      </w:r>
      <w:r w:rsidRPr="00773D9D">
        <w:rPr>
          <w:rFonts w:eastAsia="Calibri"/>
          <w:szCs w:val="20"/>
          <w:lang w:val="fr-FR"/>
        </w:rPr>
        <w:t xml:space="preserve"> Joules)</w:t>
      </w:r>
    </w:p>
    <w:p w:rsidR="00DD0EE8" w:rsidRPr="00353542"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PM</w:t>
      </w:r>
      <w:r w:rsidRPr="0057545E">
        <w:rPr>
          <w:rFonts w:eastAsia="Calibri"/>
          <w:szCs w:val="20"/>
          <w:lang w:val="en-GB"/>
        </w:rPr>
        <w:tab/>
        <w:t>Project Manager</w:t>
      </w:r>
    </w:p>
    <w:p w:rsidR="00DD0EE8" w:rsidRPr="008E26A0" w:rsidRDefault="00DD0EE8" w:rsidP="00DD0EE8">
      <w:pPr>
        <w:tabs>
          <w:tab w:val="left" w:pos="1276"/>
        </w:tabs>
        <w:spacing w:after="0"/>
        <w:ind w:left="1276" w:hanging="1276"/>
        <w:jc w:val="left"/>
        <w:rPr>
          <w:rFonts w:eastAsia="Calibri"/>
          <w:szCs w:val="20"/>
          <w:lang w:val="en-GB"/>
        </w:rPr>
      </w:pPr>
      <w:r w:rsidRPr="003B7D62">
        <w:rPr>
          <w:rFonts w:eastAsia="Calibri"/>
          <w:szCs w:val="20"/>
          <w:lang w:val="en-GB"/>
        </w:rPr>
        <w:t>PMU</w:t>
      </w:r>
      <w:r w:rsidRPr="003B7D62">
        <w:rPr>
          <w:rFonts w:eastAsia="Calibri"/>
          <w:szCs w:val="20"/>
          <w:lang w:val="en-GB"/>
        </w:rPr>
        <w:tab/>
        <w:t xml:space="preserve">Project </w:t>
      </w:r>
      <w:r w:rsidRPr="008E26A0">
        <w:rPr>
          <w:rFonts w:eastAsia="Calibri"/>
          <w:szCs w:val="20"/>
          <w:lang w:val="en-GB"/>
        </w:rPr>
        <w:t>Management Unit</w:t>
      </w:r>
    </w:p>
    <w:p w:rsidR="00DD0EE8" w:rsidRPr="004722F0" w:rsidRDefault="00DD0EE8" w:rsidP="00DD0EE8">
      <w:pPr>
        <w:tabs>
          <w:tab w:val="left" w:pos="1276"/>
        </w:tabs>
        <w:spacing w:after="0"/>
        <w:ind w:left="1276" w:hanging="1276"/>
        <w:jc w:val="left"/>
        <w:rPr>
          <w:rFonts w:eastAsia="Calibri"/>
          <w:szCs w:val="20"/>
          <w:lang w:val="en-GB"/>
        </w:rPr>
      </w:pPr>
      <w:r w:rsidRPr="004722F0">
        <w:rPr>
          <w:rFonts w:eastAsia="Calibri"/>
          <w:szCs w:val="20"/>
          <w:lang w:val="en-GB"/>
        </w:rPr>
        <w:t>POPP</w:t>
      </w:r>
      <w:r w:rsidRPr="004722F0">
        <w:rPr>
          <w:rFonts w:eastAsia="Calibri"/>
          <w:szCs w:val="20"/>
          <w:lang w:val="en-GB"/>
        </w:rPr>
        <w:tab/>
        <w:t>Programme and Operations Policies and Procedures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PPG</w:t>
      </w:r>
      <w:r w:rsidRPr="00666B27">
        <w:rPr>
          <w:rFonts w:eastAsia="Calibri"/>
          <w:szCs w:val="20"/>
          <w:lang w:val="en-GB"/>
        </w:rPr>
        <w:tab/>
        <w:t>Project Preparation Grant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PPP</w:t>
      </w:r>
      <w:r w:rsidRPr="00666B27">
        <w:rPr>
          <w:rFonts w:eastAsia="Calibri"/>
          <w:szCs w:val="20"/>
          <w:lang w:val="en-GB"/>
        </w:rPr>
        <w:tab/>
        <w:t>public-private partnership</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PPPF</w:t>
      </w:r>
      <w:r w:rsidRPr="00666B27">
        <w:rPr>
          <w:rFonts w:eastAsia="Calibri"/>
          <w:szCs w:val="20"/>
          <w:lang w:val="en-GB"/>
        </w:rPr>
        <w:tab/>
        <w:t>Preferential Procurement Policy Framework</w:t>
      </w:r>
    </w:p>
    <w:p w:rsidR="00DD0EE8" w:rsidRPr="00666B27" w:rsidRDefault="00DD0EE8" w:rsidP="00DD0EE8">
      <w:pPr>
        <w:tabs>
          <w:tab w:val="left" w:pos="1276"/>
        </w:tabs>
        <w:spacing w:after="0"/>
        <w:ind w:left="1276" w:hanging="1276"/>
        <w:jc w:val="left"/>
        <w:rPr>
          <w:rFonts w:eastAsia="Calibri"/>
          <w:szCs w:val="20"/>
          <w:lang w:val="en-GB"/>
        </w:rPr>
      </w:pPr>
      <w:proofErr w:type="spellStart"/>
      <w:r w:rsidRPr="00666B27">
        <w:rPr>
          <w:rFonts w:eastAsia="Calibri"/>
          <w:szCs w:val="20"/>
          <w:lang w:val="en-GB"/>
        </w:rPr>
        <w:t>ProDoc</w:t>
      </w:r>
      <w:proofErr w:type="spellEnd"/>
      <w:r w:rsidRPr="00666B27">
        <w:rPr>
          <w:rFonts w:eastAsia="Calibri"/>
          <w:szCs w:val="20"/>
          <w:lang w:val="en-GB"/>
        </w:rPr>
        <w:tab/>
        <w:t>project document</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PSC</w:t>
      </w:r>
      <w:r w:rsidRPr="00666B27">
        <w:rPr>
          <w:rFonts w:eastAsia="Calibri"/>
          <w:szCs w:val="20"/>
          <w:lang w:val="en-GB"/>
        </w:rPr>
        <w:tab/>
        <w:t>Project Steering Committee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ROAR</w:t>
      </w:r>
      <w:r w:rsidRPr="00666B27">
        <w:rPr>
          <w:rFonts w:eastAsia="Calibri"/>
          <w:szCs w:val="20"/>
          <w:lang w:val="en-GB"/>
        </w:rPr>
        <w:tab/>
        <w:t>Results-Oriented Annual Reporting</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RRMC</w:t>
      </w:r>
      <w:r w:rsidRPr="00666B27">
        <w:rPr>
          <w:rFonts w:eastAsia="Calibri"/>
          <w:szCs w:val="20"/>
          <w:lang w:val="en-GB"/>
        </w:rPr>
        <w:tab/>
        <w:t>Risk Reduction Management Centre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SABS</w:t>
      </w:r>
      <w:r w:rsidRPr="00666B27">
        <w:rPr>
          <w:rFonts w:eastAsia="Calibri"/>
          <w:szCs w:val="20"/>
          <w:lang w:val="en-GB"/>
        </w:rPr>
        <w:tab/>
        <w:t>South Africa Bureau of Standards</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SACN</w:t>
      </w:r>
      <w:r w:rsidRPr="00666B27">
        <w:rPr>
          <w:rFonts w:eastAsia="Calibri"/>
          <w:szCs w:val="20"/>
          <w:lang w:val="en-GB"/>
        </w:rPr>
        <w:tab/>
        <w:t>South African Cities Network</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SADC</w:t>
      </w:r>
      <w:r w:rsidRPr="00666B27">
        <w:rPr>
          <w:rFonts w:eastAsia="Calibri"/>
          <w:szCs w:val="20"/>
          <w:lang w:val="en-GB"/>
        </w:rPr>
        <w:tab/>
        <w:t>Southern African Development Community</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SALGA</w:t>
      </w:r>
      <w:r w:rsidRPr="00666B27">
        <w:rPr>
          <w:rFonts w:eastAsia="Calibri"/>
          <w:szCs w:val="20"/>
          <w:lang w:val="en-GB"/>
        </w:rPr>
        <w:tab/>
        <w:t>South African Local Government Association</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SANAS</w:t>
      </w:r>
      <w:r w:rsidRPr="00666B27">
        <w:rPr>
          <w:rFonts w:eastAsia="Calibri"/>
          <w:szCs w:val="20"/>
          <w:lang w:val="en-GB"/>
        </w:rPr>
        <w:tab/>
        <w:t>South Africa National Accreditation System</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SANEDI</w:t>
      </w:r>
      <w:r w:rsidRPr="00666B27">
        <w:rPr>
          <w:rFonts w:eastAsia="Calibri"/>
          <w:szCs w:val="20"/>
          <w:lang w:val="en-GB"/>
        </w:rPr>
        <w:tab/>
        <w:t>South African National Development Institute</w:t>
      </w:r>
    </w:p>
    <w:p w:rsidR="00DD0EE8" w:rsidRPr="00666B27" w:rsidRDefault="00DD0EE8" w:rsidP="00DD0EE8">
      <w:pPr>
        <w:tabs>
          <w:tab w:val="left" w:pos="1276"/>
        </w:tabs>
        <w:spacing w:after="0"/>
        <w:ind w:left="1276" w:hanging="1276"/>
        <w:jc w:val="left"/>
        <w:rPr>
          <w:rFonts w:eastAsia="Calibri"/>
          <w:szCs w:val="20"/>
          <w:lang w:val="en-GB"/>
        </w:rPr>
      </w:pPr>
      <w:r w:rsidRPr="00666B27">
        <w:rPr>
          <w:rFonts w:eastAsia="Calibri"/>
          <w:szCs w:val="20"/>
          <w:lang w:val="en-GB"/>
        </w:rPr>
        <w:t>SAPP</w:t>
      </w:r>
      <w:r w:rsidRPr="00666B27">
        <w:rPr>
          <w:rFonts w:eastAsia="Calibri"/>
          <w:szCs w:val="20"/>
          <w:lang w:val="en-GB"/>
        </w:rPr>
        <w:tab/>
        <w:t>Southern African Power Pool</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SDG</w:t>
      </w:r>
      <w:r w:rsidRPr="006A68A3">
        <w:rPr>
          <w:rFonts w:eastAsia="Calibri"/>
          <w:szCs w:val="20"/>
          <w:lang w:val="en-GB"/>
        </w:rPr>
        <w:tab/>
        <w:t>Sustainable Development Goal</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SOC</w:t>
      </w:r>
      <w:r w:rsidRPr="006A68A3">
        <w:rPr>
          <w:rFonts w:eastAsia="Calibri"/>
          <w:szCs w:val="20"/>
          <w:lang w:val="en-GB"/>
        </w:rPr>
        <w:tab/>
        <w:t>Steering and Oversight Committee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noProof/>
          <w:szCs w:val="20"/>
          <w:lang w:val="en-GB"/>
        </w:rPr>
        <w:t>TA</w:t>
      </w:r>
      <w:r w:rsidRPr="006A68A3">
        <w:rPr>
          <w:rFonts w:eastAsia="Calibri"/>
          <w:szCs w:val="20"/>
          <w:lang w:val="en-GB"/>
        </w:rPr>
        <w:tab/>
        <w:t>technical assistance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TA</w:t>
      </w:r>
      <w:r w:rsidRPr="006A68A3">
        <w:rPr>
          <w:rFonts w:eastAsia="Calibri"/>
          <w:szCs w:val="20"/>
          <w:lang w:val="en-GB"/>
        </w:rPr>
        <w:tab/>
        <w:t>Technical Advisor</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tCO</w:t>
      </w:r>
      <w:r w:rsidRPr="006A68A3">
        <w:rPr>
          <w:rFonts w:eastAsia="Calibri"/>
          <w:szCs w:val="20"/>
          <w:vertAlign w:val="subscript"/>
          <w:lang w:val="en-GB"/>
        </w:rPr>
        <w:t>2</w:t>
      </w:r>
      <w:r w:rsidRPr="006A68A3">
        <w:rPr>
          <w:rFonts w:eastAsia="Calibri"/>
          <w:szCs w:val="20"/>
          <w:lang w:val="en-GB"/>
        </w:rPr>
        <w:tab/>
        <w:t>ton of carbon dioxide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lastRenderedPageBreak/>
        <w:t>TE</w:t>
      </w:r>
      <w:r w:rsidRPr="006A68A3">
        <w:rPr>
          <w:rFonts w:eastAsia="Calibri"/>
          <w:szCs w:val="20"/>
          <w:lang w:val="en-GB"/>
        </w:rPr>
        <w:tab/>
        <w:t>terminal evaluation</w:t>
      </w:r>
    </w:p>
    <w:p w:rsidR="00DD0EE8" w:rsidRPr="006A68A3" w:rsidRDefault="00DD0EE8" w:rsidP="00DD0EE8">
      <w:pPr>
        <w:tabs>
          <w:tab w:val="left" w:pos="1276"/>
        </w:tabs>
        <w:spacing w:after="0"/>
        <w:ind w:left="1276" w:hanging="1276"/>
        <w:jc w:val="left"/>
        <w:rPr>
          <w:rFonts w:eastAsia="Calibri"/>
          <w:szCs w:val="20"/>
          <w:lang w:val="en-GB"/>
        </w:rPr>
      </w:pPr>
      <w:proofErr w:type="spellStart"/>
      <w:r w:rsidRPr="006A68A3">
        <w:rPr>
          <w:rFonts w:eastAsia="Calibri"/>
          <w:szCs w:val="20"/>
          <w:lang w:val="en-GB"/>
        </w:rPr>
        <w:t>TWh</w:t>
      </w:r>
      <w:proofErr w:type="spellEnd"/>
      <w:r w:rsidRPr="006A68A3">
        <w:rPr>
          <w:rFonts w:eastAsia="Calibri"/>
          <w:szCs w:val="20"/>
          <w:lang w:val="en-GB"/>
        </w:rPr>
        <w:tab/>
        <w:t>terawatt-hour (trillion watt-hours)</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U4E</w:t>
      </w:r>
      <w:r w:rsidRPr="006A68A3">
        <w:rPr>
          <w:rFonts w:eastAsia="Calibri"/>
          <w:szCs w:val="20"/>
          <w:lang w:val="en-GB"/>
        </w:rPr>
        <w:tab/>
        <w:t>United for Energy</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UN</w:t>
      </w:r>
      <w:r w:rsidRPr="006A68A3">
        <w:rPr>
          <w:rFonts w:eastAsia="Calibri"/>
          <w:szCs w:val="20"/>
          <w:lang w:val="en-GB"/>
        </w:rPr>
        <w:tab/>
        <w:t>United Nations</w:t>
      </w:r>
    </w:p>
    <w:p w:rsidR="00DD0EE8" w:rsidRPr="0057545E"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UNDP</w:t>
      </w:r>
      <w:r w:rsidRPr="0057545E">
        <w:rPr>
          <w:rFonts w:eastAsia="Calibri"/>
          <w:szCs w:val="20"/>
          <w:lang w:val="en-GB"/>
        </w:rPr>
        <w:tab/>
        <w:t>United Nations Development Programme</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UNEP</w:t>
      </w:r>
      <w:r w:rsidRPr="006A68A3">
        <w:rPr>
          <w:rFonts w:eastAsia="Calibri"/>
          <w:szCs w:val="20"/>
          <w:lang w:val="en-GB"/>
        </w:rPr>
        <w:tab/>
        <w:t>United Nations Environment Programme (UN Environment)</w:t>
      </w:r>
    </w:p>
    <w:p w:rsidR="00DD0EE8" w:rsidRPr="0057545E" w:rsidRDefault="00DD0EE8" w:rsidP="00DD0EE8">
      <w:pPr>
        <w:tabs>
          <w:tab w:val="left" w:pos="1276"/>
        </w:tabs>
        <w:spacing w:after="0"/>
        <w:ind w:left="1276" w:hanging="1276"/>
        <w:jc w:val="left"/>
        <w:rPr>
          <w:rFonts w:eastAsia="Calibri"/>
          <w:szCs w:val="20"/>
          <w:lang w:val="en-GB"/>
        </w:rPr>
      </w:pPr>
      <w:r w:rsidRPr="0057545E">
        <w:rPr>
          <w:rFonts w:eastAsia="Calibri"/>
          <w:szCs w:val="20"/>
          <w:lang w:val="en-GB"/>
        </w:rPr>
        <w:t>USD</w:t>
      </w:r>
      <w:r w:rsidRPr="0057545E">
        <w:rPr>
          <w:rFonts w:eastAsia="Calibri"/>
          <w:szCs w:val="20"/>
          <w:lang w:val="en-GB"/>
        </w:rPr>
        <w:tab/>
        <w:t>United States dollar</w:t>
      </w:r>
    </w:p>
    <w:p w:rsidR="00DD0EE8" w:rsidRPr="003B7D62" w:rsidRDefault="00DD0EE8" w:rsidP="00DD0EE8">
      <w:pPr>
        <w:tabs>
          <w:tab w:val="left" w:pos="1276"/>
        </w:tabs>
        <w:spacing w:after="0"/>
        <w:ind w:left="1276" w:hanging="1276"/>
        <w:jc w:val="left"/>
        <w:rPr>
          <w:rFonts w:eastAsia="Calibri"/>
          <w:szCs w:val="20"/>
          <w:lang w:val="en-GB"/>
        </w:rPr>
      </w:pPr>
      <w:r w:rsidRPr="00353542">
        <w:rPr>
          <w:rFonts w:eastAsia="Calibri"/>
          <w:szCs w:val="20"/>
          <w:lang w:val="en-GB"/>
        </w:rPr>
        <w:t>V</w:t>
      </w:r>
      <w:r w:rsidRPr="00353542">
        <w:rPr>
          <w:rFonts w:eastAsia="Calibri"/>
          <w:szCs w:val="20"/>
          <w:lang w:val="en-GB"/>
        </w:rPr>
        <w:tab/>
        <w:t>Volt</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V-NAMA</w:t>
      </w:r>
      <w:r w:rsidRPr="006A68A3">
        <w:rPr>
          <w:rFonts w:eastAsia="Calibri"/>
          <w:szCs w:val="20"/>
          <w:lang w:val="en-GB"/>
        </w:rPr>
        <w:tab/>
        <w:t>Vertical Nationally Appropriate Mitigation Actions</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W</w:t>
      </w:r>
      <w:r w:rsidRPr="006A68A3">
        <w:rPr>
          <w:rFonts w:eastAsia="Calibri"/>
          <w:szCs w:val="20"/>
          <w:lang w:val="en-GB"/>
        </w:rPr>
        <w:tab/>
        <w:t>Watt</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WG</w:t>
      </w:r>
      <w:r w:rsidRPr="006A68A3">
        <w:rPr>
          <w:rFonts w:eastAsia="Calibri"/>
          <w:szCs w:val="20"/>
          <w:lang w:val="en-GB"/>
        </w:rPr>
        <w:tab/>
        <w:t>Working Group</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WOB</w:t>
      </w:r>
      <w:r w:rsidRPr="006A68A3">
        <w:rPr>
          <w:rFonts w:eastAsia="Calibri"/>
          <w:szCs w:val="20"/>
          <w:lang w:val="en-GB"/>
        </w:rPr>
        <w:tab/>
        <w:t>women-owned business</w:t>
      </w:r>
    </w:p>
    <w:p w:rsidR="00DD0EE8" w:rsidRPr="006A68A3" w:rsidRDefault="00DD0EE8" w:rsidP="00DD0EE8">
      <w:pPr>
        <w:tabs>
          <w:tab w:val="left" w:pos="1276"/>
        </w:tabs>
        <w:spacing w:after="0"/>
        <w:ind w:left="1276" w:hanging="1276"/>
        <w:jc w:val="left"/>
        <w:rPr>
          <w:rFonts w:eastAsia="Calibri"/>
          <w:szCs w:val="20"/>
          <w:lang w:val="en-GB"/>
        </w:rPr>
      </w:pPr>
      <w:r w:rsidRPr="006A68A3">
        <w:rPr>
          <w:rFonts w:eastAsia="Calibri"/>
          <w:szCs w:val="20"/>
          <w:lang w:val="en-GB"/>
        </w:rPr>
        <w:t>ZAR</w:t>
      </w:r>
      <w:r w:rsidRPr="006A68A3">
        <w:rPr>
          <w:rFonts w:eastAsia="Calibri"/>
          <w:szCs w:val="20"/>
          <w:lang w:val="en-GB"/>
        </w:rPr>
        <w:tab/>
        <w:t>Rand</w:t>
      </w:r>
    </w:p>
    <w:p w:rsidR="001A31BB" w:rsidRPr="0057545E" w:rsidRDefault="001A31BB" w:rsidP="001A31BB">
      <w:pPr>
        <w:tabs>
          <w:tab w:val="left" w:pos="1276"/>
        </w:tabs>
        <w:spacing w:after="0"/>
        <w:ind w:left="1276" w:hanging="1276"/>
        <w:jc w:val="left"/>
        <w:rPr>
          <w:rFonts w:eastAsia="Calibri"/>
          <w:szCs w:val="20"/>
          <w:lang w:val="en-GB"/>
        </w:rPr>
      </w:pPr>
    </w:p>
    <w:p w:rsidR="00F06545" w:rsidRPr="00353542" w:rsidRDefault="00F06545" w:rsidP="001A31BB">
      <w:pPr>
        <w:tabs>
          <w:tab w:val="left" w:pos="1276"/>
        </w:tabs>
        <w:spacing w:after="0"/>
        <w:ind w:left="1276" w:hanging="1276"/>
        <w:jc w:val="left"/>
        <w:rPr>
          <w:rFonts w:eastAsia="Calibri"/>
          <w:szCs w:val="20"/>
          <w:lang w:val="en-GB"/>
        </w:rPr>
      </w:pPr>
    </w:p>
    <w:bookmarkEnd w:id="11"/>
    <w:p w:rsidR="00F06545" w:rsidRPr="003B7D62" w:rsidRDefault="00F06545" w:rsidP="001A31BB">
      <w:pPr>
        <w:tabs>
          <w:tab w:val="left" w:pos="1276"/>
        </w:tabs>
        <w:spacing w:after="0"/>
        <w:ind w:left="1276" w:hanging="1276"/>
        <w:jc w:val="left"/>
        <w:rPr>
          <w:rFonts w:eastAsia="Calibri"/>
          <w:szCs w:val="20"/>
          <w:lang w:val="en-GB"/>
        </w:rPr>
      </w:pPr>
    </w:p>
    <w:bookmarkEnd w:id="12"/>
    <w:p w:rsidR="00F06545" w:rsidRPr="004722F0" w:rsidRDefault="00F06545" w:rsidP="001A31BB">
      <w:pPr>
        <w:tabs>
          <w:tab w:val="left" w:pos="1276"/>
        </w:tabs>
        <w:spacing w:after="0"/>
        <w:ind w:left="1276" w:hanging="1276"/>
        <w:jc w:val="left"/>
        <w:rPr>
          <w:rFonts w:eastAsia="Calibri"/>
          <w:szCs w:val="20"/>
          <w:lang w:val="en-GB"/>
        </w:rPr>
      </w:pPr>
    </w:p>
    <w:p w:rsidR="00F06545" w:rsidRPr="00666B27" w:rsidRDefault="00F06545" w:rsidP="001A31BB">
      <w:pPr>
        <w:tabs>
          <w:tab w:val="left" w:pos="1276"/>
        </w:tabs>
        <w:spacing w:after="0"/>
        <w:ind w:left="1276" w:hanging="1276"/>
        <w:jc w:val="left"/>
        <w:rPr>
          <w:rFonts w:eastAsia="Calibri"/>
          <w:szCs w:val="20"/>
          <w:lang w:val="en-GB"/>
        </w:rPr>
      </w:pPr>
    </w:p>
    <w:p w:rsidR="001A31BB" w:rsidRPr="00666B27" w:rsidRDefault="001A31BB" w:rsidP="001A31BB">
      <w:pPr>
        <w:rPr>
          <w:lang w:val="en-GB" w:eastAsia="en-GB"/>
        </w:rPr>
      </w:pPr>
    </w:p>
    <w:p w:rsidR="007A193A" w:rsidRPr="00666B27" w:rsidRDefault="007A193A" w:rsidP="007A193A">
      <w:pPr>
        <w:rPr>
          <w:lang w:val="en-GB" w:eastAsia="en-GB"/>
        </w:rPr>
      </w:pPr>
    </w:p>
    <w:p w:rsidR="00073DB2" w:rsidRPr="0057545E" w:rsidRDefault="003A2690" w:rsidP="00073DB2">
      <w:pPr>
        <w:rPr>
          <w:lang w:val="en-GB" w:eastAsia="en-GB"/>
        </w:rPr>
      </w:pPr>
      <w:r>
        <w:rPr>
          <w:noProof/>
        </w:rPr>
        <w:drawing>
          <wp:anchor distT="0" distB="0" distL="114300" distR="114300" simplePos="0" relativeHeight="251643904" behindDoc="0" locked="0" layoutInCell="1" allowOverlap="1">
            <wp:simplePos x="0" y="0"/>
            <wp:positionH relativeFrom="margin">
              <wp:align>right</wp:align>
            </wp:positionH>
            <wp:positionV relativeFrom="paragraph">
              <wp:posOffset>196215</wp:posOffset>
            </wp:positionV>
            <wp:extent cx="6329680" cy="4841240"/>
            <wp:effectExtent l="0" t="0" r="0" b="0"/>
            <wp:wrapNone/>
            <wp:docPr id="96"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6329680" cy="484124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73DB2" w:rsidRPr="00353542" w:rsidRDefault="00684F83">
      <w:pPr>
        <w:spacing w:after="0"/>
        <w:jc w:val="left"/>
        <w:rPr>
          <w:rFonts w:cs="Arial"/>
          <w:szCs w:val="20"/>
          <w:lang w:val="en-GB"/>
        </w:rPr>
      </w:pPr>
      <w:r w:rsidRPr="0057545E">
        <w:rPr>
          <w:rFonts w:cs="Arial"/>
          <w:szCs w:val="20"/>
          <w:lang w:val="en-GB"/>
        </w:rPr>
        <w:br w:type="page"/>
      </w:r>
    </w:p>
    <w:p w:rsidR="00D218B7" w:rsidRPr="008E26A0" w:rsidRDefault="008C65EB" w:rsidP="001E1DBB">
      <w:pPr>
        <w:pStyle w:val="Heading1"/>
        <w:tabs>
          <w:tab w:val="left" w:pos="567"/>
        </w:tabs>
        <w:ind w:left="567" w:hanging="567"/>
      </w:pPr>
      <w:bookmarkStart w:id="13" w:name="_Toc407785517"/>
      <w:bookmarkStart w:id="14" w:name="_Toc497848292"/>
      <w:bookmarkStart w:id="15" w:name="_Toc340753"/>
      <w:r w:rsidRPr="00353542">
        <w:lastRenderedPageBreak/>
        <w:t xml:space="preserve">Development </w:t>
      </w:r>
      <w:r w:rsidR="00005D48" w:rsidRPr="003B7D62">
        <w:t>C</w:t>
      </w:r>
      <w:r w:rsidR="004C3717" w:rsidRPr="008E26A0">
        <w:t>hallenge</w:t>
      </w:r>
      <w:bookmarkEnd w:id="13"/>
      <w:bookmarkEnd w:id="14"/>
      <w:bookmarkEnd w:id="15"/>
      <w:r w:rsidR="00A25CCB" w:rsidRPr="008E26A0">
        <w:t xml:space="preserve"> </w:t>
      </w:r>
    </w:p>
    <w:p w:rsidR="00827073" w:rsidRPr="004722F0" w:rsidRDefault="00827073" w:rsidP="00827073">
      <w:pPr>
        <w:rPr>
          <w:lang w:val="en-GB" w:eastAsia="en-GB"/>
        </w:rPr>
      </w:pPr>
    </w:p>
    <w:p w:rsidR="00F06545" w:rsidRPr="00666B27" w:rsidRDefault="009904A7" w:rsidP="00F06545">
      <w:pPr>
        <w:pStyle w:val="Heading2"/>
      </w:pPr>
      <w:bookmarkStart w:id="16" w:name="_Toc340754"/>
      <w:bookmarkStart w:id="17" w:name="_Hlk536215884"/>
      <w:r w:rsidRPr="00666B27">
        <w:t>Introduction</w:t>
      </w:r>
      <w:bookmarkEnd w:id="16"/>
    </w:p>
    <w:bookmarkEnd w:id="17"/>
    <w:p w:rsidR="00F06545" w:rsidRPr="00666B27" w:rsidRDefault="00F06545" w:rsidP="00827073">
      <w:pPr>
        <w:rPr>
          <w:lang w:val="en-GB" w:eastAsia="en-GB"/>
        </w:rPr>
      </w:pPr>
    </w:p>
    <w:p w:rsidR="009904A7" w:rsidRPr="00666B27" w:rsidRDefault="009904A7" w:rsidP="00827073">
      <w:pPr>
        <w:rPr>
          <w:u w:val="single"/>
          <w:lang w:val="en-GB" w:eastAsia="en-GB"/>
        </w:rPr>
      </w:pPr>
      <w:r w:rsidRPr="00666B27">
        <w:rPr>
          <w:u w:val="single"/>
          <w:lang w:val="en-GB" w:eastAsia="en-GB"/>
        </w:rPr>
        <w:t>Context</w:t>
      </w:r>
    </w:p>
    <w:p w:rsidR="009904A7" w:rsidRPr="00666B27" w:rsidRDefault="009904A7" w:rsidP="002C052E">
      <w:pPr>
        <w:spacing w:after="0"/>
        <w:rPr>
          <w:lang w:val="en-GB" w:eastAsia="en-GB"/>
        </w:rPr>
      </w:pPr>
    </w:p>
    <w:p w:rsidR="00A13A4E" w:rsidRPr="004722F0" w:rsidRDefault="001D2DA5" w:rsidP="002C052E">
      <w:pPr>
        <w:spacing w:after="0"/>
        <w:rPr>
          <w:lang w:val="en-GB" w:eastAsia="en-GB"/>
        </w:rPr>
      </w:pPr>
      <w:r w:rsidRPr="00666B27">
        <w:rPr>
          <w:lang w:val="en-GB" w:eastAsia="en-GB"/>
        </w:rPr>
        <w:t>Total electricity consumption</w:t>
      </w:r>
      <w:r w:rsidR="002C151A" w:rsidRPr="00666B27">
        <w:rPr>
          <w:lang w:val="en-GB" w:eastAsia="en-GB"/>
        </w:rPr>
        <w:t xml:space="preserve"> in South Africa</w:t>
      </w:r>
      <w:r w:rsidRPr="00666B27">
        <w:rPr>
          <w:lang w:val="en-GB" w:eastAsia="en-GB"/>
        </w:rPr>
        <w:t xml:space="preserve"> has </w:t>
      </w:r>
      <w:r w:rsidR="0027762A" w:rsidRPr="00666B27">
        <w:rPr>
          <w:lang w:val="en-GB" w:eastAsia="en-GB"/>
        </w:rPr>
        <w:t xml:space="preserve">hovered </w:t>
      </w:r>
      <w:r w:rsidR="00382CA0" w:rsidRPr="00666B27">
        <w:rPr>
          <w:lang w:val="en-GB" w:eastAsia="en-GB"/>
        </w:rPr>
        <w:t>around</w:t>
      </w:r>
      <w:r w:rsidR="0027762A" w:rsidRPr="00666B27">
        <w:rPr>
          <w:lang w:val="en-GB" w:eastAsia="en-GB"/>
        </w:rPr>
        <w:t xml:space="preserve"> </w:t>
      </w:r>
      <w:r w:rsidR="00382CA0" w:rsidRPr="00666B27">
        <w:rPr>
          <w:lang w:val="en-GB" w:eastAsia="en-GB"/>
        </w:rPr>
        <w:t xml:space="preserve">200 </w:t>
      </w:r>
      <w:proofErr w:type="spellStart"/>
      <w:r w:rsidR="0027762A" w:rsidRPr="00666B27">
        <w:rPr>
          <w:lang w:val="en-GB" w:eastAsia="en-GB"/>
        </w:rPr>
        <w:t>TWh</w:t>
      </w:r>
      <w:proofErr w:type="spellEnd"/>
      <w:r w:rsidR="00B92C93" w:rsidRPr="00666B27">
        <w:rPr>
          <w:lang w:val="en-GB" w:eastAsia="en-GB"/>
        </w:rPr>
        <w:t xml:space="preserve"> a</w:t>
      </w:r>
      <w:r w:rsidR="0027762A" w:rsidRPr="00666B27">
        <w:rPr>
          <w:lang w:val="en-GB" w:eastAsia="en-GB"/>
        </w:rPr>
        <w:t xml:space="preserve"> </w:t>
      </w:r>
      <w:r w:rsidRPr="00666B27">
        <w:rPr>
          <w:lang w:val="en-GB" w:eastAsia="en-GB"/>
        </w:rPr>
        <w:t xml:space="preserve">up to a total of about </w:t>
      </w:r>
      <w:r w:rsidR="00B92C93" w:rsidRPr="00666B27">
        <w:rPr>
          <w:lang w:val="en-GB" w:eastAsia="en-GB"/>
        </w:rPr>
        <w:t>208</w:t>
      </w:r>
      <w:r w:rsidRPr="00666B27">
        <w:rPr>
          <w:lang w:val="en-GB" w:eastAsia="en-GB"/>
        </w:rPr>
        <w:t xml:space="preserve"> in </w:t>
      </w:r>
      <w:proofErr w:type="gramStart"/>
      <w:r w:rsidRPr="00666B27">
        <w:rPr>
          <w:lang w:val="en-GB" w:eastAsia="en-GB"/>
        </w:rPr>
        <w:t>201</w:t>
      </w:r>
      <w:r w:rsidR="00B92C93" w:rsidRPr="00666B27">
        <w:rPr>
          <w:lang w:val="en-GB" w:eastAsia="en-GB"/>
        </w:rPr>
        <w:t>5</w:t>
      </w:r>
      <w:r w:rsidRPr="00666B27">
        <w:rPr>
          <w:lang w:val="en-GB" w:eastAsia="en-GB"/>
        </w:rPr>
        <w:t>, and</w:t>
      </w:r>
      <w:proofErr w:type="gramEnd"/>
      <w:r w:rsidRPr="00666B27">
        <w:rPr>
          <w:lang w:val="en-GB" w:eastAsia="en-GB"/>
        </w:rPr>
        <w:t xml:space="preserve"> is projected to grow </w:t>
      </w:r>
      <w:r w:rsidR="0027762A" w:rsidRPr="00666B27">
        <w:rPr>
          <w:lang w:val="en-GB" w:eastAsia="en-GB"/>
        </w:rPr>
        <w:t>further at about 2-3% percent annually</w:t>
      </w:r>
      <w:r w:rsidR="0045291C" w:rsidRPr="0057545E">
        <w:rPr>
          <w:rStyle w:val="FootnoteReference"/>
          <w:lang w:val="en-GB" w:eastAsia="en-GB"/>
        </w:rPr>
        <w:footnoteReference w:id="1"/>
      </w:r>
      <w:r w:rsidR="0045291C" w:rsidRPr="0057545E">
        <w:rPr>
          <w:lang w:val="en-GB" w:eastAsia="en-GB"/>
        </w:rPr>
        <w:t>.</w:t>
      </w:r>
      <w:r w:rsidR="0027762A" w:rsidRPr="0057545E">
        <w:rPr>
          <w:lang w:val="en-GB" w:eastAsia="en-GB"/>
        </w:rPr>
        <w:t xml:space="preserve"> </w:t>
      </w:r>
      <w:r w:rsidR="0045291C" w:rsidRPr="00353542">
        <w:rPr>
          <w:lang w:val="en-GB" w:eastAsia="en-GB"/>
        </w:rPr>
        <w:t xml:space="preserve"> South Africa has one of the world’s highest grid emission factors – about 0.94 tonnes of CO</w:t>
      </w:r>
      <w:r w:rsidR="0045291C" w:rsidRPr="003B7D62">
        <w:rPr>
          <w:vertAlign w:val="subscript"/>
          <w:lang w:val="en-GB" w:eastAsia="en-GB"/>
        </w:rPr>
        <w:t>2</w:t>
      </w:r>
      <w:r w:rsidR="0045291C" w:rsidRPr="008E26A0">
        <w:rPr>
          <w:lang w:val="en-GB" w:eastAsia="en-GB"/>
        </w:rPr>
        <w:t xml:space="preserve"> emitted per MWh of el</w:t>
      </w:r>
      <w:r w:rsidR="00A13A4E" w:rsidRPr="008E26A0">
        <w:rPr>
          <w:lang w:val="en-GB" w:eastAsia="en-GB"/>
        </w:rPr>
        <w:t>ectricity consumed, because</w:t>
      </w:r>
      <w:r w:rsidR="0045291C" w:rsidRPr="008E26A0">
        <w:rPr>
          <w:lang w:val="en-GB" w:eastAsia="en-GB"/>
        </w:rPr>
        <w:t xml:space="preserve"> of its heavy reliance on coal, which accounts for about 92% of national domestic electricity production.</w:t>
      </w:r>
    </w:p>
    <w:p w:rsidR="00A13A4E" w:rsidRPr="00666B27" w:rsidRDefault="00A13A4E" w:rsidP="002C052E">
      <w:pPr>
        <w:spacing w:after="0"/>
        <w:rPr>
          <w:lang w:val="en-GB" w:eastAsia="en-GB"/>
        </w:rPr>
      </w:pPr>
    </w:p>
    <w:p w:rsidR="00A13A4E" w:rsidRPr="003B7D62" w:rsidRDefault="00A13A4E" w:rsidP="002C052E">
      <w:pPr>
        <w:spacing w:after="0"/>
        <w:rPr>
          <w:rFonts w:ascii="Arial" w:hAnsi="Arial" w:cs="Arial"/>
          <w:b/>
          <w:color w:val="2E74B5"/>
          <w:sz w:val="18"/>
          <w:lang w:val="en-GB"/>
        </w:rPr>
      </w:pPr>
      <w:bookmarkStart w:id="18" w:name="_Hlk497857053"/>
      <w:bookmarkStart w:id="19" w:name="_Toc179825"/>
      <w:r w:rsidRPr="00666B27">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008C2684" w:rsidRPr="0057545E">
        <w:rPr>
          <w:rFonts w:ascii="Arial" w:hAnsi="Arial" w:cs="Arial"/>
          <w:b/>
          <w:noProof/>
          <w:color w:val="2E74B5"/>
          <w:sz w:val="18"/>
          <w:lang w:val="en-GB"/>
        </w:rPr>
        <w:t>1</w:t>
      </w:r>
      <w:r w:rsidRPr="0057545E">
        <w:rPr>
          <w:rFonts w:ascii="Arial" w:hAnsi="Arial" w:cs="Arial"/>
          <w:b/>
          <w:color w:val="2E74B5"/>
          <w:sz w:val="18"/>
          <w:lang w:val="en-GB"/>
        </w:rPr>
        <w:fldChar w:fldCharType="end"/>
      </w:r>
      <w:r w:rsidRPr="0057545E">
        <w:rPr>
          <w:rFonts w:ascii="Arial" w:hAnsi="Arial" w:cs="Arial"/>
          <w:b/>
          <w:color w:val="2E74B5"/>
          <w:sz w:val="18"/>
          <w:lang w:val="en-GB"/>
        </w:rPr>
        <w:tab/>
        <w:t xml:space="preserve">Electricity </w:t>
      </w:r>
      <w:bookmarkEnd w:id="18"/>
      <w:r w:rsidR="00382CA0" w:rsidRPr="0057545E">
        <w:rPr>
          <w:rFonts w:ascii="Arial" w:hAnsi="Arial" w:cs="Arial"/>
          <w:b/>
          <w:color w:val="2E74B5"/>
          <w:sz w:val="18"/>
          <w:lang w:val="en-GB"/>
        </w:rPr>
        <w:t>consumption</w:t>
      </w:r>
      <w:r w:rsidRPr="00353542">
        <w:rPr>
          <w:rFonts w:ascii="Arial" w:hAnsi="Arial" w:cs="Arial"/>
          <w:b/>
          <w:color w:val="2E74B5"/>
          <w:sz w:val="18"/>
          <w:lang w:val="en-GB"/>
        </w:rPr>
        <w:t>, South Africa</w:t>
      </w:r>
      <w:bookmarkEnd w:id="19"/>
    </w:p>
    <w:p w:rsidR="00515195" w:rsidRPr="0057545E" w:rsidRDefault="003A2690" w:rsidP="002C052E">
      <w:pPr>
        <w:spacing w:after="0"/>
        <w:rPr>
          <w:b/>
          <w:lang w:val="en-GB" w:eastAsia="en-GB"/>
        </w:rPr>
      </w:pPr>
      <w:r w:rsidRPr="00F737AD">
        <w:rPr>
          <w:b/>
          <w:noProof/>
          <w:lang w:val="en-GB" w:eastAsia="en-GB"/>
        </w:rPr>
        <w:drawing>
          <wp:inline distT="0" distB="0" distL="0" distR="0">
            <wp:extent cx="6207760" cy="2621280"/>
            <wp:effectExtent l="0" t="0" r="0" b="0"/>
            <wp:docPr id="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6207760" cy="2621280"/>
                    </a:xfrm>
                    <a:prstGeom prst="rect">
                      <a:avLst/>
                    </a:prstGeom>
                    <a:noFill/>
                    <a:ln>
                      <a:noFill/>
                    </a:ln>
                  </pic:spPr>
                </pic:pic>
              </a:graphicData>
            </a:graphic>
          </wp:inline>
        </w:drawing>
      </w:r>
    </w:p>
    <w:p w:rsidR="00A13A4E" w:rsidRPr="003B7D62" w:rsidRDefault="0045291C" w:rsidP="002C052E">
      <w:pPr>
        <w:spacing w:after="0"/>
        <w:rPr>
          <w:noProof/>
          <w:lang w:val="en-GB"/>
        </w:rPr>
      </w:pPr>
      <w:r w:rsidRPr="00353542">
        <w:rPr>
          <w:lang w:val="en-GB" w:eastAsia="en-GB"/>
        </w:rPr>
        <w:t xml:space="preserve"> </w:t>
      </w:r>
    </w:p>
    <w:p w:rsidR="00382CA0" w:rsidRPr="00666B27" w:rsidRDefault="00A13A4E" w:rsidP="00382CA0">
      <w:pPr>
        <w:spacing w:after="0"/>
        <w:ind w:left="851"/>
        <w:rPr>
          <w:i/>
          <w:noProof/>
          <w:sz w:val="18"/>
          <w:szCs w:val="18"/>
          <w:lang w:val="en-GB"/>
        </w:rPr>
      </w:pPr>
      <w:r w:rsidRPr="004722F0">
        <w:rPr>
          <w:noProof/>
          <w:sz w:val="18"/>
          <w:szCs w:val="18"/>
          <w:lang w:val="en-GB"/>
        </w:rPr>
        <w:t xml:space="preserve">Source: </w:t>
      </w:r>
      <w:r w:rsidR="00382CA0" w:rsidRPr="004722F0">
        <w:rPr>
          <w:noProof/>
          <w:sz w:val="18"/>
          <w:szCs w:val="18"/>
          <w:lang w:val="en-GB"/>
        </w:rPr>
        <w:t xml:space="preserve">STATS SA, taken from </w:t>
      </w:r>
      <w:r w:rsidRPr="00666B27">
        <w:rPr>
          <w:noProof/>
          <w:sz w:val="18"/>
          <w:szCs w:val="18"/>
          <w:lang w:val="en-GB"/>
        </w:rPr>
        <w:t xml:space="preserve"> </w:t>
      </w:r>
      <w:r w:rsidR="00382CA0" w:rsidRPr="00666B27">
        <w:rPr>
          <w:i/>
          <w:noProof/>
          <w:sz w:val="18"/>
          <w:szCs w:val="18"/>
          <w:lang w:val="en-GB"/>
        </w:rPr>
        <w:t>An overview of electricity consumption and pricing in South Africa</w:t>
      </w:r>
    </w:p>
    <w:p w:rsidR="00A13A4E" w:rsidRPr="00666B27" w:rsidRDefault="00382CA0" w:rsidP="00382CA0">
      <w:pPr>
        <w:spacing w:after="0"/>
        <w:ind w:left="851"/>
        <w:rPr>
          <w:noProof/>
          <w:sz w:val="18"/>
          <w:szCs w:val="18"/>
          <w:lang w:val="en-GB"/>
        </w:rPr>
      </w:pPr>
      <w:r w:rsidRPr="00666B27">
        <w:rPr>
          <w:i/>
          <w:noProof/>
          <w:sz w:val="18"/>
          <w:szCs w:val="18"/>
          <w:lang w:val="en-GB"/>
        </w:rPr>
        <w:t xml:space="preserve">An analysis of the historical trends and policies, key issues and outlook in 2017 </w:t>
      </w:r>
      <w:r w:rsidRPr="00666B27">
        <w:rPr>
          <w:noProof/>
          <w:sz w:val="18"/>
          <w:szCs w:val="18"/>
          <w:lang w:val="en-GB"/>
        </w:rPr>
        <w:t>(Deloitte, Eskom, 2017)</w:t>
      </w:r>
    </w:p>
    <w:p w:rsidR="00DB3E04" w:rsidRPr="00666B27" w:rsidRDefault="00DB3E04" w:rsidP="002C052E">
      <w:pPr>
        <w:spacing w:after="0"/>
        <w:rPr>
          <w:noProof/>
          <w:szCs w:val="20"/>
          <w:lang w:val="en-GB"/>
        </w:rPr>
      </w:pPr>
    </w:p>
    <w:p w:rsidR="00A13A4E" w:rsidRPr="00666B27" w:rsidRDefault="00DB3E04" w:rsidP="002C052E">
      <w:pPr>
        <w:spacing w:after="0"/>
        <w:rPr>
          <w:noProof/>
          <w:szCs w:val="20"/>
          <w:lang w:val="en-GB"/>
        </w:rPr>
      </w:pPr>
      <w:bookmarkStart w:id="20" w:name="_Hlk433063"/>
      <w:r w:rsidRPr="00666B27">
        <w:rPr>
          <w:noProof/>
          <w:szCs w:val="20"/>
          <w:lang w:val="en-GB"/>
        </w:rPr>
        <w:t>Electric appliances and equipment have become an essential part of the lives of practically all of South Africa’s citizens – women and men, across all age categories, regions, and income levels.  This includes lighting, wh</w:t>
      </w:r>
      <w:r w:rsidR="0021154A" w:rsidRPr="00666B27">
        <w:rPr>
          <w:noProof/>
          <w:szCs w:val="20"/>
          <w:lang w:val="en-GB"/>
        </w:rPr>
        <w:t>i</w:t>
      </w:r>
      <w:r w:rsidRPr="00666B27">
        <w:rPr>
          <w:noProof/>
          <w:szCs w:val="20"/>
          <w:lang w:val="en-GB"/>
        </w:rPr>
        <w:t xml:space="preserve">ch </w:t>
      </w:r>
      <w:r w:rsidR="0057545E" w:rsidRPr="00666B27">
        <w:rPr>
          <w:noProof/>
          <w:szCs w:val="20"/>
          <w:lang w:val="en-GB"/>
        </w:rPr>
        <w:t xml:space="preserve">is </w:t>
      </w:r>
      <w:r w:rsidRPr="00666B27">
        <w:rPr>
          <w:noProof/>
          <w:szCs w:val="20"/>
          <w:lang w:val="en-GB"/>
        </w:rPr>
        <w:t xml:space="preserve">used in all sectors, residential, </w:t>
      </w:r>
      <w:r w:rsidR="005D651A" w:rsidRPr="00666B27">
        <w:rPr>
          <w:noProof/>
          <w:szCs w:val="20"/>
          <w:lang w:val="en-GB"/>
        </w:rPr>
        <w:t>commercial-</w:t>
      </w:r>
      <w:r w:rsidRPr="00666B27">
        <w:rPr>
          <w:noProof/>
          <w:szCs w:val="20"/>
          <w:lang w:val="en-GB"/>
        </w:rPr>
        <w:t>productive</w:t>
      </w:r>
      <w:r w:rsidR="005D651A" w:rsidRPr="00666B27">
        <w:rPr>
          <w:noProof/>
          <w:szCs w:val="20"/>
          <w:lang w:val="en-GB"/>
        </w:rPr>
        <w:t xml:space="preserve">, and in outdoor and street lighting. </w:t>
      </w:r>
      <w:bookmarkEnd w:id="20"/>
      <w:r w:rsidR="005D651A" w:rsidRPr="00666B27">
        <w:rPr>
          <w:noProof/>
          <w:szCs w:val="20"/>
          <w:lang w:val="en-GB"/>
        </w:rPr>
        <w:t xml:space="preserve"> Lighting accounted for about 62 TWh of electricity consumption in 2016 (out of </w:t>
      </w:r>
      <w:r w:rsidR="008E495B" w:rsidRPr="00666B27">
        <w:rPr>
          <w:noProof/>
          <w:szCs w:val="20"/>
          <w:lang w:val="en-GB"/>
        </w:rPr>
        <w:t>240</w:t>
      </w:r>
      <w:r w:rsidR="005D651A" w:rsidRPr="00666B27">
        <w:rPr>
          <w:noProof/>
          <w:szCs w:val="20"/>
          <w:lang w:val="en-GB"/>
        </w:rPr>
        <w:t xml:space="preserve"> TWh of electricity </w:t>
      </w:r>
      <w:r w:rsidR="008E495B" w:rsidRPr="00666B27">
        <w:rPr>
          <w:noProof/>
          <w:szCs w:val="20"/>
          <w:lang w:val="en-GB"/>
        </w:rPr>
        <w:t>transmitted)</w:t>
      </w:r>
      <w:r w:rsidR="005D651A" w:rsidRPr="00666B27">
        <w:rPr>
          <w:noProof/>
          <w:szCs w:val="20"/>
          <w:lang w:val="en-GB"/>
        </w:rPr>
        <w:t xml:space="preserve">. </w:t>
      </w:r>
    </w:p>
    <w:p w:rsidR="005D651A" w:rsidRPr="00666B27" w:rsidRDefault="005D651A" w:rsidP="002C052E">
      <w:pPr>
        <w:spacing w:after="0"/>
        <w:rPr>
          <w:noProof/>
          <w:szCs w:val="20"/>
          <w:lang w:val="en-GB"/>
        </w:rPr>
      </w:pPr>
    </w:p>
    <w:p w:rsidR="000D6539" w:rsidRPr="008E26A0" w:rsidRDefault="005D651A" w:rsidP="002C052E">
      <w:pPr>
        <w:spacing w:after="0"/>
        <w:rPr>
          <w:noProof/>
          <w:szCs w:val="20"/>
          <w:lang w:val="en-GB"/>
        </w:rPr>
      </w:pPr>
      <w:bookmarkStart w:id="21" w:name="_Hlk433095"/>
      <w:r w:rsidRPr="00666B27">
        <w:rPr>
          <w:noProof/>
          <w:szCs w:val="20"/>
          <w:lang w:val="en-GB"/>
        </w:rPr>
        <w:t>Outside of the home, electrical equipment deployed on a wide scale also has an inordinately high impact</w:t>
      </w:r>
      <w:r w:rsidR="002C151A" w:rsidRPr="00666B27">
        <w:rPr>
          <w:noProof/>
          <w:szCs w:val="20"/>
          <w:lang w:val="en-GB"/>
        </w:rPr>
        <w:t>. T</w:t>
      </w:r>
      <w:r w:rsidRPr="00666B27">
        <w:rPr>
          <w:noProof/>
          <w:szCs w:val="20"/>
          <w:lang w:val="en-GB"/>
        </w:rPr>
        <w:t xml:space="preserve">here are about </w:t>
      </w:r>
      <w:r w:rsidR="002C151A" w:rsidRPr="00666B27">
        <w:rPr>
          <w:noProof/>
          <w:szCs w:val="20"/>
          <w:lang w:val="en-GB"/>
        </w:rPr>
        <w:t>660</w:t>
      </w:r>
      <w:r w:rsidRPr="00666B27">
        <w:rPr>
          <w:noProof/>
          <w:szCs w:val="20"/>
          <w:lang w:val="en-GB"/>
        </w:rPr>
        <w:t>,000 distribution transformers deployed on the electric grid around the country</w:t>
      </w:r>
      <w:bookmarkEnd w:id="21"/>
      <w:r w:rsidRPr="00666B27">
        <w:rPr>
          <w:noProof/>
          <w:szCs w:val="20"/>
          <w:lang w:val="en-GB"/>
        </w:rPr>
        <w:t>, operating around the clock. Taken together, lighting and distribution transformers a</w:t>
      </w:r>
      <w:r w:rsidR="0021154A" w:rsidRPr="00666B27">
        <w:rPr>
          <w:noProof/>
          <w:szCs w:val="20"/>
          <w:lang w:val="en-GB"/>
        </w:rPr>
        <w:t>c</w:t>
      </w:r>
      <w:r w:rsidRPr="00666B27">
        <w:rPr>
          <w:noProof/>
          <w:szCs w:val="20"/>
          <w:lang w:val="en-GB"/>
        </w:rPr>
        <w:t xml:space="preserve">counted for </w:t>
      </w:r>
      <w:r w:rsidR="00382CA0" w:rsidRPr="00666B27">
        <w:rPr>
          <w:noProof/>
          <w:szCs w:val="20"/>
          <w:lang w:val="en-GB"/>
        </w:rPr>
        <w:t>an estimated</w:t>
      </w:r>
      <w:r w:rsidRPr="00666B27">
        <w:rPr>
          <w:noProof/>
          <w:szCs w:val="20"/>
          <w:lang w:val="en-GB"/>
        </w:rPr>
        <w:t xml:space="preserve"> </w:t>
      </w:r>
      <w:r w:rsidR="00C2353C" w:rsidRPr="00666B27">
        <w:rPr>
          <w:noProof/>
          <w:szCs w:val="20"/>
          <w:lang w:val="en-GB"/>
        </w:rPr>
        <w:t>7</w:t>
      </w:r>
      <w:r w:rsidR="006D0578" w:rsidRPr="00666B27">
        <w:rPr>
          <w:noProof/>
          <w:szCs w:val="20"/>
          <w:lang w:val="en-GB"/>
        </w:rPr>
        <w:t>2</w:t>
      </w:r>
      <w:r w:rsidRPr="00666B27">
        <w:rPr>
          <w:noProof/>
          <w:szCs w:val="20"/>
          <w:lang w:val="en-GB"/>
        </w:rPr>
        <w:t xml:space="preserve"> TWh of electricity consumpt</w:t>
      </w:r>
      <w:r w:rsidR="008E495B" w:rsidRPr="00666B27">
        <w:rPr>
          <w:noProof/>
          <w:szCs w:val="20"/>
          <w:lang w:val="en-GB"/>
        </w:rPr>
        <w:t>ion in 2017, that is about 37</w:t>
      </w:r>
      <w:r w:rsidRPr="00666B27">
        <w:rPr>
          <w:noProof/>
          <w:szCs w:val="20"/>
          <w:lang w:val="en-GB"/>
        </w:rPr>
        <w:t>% of the nation’</w:t>
      </w:r>
      <w:r w:rsidR="008E495B" w:rsidRPr="00666B27">
        <w:rPr>
          <w:noProof/>
          <w:szCs w:val="20"/>
          <w:lang w:val="en-GB"/>
        </w:rPr>
        <w:t>s total</w:t>
      </w:r>
      <w:r w:rsidR="008E495B" w:rsidRPr="0057545E">
        <w:rPr>
          <w:rStyle w:val="FootnoteReference"/>
          <w:noProof/>
          <w:szCs w:val="20"/>
          <w:lang w:val="en-GB"/>
        </w:rPr>
        <w:footnoteReference w:id="2"/>
      </w:r>
      <w:r w:rsidR="00C2353C" w:rsidRPr="0057545E">
        <w:rPr>
          <w:noProof/>
          <w:szCs w:val="20"/>
          <w:lang w:val="en-GB"/>
        </w:rPr>
        <w:t xml:space="preserve"> and responsible for the emission of </w:t>
      </w:r>
      <w:r w:rsidR="006D0578" w:rsidRPr="0057545E">
        <w:rPr>
          <w:noProof/>
          <w:szCs w:val="20"/>
          <w:lang w:val="en-GB"/>
        </w:rPr>
        <w:t>67</w:t>
      </w:r>
      <w:r w:rsidR="00C2353C" w:rsidRPr="00353542">
        <w:rPr>
          <w:noProof/>
          <w:szCs w:val="20"/>
          <w:lang w:val="en-GB"/>
        </w:rPr>
        <w:t xml:space="preserve"> million tCO</w:t>
      </w:r>
      <w:r w:rsidR="00C2353C" w:rsidRPr="00353542">
        <w:rPr>
          <w:noProof/>
          <w:szCs w:val="20"/>
          <w:lang w:val="en-GB"/>
        </w:rPr>
        <w:softHyphen/>
      </w:r>
      <w:r w:rsidR="00C2353C" w:rsidRPr="003B7D62">
        <w:rPr>
          <w:noProof/>
          <w:szCs w:val="20"/>
          <w:vertAlign w:val="subscript"/>
          <w:lang w:val="en-GB"/>
        </w:rPr>
        <w:t>2.</w:t>
      </w:r>
      <w:r w:rsidR="00C2353C" w:rsidRPr="008E26A0">
        <w:rPr>
          <w:noProof/>
          <w:szCs w:val="20"/>
          <w:vertAlign w:val="subscript"/>
          <w:lang w:val="en-GB"/>
        </w:rPr>
        <w:t xml:space="preserve"> </w:t>
      </w:r>
    </w:p>
    <w:p w:rsidR="00D83235" w:rsidRPr="004722F0" w:rsidRDefault="00D83235" w:rsidP="000E5DEC">
      <w:pPr>
        <w:spacing w:after="0"/>
        <w:rPr>
          <w:rFonts w:cs="Segoe UI"/>
          <w:color w:val="000000"/>
          <w:szCs w:val="20"/>
          <w:u w:val="single"/>
          <w:lang w:val="en-GB"/>
        </w:rPr>
      </w:pPr>
    </w:p>
    <w:p w:rsidR="006D0578" w:rsidRPr="00666B27" w:rsidRDefault="00AE0AEC" w:rsidP="000E5DEC">
      <w:pPr>
        <w:spacing w:after="0"/>
        <w:rPr>
          <w:rFonts w:cs="Segoe UI"/>
          <w:color w:val="000000"/>
          <w:szCs w:val="20"/>
          <w:lang w:val="en-GB"/>
        </w:rPr>
      </w:pPr>
      <w:bookmarkStart w:id="22" w:name="_Hlk354956"/>
      <w:r w:rsidRPr="004722F0">
        <w:rPr>
          <w:rFonts w:cs="Segoe UI"/>
          <w:color w:val="000000"/>
          <w:szCs w:val="20"/>
          <w:lang w:val="en-GB"/>
        </w:rPr>
        <w:t xml:space="preserve">For a more detailed description of the South Africa electricity sector is referred to Annex E.1, while </w:t>
      </w:r>
      <w:r w:rsidR="0057545E" w:rsidRPr="00666B27">
        <w:rPr>
          <w:rFonts w:cs="Segoe UI"/>
          <w:color w:val="000000"/>
          <w:szCs w:val="20"/>
          <w:lang w:val="en-GB"/>
        </w:rPr>
        <w:t>a description</w:t>
      </w:r>
      <w:r w:rsidRPr="00666B27">
        <w:rPr>
          <w:rFonts w:cs="Segoe UI"/>
          <w:color w:val="000000"/>
          <w:szCs w:val="20"/>
          <w:lang w:val="en-GB"/>
        </w:rPr>
        <w:t xml:space="preserve"> of the status of lighting in South Africa is presented in Annex E.2, followed by a discussion on distribution transformers in Annex E.3.</w:t>
      </w:r>
    </w:p>
    <w:bookmarkEnd w:id="22"/>
    <w:p w:rsidR="006D0578" w:rsidRPr="00666B27" w:rsidRDefault="006D0578" w:rsidP="000E5DEC">
      <w:pPr>
        <w:spacing w:after="0"/>
        <w:rPr>
          <w:rFonts w:cs="Segoe UI"/>
          <w:color w:val="000000"/>
          <w:szCs w:val="20"/>
          <w:u w:val="single"/>
          <w:lang w:val="en-GB"/>
        </w:rPr>
      </w:pPr>
    </w:p>
    <w:p w:rsidR="006D0578" w:rsidRPr="00666B27" w:rsidRDefault="006D0578" w:rsidP="000E5DEC">
      <w:pPr>
        <w:spacing w:after="0"/>
        <w:rPr>
          <w:rFonts w:cs="Segoe UI"/>
          <w:color w:val="000000"/>
          <w:szCs w:val="20"/>
          <w:u w:val="single"/>
          <w:lang w:val="en-GB"/>
        </w:rPr>
      </w:pPr>
    </w:p>
    <w:p w:rsidR="000E5DEC" w:rsidRPr="00666B27" w:rsidRDefault="000E5DEC" w:rsidP="000E5DEC">
      <w:pPr>
        <w:spacing w:after="0"/>
        <w:rPr>
          <w:rFonts w:cs="Segoe UI"/>
          <w:color w:val="000000"/>
          <w:szCs w:val="20"/>
          <w:u w:val="single"/>
          <w:lang w:val="en-GB"/>
        </w:rPr>
      </w:pPr>
      <w:r w:rsidRPr="00666B27">
        <w:rPr>
          <w:rFonts w:cs="Segoe UI"/>
          <w:color w:val="000000"/>
          <w:szCs w:val="20"/>
          <w:u w:val="single"/>
          <w:lang w:val="en-GB"/>
        </w:rPr>
        <w:t>Alignment with national priorities</w:t>
      </w:r>
    </w:p>
    <w:p w:rsidR="002C052E" w:rsidRPr="00666B27" w:rsidRDefault="002C052E" w:rsidP="002C052E">
      <w:pPr>
        <w:spacing w:after="0"/>
        <w:rPr>
          <w:noProof/>
          <w:szCs w:val="20"/>
          <w:lang w:val="en-GB"/>
        </w:rPr>
      </w:pPr>
    </w:p>
    <w:p w:rsidR="00C57360" w:rsidRPr="008E26A0" w:rsidRDefault="00C57360" w:rsidP="00275338">
      <w:pPr>
        <w:spacing w:after="0"/>
        <w:rPr>
          <w:noProof/>
          <w:szCs w:val="20"/>
          <w:lang w:val="en-GB"/>
        </w:rPr>
      </w:pPr>
      <w:bookmarkStart w:id="23" w:name="_Hlk4672741"/>
      <w:bookmarkStart w:id="24" w:name="_Hlk4682325"/>
      <w:r w:rsidRPr="00666B27">
        <w:rPr>
          <w:noProof/>
          <w:szCs w:val="20"/>
          <w:lang w:val="en-GB"/>
        </w:rPr>
        <w:t xml:space="preserve">The overall framework for energy efficiency is present in the form of policy documents, such as the National Energy Efficiency Strategy of (2005, reviewed in 2008) and the </w:t>
      </w:r>
      <w:r w:rsidRPr="00666B27">
        <w:rPr>
          <w:b/>
          <w:noProof/>
          <w:szCs w:val="20"/>
          <w:lang w:val="en-GB"/>
        </w:rPr>
        <w:t>Post-2015 National Energy Efficiency Strategy</w:t>
      </w:r>
      <w:r w:rsidRPr="00666B27">
        <w:rPr>
          <w:noProof/>
          <w:szCs w:val="20"/>
          <w:lang w:val="en-GB"/>
        </w:rPr>
        <w:t xml:space="preserve"> (draft published in the Government Gazette in Dec 2016 for public comments, see Annex </w:t>
      </w:r>
      <w:r w:rsidR="00BD5171" w:rsidRPr="00666B27">
        <w:rPr>
          <w:noProof/>
          <w:szCs w:val="20"/>
          <w:lang w:val="en-GB"/>
        </w:rPr>
        <w:t>E</w:t>
      </w:r>
      <w:r w:rsidRPr="00666B27">
        <w:rPr>
          <w:noProof/>
          <w:szCs w:val="20"/>
          <w:lang w:val="en-GB"/>
        </w:rPr>
        <w:t>)</w:t>
      </w:r>
      <w:r w:rsidR="003929D6" w:rsidRPr="00666B27">
        <w:rPr>
          <w:noProof/>
          <w:szCs w:val="20"/>
          <w:lang w:val="en-GB"/>
        </w:rPr>
        <w:t>, which aims for energy efficiency improvement by 2030 of 1</w:t>
      </w:r>
      <w:r w:rsidR="008E26A0">
        <w:rPr>
          <w:noProof/>
          <w:szCs w:val="20"/>
          <w:lang w:val="en-GB"/>
        </w:rPr>
        <w:t>6</w:t>
      </w:r>
      <w:r w:rsidR="003929D6" w:rsidRPr="008E26A0">
        <w:rPr>
          <w:noProof/>
          <w:szCs w:val="20"/>
          <w:lang w:val="en-GB"/>
        </w:rPr>
        <w:t xml:space="preserve">% </w:t>
      </w:r>
      <w:r w:rsidR="008E26A0">
        <w:rPr>
          <w:noProof/>
          <w:szCs w:val="20"/>
          <w:lang w:val="en-GB"/>
        </w:rPr>
        <w:t xml:space="preserve">(using a baseline of 2015) </w:t>
      </w:r>
      <w:r w:rsidR="003929D6" w:rsidRPr="008E26A0">
        <w:rPr>
          <w:noProof/>
          <w:szCs w:val="20"/>
          <w:lang w:val="en-GB"/>
        </w:rPr>
        <w:t>to be achieved in a number of areas, buildings, appliance &amp; equipment, lighting, transport, industry, energy utilities.</w:t>
      </w:r>
    </w:p>
    <w:p w:rsidR="00275338" w:rsidRPr="004722F0" w:rsidRDefault="00275338" w:rsidP="00275338">
      <w:pPr>
        <w:spacing w:after="0"/>
        <w:rPr>
          <w:noProof/>
          <w:szCs w:val="20"/>
          <w:lang w:val="en-GB"/>
        </w:rPr>
      </w:pPr>
    </w:p>
    <w:p w:rsidR="003929D6" w:rsidRPr="008E26A0" w:rsidRDefault="003929D6" w:rsidP="00275338">
      <w:pPr>
        <w:spacing w:after="0"/>
        <w:rPr>
          <w:noProof/>
          <w:szCs w:val="20"/>
          <w:lang w:val="en-GB"/>
        </w:rPr>
      </w:pPr>
      <w:r w:rsidRPr="004722F0">
        <w:rPr>
          <w:noProof/>
          <w:szCs w:val="20"/>
          <w:lang w:val="en-GB"/>
        </w:rPr>
        <w:t xml:space="preserve">A number of </w:t>
      </w:r>
      <w:r w:rsidRPr="005431FB">
        <w:rPr>
          <w:b/>
          <w:noProof/>
          <w:szCs w:val="20"/>
          <w:lang w:val="en-GB"/>
        </w:rPr>
        <w:t>national standards</w:t>
      </w:r>
      <w:r w:rsidRPr="00666B27">
        <w:rPr>
          <w:noProof/>
          <w:szCs w:val="20"/>
          <w:lang w:val="en-GB"/>
        </w:rPr>
        <w:t xml:space="preserve"> are relevant to the Project. The standard </w:t>
      </w:r>
      <w:r w:rsidRPr="00666B27">
        <w:rPr>
          <w:i/>
          <w:noProof/>
          <w:szCs w:val="20"/>
          <w:lang w:val="en-GB"/>
        </w:rPr>
        <w:t>SANS 941</w:t>
      </w:r>
      <w:r w:rsidRPr="00666B27">
        <w:rPr>
          <w:noProof/>
          <w:szCs w:val="20"/>
          <w:lang w:val="en-GB"/>
        </w:rPr>
        <w:t xml:space="preserve"> on </w:t>
      </w:r>
      <w:r w:rsidRPr="00666B27">
        <w:rPr>
          <w:i/>
          <w:noProof/>
          <w:szCs w:val="20"/>
          <w:lang w:val="en-GB"/>
        </w:rPr>
        <w:t>Energy efficiency of electrical and electronic apparatus</w:t>
      </w:r>
      <w:r w:rsidRPr="00666B27">
        <w:rPr>
          <w:noProof/>
          <w:szCs w:val="20"/>
          <w:lang w:val="en-GB"/>
        </w:rPr>
        <w:t xml:space="preserve"> covers energy efficiency requirements, measurement methods and appropriate labelling of energy-efficient electrical and electronic apparatus.</w:t>
      </w:r>
      <w:r w:rsidRPr="00666B27">
        <w:rPr>
          <w:lang w:val="en-GB"/>
        </w:rPr>
        <w:t xml:space="preserve"> </w:t>
      </w:r>
      <w:r w:rsidRPr="00666B27">
        <w:rPr>
          <w:noProof/>
          <w:szCs w:val="20"/>
          <w:lang w:val="en-GB"/>
        </w:rPr>
        <w:t xml:space="preserve">The </w:t>
      </w:r>
      <w:r w:rsidRPr="00666B27">
        <w:rPr>
          <w:i/>
          <w:noProof/>
          <w:szCs w:val="20"/>
          <w:lang w:val="en-GB"/>
        </w:rPr>
        <w:t>Compulsory specification for energy efficiency and labelling of electrical and electronic apparatus</w:t>
      </w:r>
      <w:r w:rsidRPr="00666B27">
        <w:rPr>
          <w:noProof/>
          <w:szCs w:val="20"/>
          <w:lang w:val="en-GB"/>
        </w:rPr>
        <w:t xml:space="preserve"> (</w:t>
      </w:r>
      <w:r w:rsidRPr="00666B27">
        <w:rPr>
          <w:i/>
          <w:noProof/>
          <w:szCs w:val="20"/>
          <w:lang w:val="en-GB"/>
        </w:rPr>
        <w:t>VC 9008</w:t>
      </w:r>
      <w:r w:rsidRPr="00666B27">
        <w:rPr>
          <w:noProof/>
          <w:szCs w:val="20"/>
          <w:lang w:val="en-GB"/>
        </w:rPr>
        <w:t>) was enacted in 2014 and came into force in 2015, making the SANS 941 a compulsory standard. It requires that a range of electrical and electronic apparatus (dishwashers, washing machines, tumble dryers and/or washer-dryers, refrigerators and/or freezers, electric ovens, storage water heaters) adhere to certain minimum energy performance standards. It also requires that all appliances listed display the energy efficiency rating on the appliance.</w:t>
      </w:r>
      <w:r w:rsidRPr="00666B27">
        <w:rPr>
          <w:lang w:val="en-GB"/>
        </w:rPr>
        <w:t xml:space="preserve"> </w:t>
      </w:r>
      <w:r w:rsidRPr="00666B27">
        <w:rPr>
          <w:i/>
          <w:noProof/>
          <w:szCs w:val="20"/>
          <w:lang w:val="en-GB"/>
        </w:rPr>
        <w:t>SANS 1544</w:t>
      </w:r>
      <w:r w:rsidRPr="00666B27">
        <w:rPr>
          <w:noProof/>
          <w:szCs w:val="20"/>
          <w:lang w:val="en-GB"/>
        </w:rPr>
        <w:t xml:space="preserve">  </w:t>
      </w:r>
      <w:r w:rsidRPr="00666B27">
        <w:rPr>
          <w:i/>
          <w:noProof/>
          <w:szCs w:val="20"/>
          <w:lang w:val="en-GB"/>
        </w:rPr>
        <w:t xml:space="preserve">Energy performance certificates for buildings </w:t>
      </w:r>
      <w:r w:rsidRPr="00666B27">
        <w:rPr>
          <w:noProof/>
          <w:szCs w:val="20"/>
          <w:lang w:val="en-GB"/>
        </w:rPr>
        <w:t>specifies the methodology for calculating energy performance in existing buildings. It will initially be a voluntary standard but may become a mandatory standard through the NRCS regulation process</w:t>
      </w:r>
      <w:r w:rsidR="008E26A0">
        <w:rPr>
          <w:noProof/>
          <w:szCs w:val="20"/>
          <w:lang w:val="en-GB"/>
        </w:rPr>
        <w:t xml:space="preserve"> </w:t>
      </w:r>
      <w:r w:rsidR="008E26A0" w:rsidRPr="008E26A0">
        <w:rPr>
          <w:noProof/>
          <w:szCs w:val="20"/>
          <w:lang w:val="en-GB"/>
        </w:rPr>
        <w:t>(the regulations for the mandatory display of energy performance for buildings have been published).</w:t>
      </w:r>
      <w:r w:rsidR="008E26A0">
        <w:rPr>
          <w:noProof/>
          <w:szCs w:val="20"/>
          <w:lang w:val="en-GB"/>
        </w:rPr>
        <w:t xml:space="preserve"> </w:t>
      </w:r>
      <w:r w:rsidR="006E63DF" w:rsidRPr="008E26A0">
        <w:rPr>
          <w:noProof/>
          <w:szCs w:val="20"/>
          <w:lang w:val="en-GB"/>
        </w:rPr>
        <w:t>There are no energy performance standards on distribution transformers</w:t>
      </w:r>
      <w:r w:rsidR="00275338" w:rsidRPr="008E26A0">
        <w:rPr>
          <w:noProof/>
          <w:szCs w:val="20"/>
          <w:lang w:val="en-GB"/>
        </w:rPr>
        <w:t>.</w:t>
      </w:r>
    </w:p>
    <w:p w:rsidR="00275338" w:rsidRPr="004722F0" w:rsidRDefault="00275338" w:rsidP="00275338">
      <w:pPr>
        <w:spacing w:after="0"/>
        <w:rPr>
          <w:noProof/>
          <w:szCs w:val="20"/>
          <w:lang w:val="en-GB"/>
        </w:rPr>
      </w:pPr>
    </w:p>
    <w:p w:rsidR="00472DBE" w:rsidRPr="00666B27" w:rsidRDefault="00275338" w:rsidP="00275338">
      <w:pPr>
        <w:spacing w:after="0"/>
        <w:rPr>
          <w:noProof/>
          <w:szCs w:val="20"/>
          <w:lang w:val="en-GB"/>
        </w:rPr>
      </w:pPr>
      <w:r w:rsidRPr="004722F0">
        <w:rPr>
          <w:noProof/>
          <w:szCs w:val="20"/>
          <w:lang w:val="en-GB"/>
        </w:rPr>
        <w:t xml:space="preserve">The </w:t>
      </w:r>
      <w:r w:rsidRPr="005431FB">
        <w:rPr>
          <w:b/>
          <w:noProof/>
          <w:szCs w:val="20"/>
          <w:lang w:val="en-GB"/>
        </w:rPr>
        <w:t>National Environmental Management</w:t>
      </w:r>
      <w:r w:rsidRPr="00666B27">
        <w:rPr>
          <w:noProof/>
          <w:szCs w:val="20"/>
          <w:lang w:val="en-GB"/>
        </w:rPr>
        <w:t xml:space="preserve"> Waste Act (2008) has implications for e-waste management and makes it illegal for individuals or companies to send e-waste to landfills. DEA is considering to split the two categories, e-waste and lighting, and </w:t>
      </w:r>
      <w:r w:rsidR="00A468CC" w:rsidRPr="00666B27">
        <w:rPr>
          <w:noProof/>
          <w:szCs w:val="20"/>
          <w:lang w:val="en-GB"/>
        </w:rPr>
        <w:t xml:space="preserve">to </w:t>
      </w:r>
      <w:r w:rsidRPr="00666B27">
        <w:rPr>
          <w:noProof/>
          <w:szCs w:val="20"/>
          <w:lang w:val="en-GB"/>
        </w:rPr>
        <w:t>be dealt with separate waste management plans. In November 2011 the National Waste Management Strategy (NWMS) was established to achieve the objects of the Act.</w:t>
      </w:r>
    </w:p>
    <w:p w:rsidR="003929D6" w:rsidRPr="00666B27" w:rsidRDefault="003929D6" w:rsidP="00275338">
      <w:pPr>
        <w:spacing w:after="0"/>
        <w:rPr>
          <w:noProof/>
          <w:szCs w:val="20"/>
          <w:lang w:val="en-GB"/>
        </w:rPr>
      </w:pPr>
    </w:p>
    <w:p w:rsidR="00515195" w:rsidRPr="00666B27" w:rsidRDefault="00050A86" w:rsidP="00BA5C93">
      <w:pPr>
        <w:spacing w:after="0"/>
        <w:rPr>
          <w:noProof/>
          <w:szCs w:val="20"/>
          <w:lang w:val="en-GB"/>
        </w:rPr>
      </w:pPr>
      <w:r w:rsidRPr="00666B27">
        <w:rPr>
          <w:noProof/>
          <w:szCs w:val="20"/>
          <w:lang w:val="en-GB"/>
        </w:rPr>
        <w:t xml:space="preserve">The </w:t>
      </w:r>
      <w:r w:rsidRPr="00666B27">
        <w:rPr>
          <w:b/>
          <w:noProof/>
          <w:szCs w:val="20"/>
          <w:lang w:val="en-GB"/>
        </w:rPr>
        <w:t>National Development Plan (NDP)</w:t>
      </w:r>
      <w:r w:rsidRPr="00666B27">
        <w:rPr>
          <w:noProof/>
          <w:szCs w:val="20"/>
          <w:lang w:val="en-GB"/>
        </w:rPr>
        <w:t xml:space="preserve"> for South Africa provides a </w:t>
      </w:r>
      <w:r w:rsidR="0057545E" w:rsidRPr="00666B27">
        <w:rPr>
          <w:noProof/>
          <w:szCs w:val="20"/>
          <w:lang w:val="en-GB"/>
        </w:rPr>
        <w:t>“</w:t>
      </w:r>
      <w:r w:rsidRPr="00666B27">
        <w:rPr>
          <w:noProof/>
          <w:szCs w:val="20"/>
          <w:lang w:val="en-GB"/>
        </w:rPr>
        <w:t>2030 vision</w:t>
      </w:r>
      <w:r w:rsidR="0057545E" w:rsidRPr="00666B27">
        <w:rPr>
          <w:noProof/>
          <w:szCs w:val="20"/>
          <w:lang w:val="en-GB"/>
        </w:rPr>
        <w:t>”</w:t>
      </w:r>
      <w:r w:rsidRPr="00666B27">
        <w:rPr>
          <w:noProof/>
          <w:szCs w:val="20"/>
          <w:lang w:val="en-GB"/>
        </w:rPr>
        <w:t xml:space="preserve"> to guide the country‟s development trajectory such that poverty is eliminated and inequalities are reduced by 2030.</w:t>
      </w:r>
      <w:r w:rsidRPr="00666B27">
        <w:rPr>
          <w:lang w:val="en-GB"/>
        </w:rPr>
        <w:t xml:space="preserve"> </w:t>
      </w:r>
      <w:r w:rsidRPr="00666B27">
        <w:rPr>
          <w:noProof/>
          <w:szCs w:val="20"/>
          <w:lang w:val="en-GB"/>
        </w:rPr>
        <w:t>Furthermore, the NDP states that climate change is already having an impact on South Africa and recognises the need to ensure that society and the natural environment are protected from the adverse effects of climate change.</w:t>
      </w:r>
      <w:r w:rsidR="00275338" w:rsidRPr="00666B27">
        <w:rPr>
          <w:lang w:val="en-GB"/>
        </w:rPr>
        <w:t xml:space="preserve"> </w:t>
      </w:r>
      <w:r w:rsidR="00275338" w:rsidRPr="00666B27">
        <w:rPr>
          <w:noProof/>
          <w:szCs w:val="20"/>
          <w:lang w:val="en-GB"/>
        </w:rPr>
        <w:t>South Africa aims to put in place a mitigation system, to realise the opportunities of a low-carbon economy while being mindful that a just transition requires time and careful development.</w:t>
      </w:r>
      <w:r w:rsidR="00515195" w:rsidRPr="00666B27">
        <w:rPr>
          <w:noProof/>
          <w:szCs w:val="20"/>
          <w:lang w:val="en-GB"/>
        </w:rPr>
        <w:t xml:space="preserve"> </w:t>
      </w:r>
    </w:p>
    <w:p w:rsidR="00515195" w:rsidRPr="00666B27" w:rsidRDefault="00515195" w:rsidP="00BA5C93">
      <w:pPr>
        <w:spacing w:after="0"/>
        <w:rPr>
          <w:lang w:val="en-GB"/>
        </w:rPr>
      </w:pPr>
    </w:p>
    <w:p w:rsidR="00275338" w:rsidRPr="004722F0" w:rsidRDefault="00275338" w:rsidP="00BA5C93">
      <w:pPr>
        <w:spacing w:after="0"/>
        <w:rPr>
          <w:lang w:val="en-GB"/>
        </w:rPr>
      </w:pPr>
      <w:r w:rsidRPr="00666B27">
        <w:rPr>
          <w:lang w:val="en-GB"/>
        </w:rPr>
        <w:t xml:space="preserve">The </w:t>
      </w:r>
      <w:r w:rsidR="00BA5C93" w:rsidRPr="00666B27">
        <w:rPr>
          <w:lang w:val="en-GB"/>
        </w:rPr>
        <w:t xml:space="preserve">mitigation component of </w:t>
      </w:r>
      <w:r w:rsidR="008E26A0">
        <w:rPr>
          <w:lang w:val="en-GB"/>
        </w:rPr>
        <w:t>South Africa’s</w:t>
      </w:r>
      <w:r w:rsidR="00BA5C93" w:rsidRPr="008E26A0">
        <w:rPr>
          <w:lang w:val="en-GB"/>
        </w:rPr>
        <w:t xml:space="preserve"> </w:t>
      </w:r>
      <w:r w:rsidR="00BA5C93" w:rsidRPr="008E26A0">
        <w:rPr>
          <w:b/>
          <w:lang w:val="en-GB"/>
        </w:rPr>
        <w:t>Intended Nationally Determined Contributions (INDC)</w:t>
      </w:r>
      <w:r w:rsidR="00BA5C93" w:rsidRPr="008E26A0">
        <w:rPr>
          <w:lang w:val="en-GB"/>
        </w:rPr>
        <w:t xml:space="preserve"> envisages five-year periods of implementation at the national level for policy instruments under development, including a carbon tax, desired emission reduction outcomes for sectors, and company-level carbon budgets. The aspiration in the long-term is that total annual GHG emissions will be in the range of 212 to 428 </w:t>
      </w:r>
      <w:r w:rsidR="00A468CC" w:rsidRPr="008E26A0">
        <w:rPr>
          <w:lang w:val="en-GB"/>
        </w:rPr>
        <w:t>million tons of</w:t>
      </w:r>
      <w:r w:rsidR="00BA5C93" w:rsidRPr="008E26A0">
        <w:rPr>
          <w:lang w:val="en-GB"/>
        </w:rPr>
        <w:t xml:space="preserve"> CO</w:t>
      </w:r>
      <w:r w:rsidR="00BA5C93" w:rsidRPr="008E26A0">
        <w:rPr>
          <w:vertAlign w:val="subscript"/>
          <w:lang w:val="en-GB"/>
        </w:rPr>
        <w:t>2</w:t>
      </w:r>
      <w:r w:rsidR="00A468CC" w:rsidRPr="008E26A0">
        <w:rPr>
          <w:vertAlign w:val="subscript"/>
          <w:lang w:val="en-GB"/>
        </w:rPr>
        <w:t xml:space="preserve"> </w:t>
      </w:r>
      <w:r w:rsidR="00BA5C93" w:rsidRPr="008E26A0">
        <w:rPr>
          <w:lang w:val="en-GB"/>
        </w:rPr>
        <w:t xml:space="preserve">by 2050, having declined </w:t>
      </w:r>
      <w:r w:rsidR="00BA5C93" w:rsidRPr="004722F0">
        <w:rPr>
          <w:lang w:val="en-GB"/>
        </w:rPr>
        <w:t>in absolute terms from 2036 onwards.</w:t>
      </w:r>
      <w:bookmarkEnd w:id="23"/>
    </w:p>
    <w:bookmarkEnd w:id="24"/>
    <w:p w:rsidR="00275338" w:rsidRPr="005431FB" w:rsidRDefault="00275338" w:rsidP="00275338">
      <w:pPr>
        <w:spacing w:after="0"/>
        <w:rPr>
          <w:noProof/>
          <w:szCs w:val="20"/>
          <w:lang w:val="en-GB"/>
        </w:rPr>
      </w:pPr>
    </w:p>
    <w:p w:rsidR="00BA5C93" w:rsidRPr="00666B27" w:rsidRDefault="00BA5C93" w:rsidP="00BA5C93">
      <w:pPr>
        <w:spacing w:after="0"/>
        <w:jc w:val="left"/>
        <w:rPr>
          <w:u w:val="single"/>
          <w:lang w:val="en-GB"/>
        </w:rPr>
      </w:pPr>
      <w:r w:rsidRPr="00666B27">
        <w:rPr>
          <w:u w:val="single"/>
          <w:lang w:val="en-GB"/>
        </w:rPr>
        <w:t>Relevance to the SDGs</w:t>
      </w:r>
    </w:p>
    <w:p w:rsidR="00515195" w:rsidRPr="00666B27" w:rsidRDefault="00515195" w:rsidP="00BA5C93">
      <w:pPr>
        <w:spacing w:after="0"/>
        <w:jc w:val="left"/>
        <w:rPr>
          <w:lang w:val="en-GB"/>
        </w:rPr>
      </w:pPr>
    </w:p>
    <w:p w:rsidR="00D83235" w:rsidRPr="00666B27" w:rsidRDefault="00515195" w:rsidP="00A468CC">
      <w:pPr>
        <w:spacing w:after="0"/>
        <w:rPr>
          <w:noProof/>
          <w:szCs w:val="20"/>
          <w:lang w:val="en-GB"/>
        </w:rPr>
      </w:pPr>
      <w:r w:rsidRPr="00666B27">
        <w:rPr>
          <w:lang w:val="en-GB"/>
        </w:rPr>
        <w:t xml:space="preserve">The </w:t>
      </w:r>
      <w:r w:rsidRPr="00666B27">
        <w:rPr>
          <w:b/>
          <w:lang w:val="en-GB"/>
        </w:rPr>
        <w:t>National Sustainable Development Strategy</w:t>
      </w:r>
      <w:r w:rsidRPr="00666B27">
        <w:rPr>
          <w:lang w:val="en-GB"/>
        </w:rPr>
        <w:t xml:space="preserve"> has been integrated into the National Development Plan, which contributes to </w:t>
      </w:r>
      <w:r w:rsidRPr="00666B27">
        <w:rPr>
          <w:noProof/>
          <w:lang w:val="en-GB"/>
        </w:rPr>
        <w:t>global</w:t>
      </w:r>
      <w:r w:rsidRPr="00666B27">
        <w:rPr>
          <w:lang w:val="en-GB"/>
        </w:rPr>
        <w:t xml:space="preserve"> Sustainable Development Goals (SDGs). </w:t>
      </w:r>
      <w:r w:rsidR="00A468CC" w:rsidRPr="00666B27">
        <w:rPr>
          <w:lang w:val="en-GB"/>
        </w:rPr>
        <w:t>The ‘</w:t>
      </w:r>
      <w:r w:rsidRPr="00666B27">
        <w:rPr>
          <w:lang w:val="en-GB"/>
        </w:rPr>
        <w:t>transition towards a green economy</w:t>
      </w:r>
      <w:r w:rsidR="00A468CC" w:rsidRPr="00666B27">
        <w:rPr>
          <w:lang w:val="en-GB"/>
        </w:rPr>
        <w:t xml:space="preserve">’ </w:t>
      </w:r>
      <w:r w:rsidRPr="00666B27">
        <w:rPr>
          <w:lang w:val="en-GB"/>
        </w:rPr>
        <w:t>is one of the priority areas mentioned</w:t>
      </w:r>
      <w:r w:rsidR="00A468CC" w:rsidRPr="00666B27">
        <w:rPr>
          <w:lang w:val="en-GB"/>
        </w:rPr>
        <w:t>. More specifically this priority area includes “</w:t>
      </w:r>
      <w:r w:rsidRPr="00666B27">
        <w:rPr>
          <w:lang w:val="en-GB"/>
        </w:rPr>
        <w:t>economic growth and employment, while preventing environmental degradation and pollution</w:t>
      </w:r>
      <w:r w:rsidR="00A468CC" w:rsidRPr="00666B27">
        <w:rPr>
          <w:lang w:val="en-GB"/>
        </w:rPr>
        <w:t>”</w:t>
      </w:r>
      <w:r w:rsidRPr="00666B27">
        <w:rPr>
          <w:lang w:val="en-GB"/>
        </w:rPr>
        <w:t>, with ‘clean energy and energy efficiency’ as one of its focus areas.</w:t>
      </w:r>
      <w:r w:rsidR="00D83235" w:rsidRPr="00666B27">
        <w:rPr>
          <w:noProof/>
          <w:szCs w:val="20"/>
          <w:lang w:val="en-GB"/>
        </w:rPr>
        <w:t xml:space="preserve"> </w:t>
      </w:r>
    </w:p>
    <w:p w:rsidR="00D83235" w:rsidRPr="00666B27" w:rsidRDefault="00D83235" w:rsidP="00A468CC">
      <w:pPr>
        <w:spacing w:after="0"/>
        <w:rPr>
          <w:noProof/>
          <w:szCs w:val="20"/>
          <w:lang w:val="en-GB"/>
        </w:rPr>
      </w:pPr>
    </w:p>
    <w:p w:rsidR="00BA5C93" w:rsidRPr="0057545E" w:rsidRDefault="00D83235" w:rsidP="00A468CC">
      <w:pPr>
        <w:spacing w:after="0"/>
        <w:rPr>
          <w:lang w:val="en-GB"/>
        </w:rPr>
      </w:pPr>
      <w:r w:rsidRPr="00666B27">
        <w:rPr>
          <w:noProof/>
          <w:szCs w:val="20"/>
          <w:lang w:val="en-GB"/>
        </w:rPr>
        <w:t xml:space="preserve">The 17 </w:t>
      </w:r>
      <w:r w:rsidRPr="00666B27">
        <w:rPr>
          <w:b/>
          <w:noProof/>
          <w:szCs w:val="20"/>
          <w:lang w:val="en-GB"/>
        </w:rPr>
        <w:t>Sustainable Development Goals (SDGs</w:t>
      </w:r>
      <w:r w:rsidRPr="00666B27">
        <w:rPr>
          <w:noProof/>
          <w:szCs w:val="20"/>
          <w:lang w:val="en-GB"/>
        </w:rPr>
        <w:t>) were adopted in 2015 by the international community, including South Africa</w:t>
      </w:r>
      <w:r w:rsidR="00A468CC" w:rsidRPr="00666B27">
        <w:rPr>
          <w:noProof/>
          <w:szCs w:val="20"/>
          <w:lang w:val="en-GB"/>
        </w:rPr>
        <w:t xml:space="preserve">, </w:t>
      </w:r>
      <w:r w:rsidRPr="00666B27">
        <w:rPr>
          <w:noProof/>
          <w:szCs w:val="20"/>
          <w:lang w:val="en-GB"/>
        </w:rPr>
        <w:t xml:space="preserve">as part of the UN 2030 Agenda for Sustainable Development. </w:t>
      </w:r>
      <w:r w:rsidRPr="00666B27">
        <w:rPr>
          <w:i/>
          <w:noProof/>
          <w:szCs w:val="20"/>
          <w:lang w:val="en-GB"/>
        </w:rPr>
        <w:t xml:space="preserve">Goal 7 </w:t>
      </w:r>
      <w:r w:rsidRPr="00666B27">
        <w:rPr>
          <w:noProof/>
          <w:szCs w:val="20"/>
          <w:lang w:val="en-GB"/>
        </w:rPr>
        <w:t>specifically deals with sustainable energy and energy efficiency. It is also aligned with</w:t>
      </w:r>
      <w:r w:rsidRPr="00666B27">
        <w:rPr>
          <w:i/>
          <w:noProof/>
          <w:szCs w:val="20"/>
          <w:lang w:val="en-GB"/>
        </w:rPr>
        <w:t xml:space="preserve"> Goal 13</w:t>
      </w:r>
      <w:r w:rsidRPr="00666B27">
        <w:rPr>
          <w:noProof/>
          <w:szCs w:val="20"/>
          <w:lang w:val="en-GB"/>
        </w:rPr>
        <w:t xml:space="preserve"> on climate action and its targets of integrating climate change measures into national policies, strategies and planning, and of improving education, awareness-raising and human and institutional capacity on climate change mitigation. In addition, there are various indirect linkages of sustainable energy with some of </w:t>
      </w:r>
      <w:r w:rsidRPr="00666B27">
        <w:rPr>
          <w:noProof/>
          <w:szCs w:val="20"/>
          <w:lang w:val="en-GB"/>
        </w:rPr>
        <w:lastRenderedPageBreak/>
        <w:t xml:space="preserve">the other SDGs (number 8, 9, 11, and 12).  </w:t>
      </w:r>
      <w:r w:rsidRPr="0057545E">
        <w:rPr>
          <w:noProof/>
          <w:szCs w:val="20"/>
          <w:lang w:val="en-GB"/>
        </w:rPr>
        <w:fldChar w:fldCharType="begin"/>
      </w:r>
      <w:r w:rsidRPr="00666B27">
        <w:rPr>
          <w:noProof/>
          <w:szCs w:val="20"/>
          <w:lang w:val="en-GB"/>
        </w:rPr>
        <w:instrText xml:space="preserve"> REF _Ref526052438 \h </w:instrText>
      </w:r>
      <w:r w:rsidR="00A468CC" w:rsidRPr="00666B27">
        <w:rPr>
          <w:noProof/>
          <w:szCs w:val="20"/>
          <w:lang w:val="en-GB"/>
        </w:rPr>
        <w:instrText xml:space="preserve"> \* MERGEFORMAT </w:instrText>
      </w:r>
      <w:r w:rsidRPr="0057545E">
        <w:rPr>
          <w:noProof/>
          <w:szCs w:val="20"/>
          <w:lang w:val="en-GB"/>
        </w:rPr>
      </w:r>
      <w:r w:rsidRPr="0057545E">
        <w:rPr>
          <w:noProof/>
          <w:szCs w:val="20"/>
          <w:lang w:val="en-GB"/>
        </w:rPr>
        <w:fldChar w:fldCharType="separate"/>
      </w:r>
      <w:r w:rsidR="00BB1E93" w:rsidRPr="00BB1E93">
        <w:rPr>
          <w:rFonts w:ascii="Arial" w:hAnsi="Arial" w:cs="Arial"/>
          <w:color w:val="2E74B5"/>
          <w:sz w:val="18"/>
          <w:lang w:val="en-GB"/>
        </w:rPr>
        <w:t xml:space="preserve">Box </w:t>
      </w:r>
      <w:r w:rsidR="00BB1E93" w:rsidRPr="00BB1E93">
        <w:rPr>
          <w:rFonts w:ascii="Arial" w:hAnsi="Arial" w:cs="Arial"/>
          <w:noProof/>
          <w:color w:val="2E74B5"/>
          <w:sz w:val="18"/>
          <w:lang w:val="en-GB"/>
        </w:rPr>
        <w:t>2</w:t>
      </w:r>
      <w:r w:rsidRPr="0057545E">
        <w:rPr>
          <w:noProof/>
          <w:szCs w:val="20"/>
          <w:lang w:val="en-GB"/>
        </w:rPr>
        <w:fldChar w:fldCharType="end"/>
      </w:r>
      <w:r w:rsidRPr="0057545E">
        <w:rPr>
          <w:noProof/>
          <w:szCs w:val="20"/>
          <w:lang w:val="en-GB"/>
        </w:rPr>
        <w:t xml:space="preserve"> shows the relevant SDGs and how these are linked with energy-relevant low-carbon development</w:t>
      </w:r>
    </w:p>
    <w:p w:rsidR="008E26A0" w:rsidRDefault="008E26A0" w:rsidP="009904A7">
      <w:pPr>
        <w:spacing w:after="0"/>
        <w:rPr>
          <w:rFonts w:cs="Segoe UI"/>
          <w:color w:val="000000"/>
          <w:szCs w:val="20"/>
          <w:u w:val="single"/>
          <w:lang w:val="en-GB"/>
        </w:rPr>
      </w:pPr>
    </w:p>
    <w:p w:rsidR="009904A7" w:rsidRPr="0057545E" w:rsidRDefault="003A2690" w:rsidP="009904A7">
      <w:pPr>
        <w:spacing w:after="0"/>
        <w:rPr>
          <w:rFonts w:cs="Segoe UI"/>
          <w:color w:val="000000"/>
          <w:szCs w:val="20"/>
          <w:u w:val="single"/>
          <w:lang w:val="en-GB"/>
        </w:rPr>
      </w:pPr>
      <w:r>
        <w:rPr>
          <w:noProof/>
        </w:rPr>
        <mc:AlternateContent>
          <mc:Choice Requires="wps">
            <w:drawing>
              <wp:anchor distT="71755" distB="144145" distL="144145" distR="144145" simplePos="0" relativeHeight="251654144" behindDoc="0" locked="0" layoutInCell="1" allowOverlap="1">
                <wp:simplePos x="0" y="0"/>
                <wp:positionH relativeFrom="margin">
                  <wp:posOffset>-22860</wp:posOffset>
                </wp:positionH>
                <wp:positionV relativeFrom="margin">
                  <wp:posOffset>92075</wp:posOffset>
                </wp:positionV>
                <wp:extent cx="6324600" cy="3698240"/>
                <wp:effectExtent l="0" t="0" r="0" b="0"/>
                <wp:wrapSquare wrapText="bothSides"/>
                <wp:docPr id="8341"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4600" cy="3698240"/>
                        </a:xfrm>
                        <a:prstGeom prst="rect">
                          <a:avLst/>
                        </a:prstGeom>
                        <a:solidFill>
                          <a:srgbClr val="FFF2CC"/>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40FEA" w:rsidRDefault="00540FEA" w:rsidP="00BA5C93">
                            <w:pPr>
                              <w:pStyle w:val="Caption"/>
                              <w:ind w:left="709" w:hanging="709"/>
                              <w:rPr>
                                <w:rFonts w:ascii="Arial" w:hAnsi="Arial" w:cs="Arial"/>
                                <w:color w:val="2E74B5"/>
                                <w:sz w:val="18"/>
                              </w:rPr>
                            </w:pPr>
                            <w:bookmarkStart w:id="25" w:name="_Ref526052438"/>
                            <w:bookmarkStart w:id="26" w:name="_Toc527385717"/>
                            <w:bookmarkStart w:id="27" w:name="_Toc535354709"/>
                            <w:bookmarkStart w:id="28" w:name="_Toc1798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w:t>
                            </w:r>
                            <w:r w:rsidRPr="00A21E05">
                              <w:rPr>
                                <w:rFonts w:ascii="Arial" w:hAnsi="Arial" w:cs="Arial"/>
                                <w:color w:val="2E74B5"/>
                                <w:sz w:val="18"/>
                              </w:rPr>
                              <w:fldChar w:fldCharType="end"/>
                            </w:r>
                            <w:bookmarkEnd w:id="25"/>
                            <w:r>
                              <w:rPr>
                                <w:rFonts w:ascii="Arial" w:hAnsi="Arial" w:cs="Arial"/>
                                <w:color w:val="2E74B5"/>
                                <w:sz w:val="18"/>
                              </w:rPr>
                              <w:tab/>
                            </w:r>
                            <w:bookmarkEnd w:id="26"/>
                            <w:r>
                              <w:rPr>
                                <w:rFonts w:ascii="Arial" w:hAnsi="Arial" w:cs="Arial"/>
                                <w:color w:val="2E74B5"/>
                                <w:sz w:val="18"/>
                              </w:rPr>
                              <w:t>Linkages of energy with the SDGs</w:t>
                            </w:r>
                            <w:bookmarkEnd w:id="27"/>
                            <w:bookmarkEnd w:id="28"/>
                          </w:p>
                          <w:p w:rsidR="00540FEA" w:rsidRPr="0095594B" w:rsidRDefault="00540FEA" w:rsidP="00BA5C9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6096"/>
                            </w:tblGrid>
                            <w:tr w:rsidR="00540FEA" w:rsidRPr="00A468CC" w:rsidTr="00F737AD">
                              <w:tc>
                                <w:tcPr>
                                  <w:tcW w:w="3397" w:type="dxa"/>
                                  <w:shd w:val="clear" w:color="auto" w:fill="auto"/>
                                </w:tcPr>
                                <w:p w:rsidR="00540FEA" w:rsidRPr="00F737AD" w:rsidRDefault="00540FEA" w:rsidP="00F737AD">
                                  <w:pPr>
                                    <w:tabs>
                                      <w:tab w:val="left" w:pos="873"/>
                                    </w:tabs>
                                    <w:spacing w:after="0"/>
                                    <w:ind w:left="306" w:hanging="306"/>
                                    <w:jc w:val="left"/>
                                    <w:rPr>
                                      <w:rFonts w:eastAsia="Calibri"/>
                                      <w:b/>
                                      <w:sz w:val="17"/>
                                      <w:szCs w:val="17"/>
                                      <w:lang w:val="en-GB"/>
                                    </w:rPr>
                                  </w:pPr>
                                  <w:r w:rsidRPr="00F737AD">
                                    <w:rPr>
                                      <w:rFonts w:eastAsia="Calibri"/>
                                      <w:b/>
                                      <w:sz w:val="17"/>
                                      <w:szCs w:val="17"/>
                                      <w:lang w:val="en-GB"/>
                                    </w:rPr>
                                    <w:t>Sustainable Development Goals</w:t>
                                  </w:r>
                                </w:p>
                              </w:tc>
                              <w:tc>
                                <w:tcPr>
                                  <w:tcW w:w="6096" w:type="dxa"/>
                                  <w:shd w:val="clear" w:color="auto" w:fill="auto"/>
                                </w:tcPr>
                                <w:p w:rsidR="00540FEA" w:rsidRPr="00F737AD" w:rsidRDefault="00540FEA" w:rsidP="00F737AD">
                                  <w:pPr>
                                    <w:spacing w:after="0"/>
                                    <w:rPr>
                                      <w:rFonts w:eastAsia="Calibri"/>
                                      <w:b/>
                                      <w:sz w:val="17"/>
                                      <w:szCs w:val="17"/>
                                      <w:lang w:val="en-GB"/>
                                    </w:rPr>
                                  </w:pPr>
                                  <w:r w:rsidRPr="00F737AD">
                                    <w:rPr>
                                      <w:rFonts w:eastAsia="Calibri"/>
                                      <w:b/>
                                      <w:sz w:val="17"/>
                                      <w:szCs w:val="17"/>
                                      <w:lang w:val="en-GB"/>
                                    </w:rPr>
                                    <w:t>Linkage with energy efficiency</w:t>
                                  </w:r>
                                </w:p>
                              </w:tc>
                            </w:tr>
                            <w:tr w:rsidR="00540FEA" w:rsidRPr="00A468CC" w:rsidTr="00F737AD">
                              <w:tc>
                                <w:tcPr>
                                  <w:tcW w:w="9493" w:type="dxa"/>
                                  <w:gridSpan w:val="2"/>
                                  <w:shd w:val="clear" w:color="auto" w:fill="auto"/>
                                </w:tcPr>
                                <w:p w:rsidR="00540FEA" w:rsidRPr="00F737AD" w:rsidRDefault="00540FEA" w:rsidP="00F737AD">
                                  <w:pPr>
                                    <w:spacing w:after="0"/>
                                    <w:jc w:val="left"/>
                                    <w:rPr>
                                      <w:rFonts w:eastAsia="Calibri"/>
                                      <w:i/>
                                      <w:sz w:val="17"/>
                                      <w:szCs w:val="17"/>
                                      <w:lang w:val="en-GB"/>
                                    </w:rPr>
                                  </w:pPr>
                                  <w:r w:rsidRPr="00F737AD">
                                    <w:rPr>
                                      <w:rFonts w:eastAsia="Calibri"/>
                                      <w:i/>
                                      <w:sz w:val="17"/>
                                      <w:szCs w:val="17"/>
                                      <w:lang w:val="en-GB"/>
                                    </w:rPr>
                                    <w:t>Sustainable energy</w:t>
                                  </w:r>
                                </w:p>
                              </w:tc>
                            </w:tr>
                            <w:tr w:rsidR="00540FEA" w:rsidRPr="00A468CC" w:rsidTr="00F737AD">
                              <w:tc>
                                <w:tcPr>
                                  <w:tcW w:w="3397" w:type="dxa"/>
                                  <w:shd w:val="clear" w:color="auto" w:fill="auto"/>
                                </w:tcPr>
                                <w:p w:rsidR="00540FEA" w:rsidRPr="00F737AD" w:rsidRDefault="00540FEA" w:rsidP="00F737AD">
                                  <w:pPr>
                                    <w:tabs>
                                      <w:tab w:val="left" w:pos="306"/>
                                    </w:tabs>
                                    <w:spacing w:after="0"/>
                                    <w:ind w:left="306" w:hanging="306"/>
                                    <w:jc w:val="left"/>
                                    <w:rPr>
                                      <w:rFonts w:eastAsia="Calibri"/>
                                      <w:sz w:val="17"/>
                                      <w:szCs w:val="17"/>
                                      <w:lang w:val="en-GB"/>
                                    </w:rPr>
                                  </w:pPr>
                                  <w:r w:rsidRPr="00F737AD">
                                    <w:rPr>
                                      <w:rFonts w:eastAsia="Calibri"/>
                                      <w:sz w:val="17"/>
                                      <w:szCs w:val="17"/>
                                      <w:lang w:val="en-GB"/>
                                    </w:rPr>
                                    <w:t>7.2 Increase substantially the share of renewable energy in the global energy mix</w:t>
                                  </w:r>
                                </w:p>
                                <w:p w:rsidR="00540FEA" w:rsidRPr="00F737AD" w:rsidRDefault="00540FEA" w:rsidP="00F737AD">
                                  <w:pPr>
                                    <w:tabs>
                                      <w:tab w:val="left" w:pos="306"/>
                                    </w:tabs>
                                    <w:spacing w:after="0"/>
                                    <w:ind w:left="306" w:hanging="306"/>
                                    <w:jc w:val="left"/>
                                    <w:rPr>
                                      <w:rFonts w:eastAsia="Calibri"/>
                                      <w:sz w:val="17"/>
                                      <w:szCs w:val="17"/>
                                      <w:lang w:val="en-GB"/>
                                    </w:rPr>
                                  </w:pPr>
                                  <w:r w:rsidRPr="00F737AD">
                                    <w:rPr>
                                      <w:rFonts w:eastAsia="Calibri"/>
                                      <w:sz w:val="17"/>
                                      <w:szCs w:val="17"/>
                                      <w:lang w:val="en-GB"/>
                                    </w:rPr>
                                    <w:t>7.3</w:t>
                                  </w:r>
                                  <w:r w:rsidRPr="00F737AD">
                                    <w:rPr>
                                      <w:rFonts w:eastAsia="Calibri"/>
                                      <w:sz w:val="17"/>
                                      <w:szCs w:val="17"/>
                                      <w:lang w:val="en-GB"/>
                                    </w:rPr>
                                    <w:tab/>
                                    <w:t>Double the global rate of improvement in energy efficiency</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7a. 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7b. Expand infrastructure and upgrade technology for supplying modern and sustainable energy services for all in developing countries</w:t>
                                  </w:r>
                                </w:p>
                              </w:tc>
                            </w:tr>
                            <w:tr w:rsidR="00540FEA" w:rsidRPr="00A468CC" w:rsidTr="00F737AD">
                              <w:tc>
                                <w:tcPr>
                                  <w:tcW w:w="3397" w:type="dxa"/>
                                  <w:shd w:val="clear" w:color="auto" w:fill="auto"/>
                                </w:tcPr>
                                <w:p w:rsidR="00540FEA" w:rsidRPr="00F737AD" w:rsidRDefault="00540FEA" w:rsidP="00F737AD">
                                  <w:pPr>
                                    <w:tabs>
                                      <w:tab w:val="left" w:pos="306"/>
                                    </w:tabs>
                                    <w:spacing w:after="0"/>
                                    <w:ind w:left="306" w:hanging="306"/>
                                    <w:jc w:val="left"/>
                                    <w:rPr>
                                      <w:rFonts w:eastAsia="Calibri"/>
                                      <w:i/>
                                      <w:sz w:val="17"/>
                                      <w:szCs w:val="17"/>
                                      <w:lang w:val="en-GB"/>
                                    </w:rPr>
                                  </w:pPr>
                                  <w:r w:rsidRPr="00F737AD">
                                    <w:rPr>
                                      <w:rFonts w:eastAsia="Calibri"/>
                                      <w:i/>
                                      <w:sz w:val="17"/>
                                      <w:szCs w:val="17"/>
                                      <w:lang w:val="en-GB"/>
                                    </w:rPr>
                                    <w:t>Other SDGs:</w:t>
                                  </w:r>
                                </w:p>
                              </w:tc>
                              <w:tc>
                                <w:tcPr>
                                  <w:tcW w:w="6096" w:type="dxa"/>
                                  <w:shd w:val="clear" w:color="auto" w:fill="auto"/>
                                </w:tcPr>
                                <w:p w:rsidR="00540FEA" w:rsidRPr="00F737AD" w:rsidRDefault="00540FEA" w:rsidP="00F737AD">
                                  <w:pPr>
                                    <w:spacing w:after="0"/>
                                    <w:jc w:val="left"/>
                                    <w:rPr>
                                      <w:rFonts w:eastAsia="Calibri"/>
                                      <w:sz w:val="17"/>
                                      <w:szCs w:val="17"/>
                                      <w:lang w:val="en-GB"/>
                                    </w:rPr>
                                  </w:pP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 xml:space="preserve">8. </w:t>
                                  </w:r>
                                  <w:r w:rsidRPr="00F737AD">
                                    <w:rPr>
                                      <w:rFonts w:eastAsia="Calibri"/>
                                      <w:sz w:val="17"/>
                                      <w:szCs w:val="17"/>
                                      <w:lang w:val="en-GB"/>
                                    </w:rPr>
                                    <w:tab/>
                                    <w:t>Promote sustained, inclusive and sustainable economic growth, full and productive employment and decent work for all</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 xml:space="preserve">Energy efficiency and conservation influence the country’s energy intensity and carbon content of economic growth </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9.</w:t>
                                  </w:r>
                                  <w:r w:rsidRPr="00F737AD">
                                    <w:rPr>
                                      <w:rFonts w:eastAsia="Calibri"/>
                                      <w:sz w:val="17"/>
                                      <w:szCs w:val="17"/>
                                      <w:lang w:val="en-GB"/>
                                    </w:rPr>
                                    <w:tab/>
                                    <w:t>Build resilient infrastructure, promote inclusive and sustainable industrialization and foster innovation</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Resilient infrastructure and public-private partnerships are required to ensure access to energy for all and to maximise energy efficiency</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11. Make cities and human settlements inclusive, safe, resilient and sustainable</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Municipalities require careful electricity planning and efficient power distribution</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12. Ensure sustainable consumption and production patterns</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The residential and buildings sector is a key part of a future in which there is sustainable consumption of energy and products</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13. Take urgent action to combat climate change and its impacts</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The carbon-intensive energy sector (based on fossil fuels) is a key driver of climate change.</w:t>
                                  </w:r>
                                </w:p>
                              </w:tc>
                            </w:tr>
                          </w:tbl>
                          <w:p w:rsidR="00540FEA" w:rsidRPr="00A468CC" w:rsidRDefault="00540FEA" w:rsidP="00BA5C93">
                            <w:pPr>
                              <w:spacing w:before="60"/>
                              <w:rPr>
                                <w:i/>
                                <w:sz w:val="17"/>
                                <w:szCs w:val="17"/>
                                <w:lang w:val="en-GB"/>
                              </w:rPr>
                            </w:pPr>
                            <w:r w:rsidRPr="00A468CC">
                              <w:rPr>
                                <w:sz w:val="17"/>
                                <w:szCs w:val="17"/>
                                <w:lang w:val="en-GB"/>
                              </w:rPr>
                              <w:t xml:space="preserve">Compiled from </w:t>
                            </w:r>
                            <w:r w:rsidRPr="00A468CC">
                              <w:rPr>
                                <w:i/>
                                <w:sz w:val="17"/>
                                <w:szCs w:val="17"/>
                                <w:lang w:val="en-GB"/>
                              </w:rPr>
                              <w:t xml:space="preserve">Transforming our World: the 2030 Agenda for Sustainable Development </w:t>
                            </w:r>
                            <w:r w:rsidRPr="00A468CC">
                              <w:rPr>
                                <w:sz w:val="17"/>
                                <w:szCs w:val="17"/>
                                <w:lang w:val="en-GB"/>
                              </w:rPr>
                              <w:t xml:space="preserve">(UN, 2015), </w:t>
                            </w:r>
                            <w:r w:rsidRPr="00A468CC">
                              <w:rPr>
                                <w:i/>
                                <w:sz w:val="17"/>
                                <w:szCs w:val="17"/>
                                <w:lang w:val="en-GB"/>
                              </w:rPr>
                              <w:t>Indicators and a Monitoring Framework for the Sustainable Development</w:t>
                            </w:r>
                            <w:r w:rsidRPr="00A468CC">
                              <w:rPr>
                                <w:sz w:val="17"/>
                                <w:szCs w:val="17"/>
                                <w:lang w:val="en-GB"/>
                              </w:rPr>
                              <w:t xml:space="preserve"> Goals, Sustainable Development Solutions Network (SDSN)</w:t>
                            </w:r>
                          </w:p>
                          <w:p w:rsidR="00540FEA" w:rsidRDefault="00540FEA" w:rsidP="00BA5C93">
                            <w:pPr>
                              <w:spacing w:after="0"/>
                              <w:rPr>
                                <w:noProof/>
                              </w:rPr>
                            </w:pPr>
                          </w:p>
                          <w:p w:rsidR="00540FEA" w:rsidRPr="005030B0" w:rsidRDefault="00540FEA" w:rsidP="00BA5C93">
                            <w:pPr>
                              <w:spacing w:after="0"/>
                              <w:rPr>
                                <w:noProof/>
                                <w:sz w:val="18"/>
                              </w:rPr>
                            </w:pPr>
                            <w:r>
                              <w:rPr>
                                <w:noProof/>
                              </w:rPr>
                              <w:t xml:space="preserve">      </w:t>
                            </w:r>
                          </w:p>
                          <w:p w:rsidR="00540FEA" w:rsidRPr="005030B0" w:rsidRDefault="00540FEA" w:rsidP="00BA5C93">
                            <w:pPr>
                              <w:spacing w:after="0"/>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31" o:spid="_x0000_s1026" type="#_x0000_t202" style="position:absolute;left:0;text-align:left;margin-left:-1.8pt;margin-top:7.25pt;width:498pt;height:291.2pt;z-index:251654144;visibility:visible;mso-wrap-style:square;mso-width-percent:0;mso-height-percent:0;mso-wrap-distance-left:11.35pt;mso-wrap-distance-top:5.65pt;mso-wrap-distance-right:11.35pt;mso-wrap-distance-bottom:11.3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" fillcolor="#fff2cc" stroked="f">
                <v:textbox>
                  <w:txbxContent>
                    <w:p w:rsidR="00540FEA" w:rsidRDefault="00540FEA" w:rsidP="00BA5C93">
                      <w:pPr>
                        <w:pStyle w:val="Caption"/>
                        <w:ind w:left="709" w:hanging="709"/>
                        <w:rPr>
                          <w:rFonts w:ascii="Arial" w:hAnsi="Arial" w:cs="Arial"/>
                          <w:color w:val="2E74B5"/>
                          <w:sz w:val="18"/>
                        </w:rPr>
                      </w:pPr>
                      <w:bookmarkStart w:id="29" w:name="_Ref526052438"/>
                      <w:bookmarkStart w:id="30" w:name="_Toc527385717"/>
                      <w:bookmarkStart w:id="31" w:name="_Toc535354709"/>
                      <w:bookmarkStart w:id="32" w:name="_Toc17982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w:t>
                      </w:r>
                      <w:r w:rsidRPr="00A21E05">
                        <w:rPr>
                          <w:rFonts w:ascii="Arial" w:hAnsi="Arial" w:cs="Arial"/>
                          <w:color w:val="2E74B5"/>
                          <w:sz w:val="18"/>
                        </w:rPr>
                        <w:fldChar w:fldCharType="end"/>
                      </w:r>
                      <w:bookmarkEnd w:id="29"/>
                      <w:r>
                        <w:rPr>
                          <w:rFonts w:ascii="Arial" w:hAnsi="Arial" w:cs="Arial"/>
                          <w:color w:val="2E74B5"/>
                          <w:sz w:val="18"/>
                        </w:rPr>
                        <w:tab/>
                      </w:r>
                      <w:bookmarkEnd w:id="30"/>
                      <w:r>
                        <w:rPr>
                          <w:rFonts w:ascii="Arial" w:hAnsi="Arial" w:cs="Arial"/>
                          <w:color w:val="2E74B5"/>
                          <w:sz w:val="18"/>
                        </w:rPr>
                        <w:t>Linkages of energy with the SDGs</w:t>
                      </w:r>
                      <w:bookmarkEnd w:id="31"/>
                      <w:bookmarkEnd w:id="32"/>
                    </w:p>
                    <w:p w:rsidR="00540FEA" w:rsidRPr="0095594B" w:rsidRDefault="00540FEA" w:rsidP="00BA5C9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6096"/>
                      </w:tblGrid>
                      <w:tr w:rsidR="00540FEA" w:rsidRPr="00A468CC" w:rsidTr="00F737AD">
                        <w:tc>
                          <w:tcPr>
                            <w:tcW w:w="3397" w:type="dxa"/>
                            <w:shd w:val="clear" w:color="auto" w:fill="auto"/>
                          </w:tcPr>
                          <w:p w:rsidR="00540FEA" w:rsidRPr="00F737AD" w:rsidRDefault="00540FEA" w:rsidP="00F737AD">
                            <w:pPr>
                              <w:tabs>
                                <w:tab w:val="left" w:pos="873"/>
                              </w:tabs>
                              <w:spacing w:after="0"/>
                              <w:ind w:left="306" w:hanging="306"/>
                              <w:jc w:val="left"/>
                              <w:rPr>
                                <w:rFonts w:eastAsia="Calibri"/>
                                <w:b/>
                                <w:sz w:val="17"/>
                                <w:szCs w:val="17"/>
                                <w:lang w:val="en-GB"/>
                              </w:rPr>
                            </w:pPr>
                            <w:r w:rsidRPr="00F737AD">
                              <w:rPr>
                                <w:rFonts w:eastAsia="Calibri"/>
                                <w:b/>
                                <w:sz w:val="17"/>
                                <w:szCs w:val="17"/>
                                <w:lang w:val="en-GB"/>
                              </w:rPr>
                              <w:t>Sustainable Development Goals</w:t>
                            </w:r>
                          </w:p>
                        </w:tc>
                        <w:tc>
                          <w:tcPr>
                            <w:tcW w:w="6096" w:type="dxa"/>
                            <w:shd w:val="clear" w:color="auto" w:fill="auto"/>
                          </w:tcPr>
                          <w:p w:rsidR="00540FEA" w:rsidRPr="00F737AD" w:rsidRDefault="00540FEA" w:rsidP="00F737AD">
                            <w:pPr>
                              <w:spacing w:after="0"/>
                              <w:rPr>
                                <w:rFonts w:eastAsia="Calibri"/>
                                <w:b/>
                                <w:sz w:val="17"/>
                                <w:szCs w:val="17"/>
                                <w:lang w:val="en-GB"/>
                              </w:rPr>
                            </w:pPr>
                            <w:r w:rsidRPr="00F737AD">
                              <w:rPr>
                                <w:rFonts w:eastAsia="Calibri"/>
                                <w:b/>
                                <w:sz w:val="17"/>
                                <w:szCs w:val="17"/>
                                <w:lang w:val="en-GB"/>
                              </w:rPr>
                              <w:t>Linkage with energy efficiency</w:t>
                            </w:r>
                          </w:p>
                        </w:tc>
                      </w:tr>
                      <w:tr w:rsidR="00540FEA" w:rsidRPr="00A468CC" w:rsidTr="00F737AD">
                        <w:tc>
                          <w:tcPr>
                            <w:tcW w:w="9493" w:type="dxa"/>
                            <w:gridSpan w:val="2"/>
                            <w:shd w:val="clear" w:color="auto" w:fill="auto"/>
                          </w:tcPr>
                          <w:p w:rsidR="00540FEA" w:rsidRPr="00F737AD" w:rsidRDefault="00540FEA" w:rsidP="00F737AD">
                            <w:pPr>
                              <w:spacing w:after="0"/>
                              <w:jc w:val="left"/>
                              <w:rPr>
                                <w:rFonts w:eastAsia="Calibri"/>
                                <w:i/>
                                <w:sz w:val="17"/>
                                <w:szCs w:val="17"/>
                                <w:lang w:val="en-GB"/>
                              </w:rPr>
                            </w:pPr>
                            <w:r w:rsidRPr="00F737AD">
                              <w:rPr>
                                <w:rFonts w:eastAsia="Calibri"/>
                                <w:i/>
                                <w:sz w:val="17"/>
                                <w:szCs w:val="17"/>
                                <w:lang w:val="en-GB"/>
                              </w:rPr>
                              <w:t>Sustainable energy</w:t>
                            </w:r>
                          </w:p>
                        </w:tc>
                      </w:tr>
                      <w:tr w:rsidR="00540FEA" w:rsidRPr="00A468CC" w:rsidTr="00F737AD">
                        <w:tc>
                          <w:tcPr>
                            <w:tcW w:w="3397" w:type="dxa"/>
                            <w:shd w:val="clear" w:color="auto" w:fill="auto"/>
                          </w:tcPr>
                          <w:p w:rsidR="00540FEA" w:rsidRPr="00F737AD" w:rsidRDefault="00540FEA" w:rsidP="00F737AD">
                            <w:pPr>
                              <w:tabs>
                                <w:tab w:val="left" w:pos="306"/>
                              </w:tabs>
                              <w:spacing w:after="0"/>
                              <w:ind w:left="306" w:hanging="306"/>
                              <w:jc w:val="left"/>
                              <w:rPr>
                                <w:rFonts w:eastAsia="Calibri"/>
                                <w:sz w:val="17"/>
                                <w:szCs w:val="17"/>
                                <w:lang w:val="en-GB"/>
                              </w:rPr>
                            </w:pPr>
                            <w:r w:rsidRPr="00F737AD">
                              <w:rPr>
                                <w:rFonts w:eastAsia="Calibri"/>
                                <w:sz w:val="17"/>
                                <w:szCs w:val="17"/>
                                <w:lang w:val="en-GB"/>
                              </w:rPr>
                              <w:t>7.2 Increase substantially the share of renewable energy in the global energy mix</w:t>
                            </w:r>
                          </w:p>
                          <w:p w:rsidR="00540FEA" w:rsidRPr="00F737AD" w:rsidRDefault="00540FEA" w:rsidP="00F737AD">
                            <w:pPr>
                              <w:tabs>
                                <w:tab w:val="left" w:pos="306"/>
                              </w:tabs>
                              <w:spacing w:after="0"/>
                              <w:ind w:left="306" w:hanging="306"/>
                              <w:jc w:val="left"/>
                              <w:rPr>
                                <w:rFonts w:eastAsia="Calibri"/>
                                <w:sz w:val="17"/>
                                <w:szCs w:val="17"/>
                                <w:lang w:val="en-GB"/>
                              </w:rPr>
                            </w:pPr>
                            <w:r w:rsidRPr="00F737AD">
                              <w:rPr>
                                <w:rFonts w:eastAsia="Calibri"/>
                                <w:sz w:val="17"/>
                                <w:szCs w:val="17"/>
                                <w:lang w:val="en-GB"/>
                              </w:rPr>
                              <w:t>7.3</w:t>
                            </w:r>
                            <w:r w:rsidRPr="00F737AD">
                              <w:rPr>
                                <w:rFonts w:eastAsia="Calibri"/>
                                <w:sz w:val="17"/>
                                <w:szCs w:val="17"/>
                                <w:lang w:val="en-GB"/>
                              </w:rPr>
                              <w:tab/>
                              <w:t>Double the global rate of improvement in energy efficiency</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7a. Enhance international cooperation to facilitate access to clean energy research and technologies, including renewable energy, energy efficiency, and advanced and cleaner fossil fuel technologies, and promote investment in energy infrastructure and clean energy technologies</w:t>
                            </w:r>
                          </w:p>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7b. Expand infrastructure and upgrade technology for supplying modern and sustainable energy services for all in developing countries</w:t>
                            </w:r>
                          </w:p>
                        </w:tc>
                      </w:tr>
                      <w:tr w:rsidR="00540FEA" w:rsidRPr="00A468CC" w:rsidTr="00F737AD">
                        <w:tc>
                          <w:tcPr>
                            <w:tcW w:w="3397" w:type="dxa"/>
                            <w:shd w:val="clear" w:color="auto" w:fill="auto"/>
                          </w:tcPr>
                          <w:p w:rsidR="00540FEA" w:rsidRPr="00F737AD" w:rsidRDefault="00540FEA" w:rsidP="00F737AD">
                            <w:pPr>
                              <w:tabs>
                                <w:tab w:val="left" w:pos="306"/>
                              </w:tabs>
                              <w:spacing w:after="0"/>
                              <w:ind w:left="306" w:hanging="306"/>
                              <w:jc w:val="left"/>
                              <w:rPr>
                                <w:rFonts w:eastAsia="Calibri"/>
                                <w:i/>
                                <w:sz w:val="17"/>
                                <w:szCs w:val="17"/>
                                <w:lang w:val="en-GB"/>
                              </w:rPr>
                            </w:pPr>
                            <w:r w:rsidRPr="00F737AD">
                              <w:rPr>
                                <w:rFonts w:eastAsia="Calibri"/>
                                <w:i/>
                                <w:sz w:val="17"/>
                                <w:szCs w:val="17"/>
                                <w:lang w:val="en-GB"/>
                              </w:rPr>
                              <w:t>Other SDGs:</w:t>
                            </w:r>
                          </w:p>
                        </w:tc>
                        <w:tc>
                          <w:tcPr>
                            <w:tcW w:w="6096" w:type="dxa"/>
                            <w:shd w:val="clear" w:color="auto" w:fill="auto"/>
                          </w:tcPr>
                          <w:p w:rsidR="00540FEA" w:rsidRPr="00F737AD" w:rsidRDefault="00540FEA" w:rsidP="00F737AD">
                            <w:pPr>
                              <w:spacing w:after="0"/>
                              <w:jc w:val="left"/>
                              <w:rPr>
                                <w:rFonts w:eastAsia="Calibri"/>
                                <w:sz w:val="17"/>
                                <w:szCs w:val="17"/>
                                <w:lang w:val="en-GB"/>
                              </w:rPr>
                            </w:pP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 xml:space="preserve">8. </w:t>
                            </w:r>
                            <w:r w:rsidRPr="00F737AD">
                              <w:rPr>
                                <w:rFonts w:eastAsia="Calibri"/>
                                <w:sz w:val="17"/>
                                <w:szCs w:val="17"/>
                                <w:lang w:val="en-GB"/>
                              </w:rPr>
                              <w:tab/>
                              <w:t>Promote sustained, inclusive and sustainable economic growth, full and productive employment and decent work for all</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 xml:space="preserve">Energy efficiency and conservation influence the country’s energy intensity and carbon content of economic growth </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9.</w:t>
                            </w:r>
                            <w:r w:rsidRPr="00F737AD">
                              <w:rPr>
                                <w:rFonts w:eastAsia="Calibri"/>
                                <w:sz w:val="17"/>
                                <w:szCs w:val="17"/>
                                <w:lang w:val="en-GB"/>
                              </w:rPr>
                              <w:tab/>
                              <w:t>Build resilient infrastructure, promote inclusive and sustainable industrialization and foster innovation</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Resilient infrastructure and public-private partnerships are required to ensure access to energy for all and to maximise energy efficiency</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11. Make cities and human settlements inclusive, safe, resilient and sustainable</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Municipalities require careful electricity planning and efficient power distribution</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12. Ensure sustainable consumption and production patterns</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The residential and buildings sector is a key part of a future in which there is sustainable consumption of energy and products</w:t>
                            </w:r>
                          </w:p>
                        </w:tc>
                      </w:tr>
                      <w:tr w:rsidR="00540FEA" w:rsidRPr="00A468CC" w:rsidTr="00F737AD">
                        <w:tc>
                          <w:tcPr>
                            <w:tcW w:w="3397" w:type="dxa"/>
                            <w:shd w:val="clear" w:color="auto" w:fill="auto"/>
                          </w:tcPr>
                          <w:p w:rsidR="00540FEA" w:rsidRPr="00F737AD" w:rsidRDefault="00540FEA" w:rsidP="00F737AD">
                            <w:pPr>
                              <w:tabs>
                                <w:tab w:val="left" w:pos="306"/>
                                <w:tab w:val="left" w:pos="873"/>
                              </w:tabs>
                              <w:spacing w:after="0"/>
                              <w:ind w:left="306" w:hanging="306"/>
                              <w:jc w:val="left"/>
                              <w:rPr>
                                <w:rFonts w:eastAsia="Calibri"/>
                                <w:sz w:val="17"/>
                                <w:szCs w:val="17"/>
                                <w:lang w:val="en-GB"/>
                              </w:rPr>
                            </w:pPr>
                            <w:r w:rsidRPr="00F737AD">
                              <w:rPr>
                                <w:rFonts w:eastAsia="Calibri"/>
                                <w:sz w:val="17"/>
                                <w:szCs w:val="17"/>
                                <w:lang w:val="en-GB"/>
                              </w:rPr>
                              <w:t>13. Take urgent action to combat climate change and its impacts</w:t>
                            </w:r>
                          </w:p>
                        </w:tc>
                        <w:tc>
                          <w:tcPr>
                            <w:tcW w:w="6096" w:type="dxa"/>
                            <w:shd w:val="clear" w:color="auto" w:fill="auto"/>
                          </w:tcPr>
                          <w:p w:rsidR="00540FEA" w:rsidRPr="00F737AD" w:rsidRDefault="00540FEA" w:rsidP="00F737AD">
                            <w:pPr>
                              <w:spacing w:after="0"/>
                              <w:jc w:val="left"/>
                              <w:rPr>
                                <w:rFonts w:eastAsia="Calibri"/>
                                <w:sz w:val="17"/>
                                <w:szCs w:val="17"/>
                                <w:lang w:val="en-GB"/>
                              </w:rPr>
                            </w:pPr>
                            <w:r w:rsidRPr="00F737AD">
                              <w:rPr>
                                <w:rFonts w:eastAsia="Calibri"/>
                                <w:sz w:val="17"/>
                                <w:szCs w:val="17"/>
                                <w:lang w:val="en-GB"/>
                              </w:rPr>
                              <w:t>The carbon-intensive energy sector (based on fossil fuels) is a key driver of climate change.</w:t>
                            </w:r>
                          </w:p>
                        </w:tc>
                      </w:tr>
                    </w:tbl>
                    <w:p w:rsidR="00540FEA" w:rsidRPr="00A468CC" w:rsidRDefault="00540FEA" w:rsidP="00BA5C93">
                      <w:pPr>
                        <w:spacing w:before="60"/>
                        <w:rPr>
                          <w:i/>
                          <w:sz w:val="17"/>
                          <w:szCs w:val="17"/>
                          <w:lang w:val="en-GB"/>
                        </w:rPr>
                      </w:pPr>
                      <w:r w:rsidRPr="00A468CC">
                        <w:rPr>
                          <w:sz w:val="17"/>
                          <w:szCs w:val="17"/>
                          <w:lang w:val="en-GB"/>
                        </w:rPr>
                        <w:t xml:space="preserve">Compiled from </w:t>
                      </w:r>
                      <w:r w:rsidRPr="00A468CC">
                        <w:rPr>
                          <w:i/>
                          <w:sz w:val="17"/>
                          <w:szCs w:val="17"/>
                          <w:lang w:val="en-GB"/>
                        </w:rPr>
                        <w:t xml:space="preserve">Transforming our World: the 2030 Agenda for Sustainable Development </w:t>
                      </w:r>
                      <w:r w:rsidRPr="00A468CC">
                        <w:rPr>
                          <w:sz w:val="17"/>
                          <w:szCs w:val="17"/>
                          <w:lang w:val="en-GB"/>
                        </w:rPr>
                        <w:t xml:space="preserve">(UN, 2015), </w:t>
                      </w:r>
                      <w:r w:rsidRPr="00A468CC">
                        <w:rPr>
                          <w:i/>
                          <w:sz w:val="17"/>
                          <w:szCs w:val="17"/>
                          <w:lang w:val="en-GB"/>
                        </w:rPr>
                        <w:t>Indicators and a Monitoring Framework for the Sustainable Development</w:t>
                      </w:r>
                      <w:r w:rsidRPr="00A468CC">
                        <w:rPr>
                          <w:sz w:val="17"/>
                          <w:szCs w:val="17"/>
                          <w:lang w:val="en-GB"/>
                        </w:rPr>
                        <w:t xml:space="preserve"> Goals, Sustainable Development Solutions Network (SDSN)</w:t>
                      </w:r>
                    </w:p>
                    <w:p w:rsidR="00540FEA" w:rsidRDefault="00540FEA" w:rsidP="00BA5C93">
                      <w:pPr>
                        <w:spacing w:after="0"/>
                        <w:rPr>
                          <w:noProof/>
                        </w:rPr>
                      </w:pPr>
                    </w:p>
                    <w:p w:rsidR="00540FEA" w:rsidRPr="005030B0" w:rsidRDefault="00540FEA" w:rsidP="00BA5C93">
                      <w:pPr>
                        <w:spacing w:after="0"/>
                        <w:rPr>
                          <w:noProof/>
                          <w:sz w:val="18"/>
                        </w:rPr>
                      </w:pPr>
                      <w:r>
                        <w:rPr>
                          <w:noProof/>
                        </w:rPr>
                        <w:t xml:space="preserve">      </w:t>
                      </w:r>
                    </w:p>
                    <w:p w:rsidR="00540FEA" w:rsidRPr="005030B0" w:rsidRDefault="00540FEA" w:rsidP="00BA5C93">
                      <w:pPr>
                        <w:spacing w:after="0"/>
                        <w:rPr>
                          <w:noProof/>
                        </w:rPr>
                      </w:pPr>
                    </w:p>
                  </w:txbxContent>
                </v:textbox>
                <w10:wrap type="square" anchorx="margin" anchory="margin"/>
              </v:shape>
            </w:pict>
          </mc:Fallback>
        </mc:AlternateContent>
      </w:r>
      <w:r w:rsidR="00515195" w:rsidRPr="0057545E">
        <w:rPr>
          <w:rFonts w:cs="Segoe UI"/>
          <w:color w:val="000000"/>
          <w:szCs w:val="20"/>
          <w:u w:val="single"/>
          <w:lang w:val="en-GB"/>
        </w:rPr>
        <w:t>Relevance to GEF priorities</w:t>
      </w:r>
    </w:p>
    <w:p w:rsidR="00515195" w:rsidRPr="00353542" w:rsidRDefault="00515195" w:rsidP="009904A7">
      <w:pPr>
        <w:spacing w:after="0"/>
        <w:rPr>
          <w:rFonts w:cs="Segoe UI"/>
          <w:color w:val="000000"/>
          <w:szCs w:val="20"/>
          <w:lang w:val="en-GB"/>
        </w:rPr>
      </w:pPr>
    </w:p>
    <w:p w:rsidR="00515195" w:rsidRPr="004722F0" w:rsidRDefault="00515195" w:rsidP="004722F0">
      <w:pPr>
        <w:spacing w:after="0"/>
        <w:rPr>
          <w:noProof/>
          <w:szCs w:val="20"/>
          <w:lang w:val="en-GB"/>
        </w:rPr>
      </w:pPr>
      <w:bookmarkStart w:id="33" w:name="_Hlk4672801"/>
      <w:bookmarkStart w:id="34" w:name="_Hlk535439100"/>
      <w:r w:rsidRPr="003B7D62">
        <w:rPr>
          <w:noProof/>
          <w:szCs w:val="20"/>
          <w:lang w:val="en-GB"/>
        </w:rPr>
        <w:t>The project falls within the GEF-6 programme area “</w:t>
      </w:r>
      <w:r w:rsidR="004722F0" w:rsidRPr="004722F0">
        <w:rPr>
          <w:noProof/>
          <w:szCs w:val="20"/>
          <w:lang w:val="en-GB"/>
        </w:rPr>
        <w:t>Promote the timely development, demonstration, and financing of low</w:t>
      </w:r>
      <w:r w:rsidR="004722F0">
        <w:rPr>
          <w:noProof/>
          <w:szCs w:val="20"/>
          <w:lang w:val="en-GB"/>
        </w:rPr>
        <w:t>-</w:t>
      </w:r>
      <w:r w:rsidR="004722F0" w:rsidRPr="004722F0">
        <w:rPr>
          <w:noProof/>
          <w:szCs w:val="20"/>
          <w:lang w:val="en-GB"/>
        </w:rPr>
        <w:t>carbon</w:t>
      </w:r>
      <w:r w:rsidR="004722F0">
        <w:rPr>
          <w:noProof/>
          <w:szCs w:val="20"/>
          <w:lang w:val="en-GB"/>
        </w:rPr>
        <w:t xml:space="preserve"> </w:t>
      </w:r>
      <w:r w:rsidR="004722F0" w:rsidRPr="004722F0">
        <w:rPr>
          <w:noProof/>
          <w:szCs w:val="20"/>
          <w:lang w:val="en-GB"/>
        </w:rPr>
        <w:t>technologies and mitigation options</w:t>
      </w:r>
      <w:r w:rsidRPr="008E26A0">
        <w:rPr>
          <w:noProof/>
          <w:szCs w:val="20"/>
          <w:lang w:val="en-GB"/>
        </w:rPr>
        <w:t xml:space="preserve">” </w:t>
      </w:r>
      <w:r w:rsidR="00C24696" w:rsidRPr="008E26A0">
        <w:rPr>
          <w:noProof/>
          <w:szCs w:val="20"/>
          <w:lang w:val="en-GB"/>
        </w:rPr>
        <w:t xml:space="preserve">(Programme </w:t>
      </w:r>
      <w:r w:rsidR="004722F0">
        <w:rPr>
          <w:noProof/>
          <w:szCs w:val="20"/>
          <w:lang w:val="en-GB"/>
        </w:rPr>
        <w:t>1</w:t>
      </w:r>
      <w:r w:rsidR="00C24696" w:rsidRPr="008E26A0">
        <w:rPr>
          <w:noProof/>
          <w:szCs w:val="20"/>
          <w:lang w:val="en-GB"/>
        </w:rPr>
        <w:t xml:space="preserve">) </w:t>
      </w:r>
      <w:r w:rsidRPr="008E26A0">
        <w:rPr>
          <w:noProof/>
          <w:szCs w:val="20"/>
          <w:lang w:val="en-GB"/>
        </w:rPr>
        <w:t>of the Climate Change focal area’s Objective #</w:t>
      </w:r>
      <w:r w:rsidR="008E26A0">
        <w:rPr>
          <w:noProof/>
          <w:szCs w:val="20"/>
          <w:lang w:val="en-GB"/>
        </w:rPr>
        <w:t>1</w:t>
      </w:r>
      <w:r w:rsidR="00C24696" w:rsidRPr="008E26A0">
        <w:rPr>
          <w:noProof/>
          <w:szCs w:val="20"/>
          <w:lang w:val="en-GB"/>
        </w:rPr>
        <w:t xml:space="preserve"> (CCM-</w:t>
      </w:r>
      <w:r w:rsidR="008E26A0">
        <w:rPr>
          <w:noProof/>
          <w:szCs w:val="20"/>
          <w:lang w:val="en-GB"/>
        </w:rPr>
        <w:t>1</w:t>
      </w:r>
      <w:r w:rsidR="00C24696" w:rsidRPr="008E26A0">
        <w:rPr>
          <w:noProof/>
          <w:szCs w:val="20"/>
          <w:lang w:val="en-GB"/>
        </w:rPr>
        <w:t>)</w:t>
      </w:r>
      <w:r w:rsidRPr="008E26A0">
        <w:rPr>
          <w:noProof/>
          <w:szCs w:val="20"/>
          <w:lang w:val="en-GB"/>
        </w:rPr>
        <w:t>, “</w:t>
      </w:r>
      <w:r w:rsidR="008E26A0" w:rsidRPr="008E26A0">
        <w:rPr>
          <w:noProof/>
          <w:szCs w:val="20"/>
          <w:lang w:val="en-GB"/>
        </w:rPr>
        <w:t>Promote Innovation, Technology Transfer, and Supportive Policies and Strategies</w:t>
      </w:r>
      <w:r w:rsidRPr="008E26A0">
        <w:rPr>
          <w:noProof/>
          <w:szCs w:val="20"/>
          <w:lang w:val="en-GB"/>
        </w:rPr>
        <w:t>”.</w:t>
      </w:r>
      <w:r w:rsidR="00C24696" w:rsidRPr="008E26A0">
        <w:rPr>
          <w:noProof/>
          <w:szCs w:val="20"/>
          <w:lang w:val="en-GB"/>
        </w:rPr>
        <w:t xml:space="preserve"> </w:t>
      </w:r>
      <w:r w:rsidR="00A468CC" w:rsidRPr="008E26A0">
        <w:rPr>
          <w:noProof/>
          <w:szCs w:val="20"/>
          <w:lang w:val="en-GB"/>
        </w:rPr>
        <w:t>T</w:t>
      </w:r>
      <w:r w:rsidR="004722F0">
        <w:rPr>
          <w:noProof/>
          <w:szCs w:val="20"/>
          <w:lang w:val="en-GB"/>
        </w:rPr>
        <w:t>hree</w:t>
      </w:r>
      <w:r w:rsidR="00C24696" w:rsidRPr="008E26A0">
        <w:rPr>
          <w:noProof/>
          <w:szCs w:val="20"/>
          <w:lang w:val="en-GB"/>
        </w:rPr>
        <w:t xml:space="preserve"> Outcomes mentioned in the GEF</w:t>
      </w:r>
      <w:r w:rsidR="00C24696" w:rsidRPr="004722F0">
        <w:rPr>
          <w:noProof/>
          <w:szCs w:val="20"/>
          <w:lang w:val="en-GB"/>
        </w:rPr>
        <w:t>-6 Results Framework</w:t>
      </w:r>
      <w:r w:rsidR="00C24696" w:rsidRPr="0057545E">
        <w:rPr>
          <w:rStyle w:val="FootnoteReference"/>
          <w:noProof/>
          <w:szCs w:val="20"/>
          <w:lang w:val="en-GB"/>
        </w:rPr>
        <w:footnoteReference w:id="3"/>
      </w:r>
      <w:r w:rsidR="00C24696" w:rsidRPr="0057545E">
        <w:rPr>
          <w:noProof/>
          <w:szCs w:val="20"/>
          <w:lang w:val="en-GB"/>
        </w:rPr>
        <w:t xml:space="preserve"> </w:t>
      </w:r>
      <w:r w:rsidR="00A468CC" w:rsidRPr="0057545E">
        <w:rPr>
          <w:noProof/>
          <w:szCs w:val="20"/>
          <w:lang w:val="en-GB"/>
        </w:rPr>
        <w:t xml:space="preserve">(under Programme </w:t>
      </w:r>
      <w:r w:rsidR="004722F0">
        <w:rPr>
          <w:noProof/>
          <w:szCs w:val="20"/>
          <w:lang w:val="en-GB"/>
        </w:rPr>
        <w:t>1</w:t>
      </w:r>
      <w:r w:rsidR="00A468CC" w:rsidRPr="0057545E">
        <w:rPr>
          <w:noProof/>
          <w:szCs w:val="20"/>
          <w:lang w:val="en-GB"/>
        </w:rPr>
        <w:t xml:space="preserve">) </w:t>
      </w:r>
      <w:r w:rsidR="00C24696" w:rsidRPr="00353542">
        <w:rPr>
          <w:noProof/>
          <w:szCs w:val="20"/>
          <w:lang w:val="en-GB"/>
        </w:rPr>
        <w:t>are relevant, na</w:t>
      </w:r>
      <w:r w:rsidR="00C24696" w:rsidRPr="003B7D62">
        <w:rPr>
          <w:noProof/>
          <w:szCs w:val="20"/>
          <w:lang w:val="en-GB"/>
        </w:rPr>
        <w:t xml:space="preserve">mely Outcome </w:t>
      </w:r>
      <w:r w:rsidR="004722F0">
        <w:rPr>
          <w:noProof/>
          <w:szCs w:val="20"/>
          <w:lang w:val="en-GB"/>
        </w:rPr>
        <w:t>A (</w:t>
      </w:r>
      <w:r w:rsidR="004722F0" w:rsidRPr="004722F0">
        <w:rPr>
          <w:noProof/>
          <w:szCs w:val="20"/>
          <w:lang w:val="en-GB"/>
        </w:rPr>
        <w:t>Accelerated adoption of</w:t>
      </w:r>
      <w:r w:rsidR="004722F0">
        <w:rPr>
          <w:noProof/>
          <w:szCs w:val="20"/>
          <w:lang w:val="en-GB"/>
        </w:rPr>
        <w:t xml:space="preserve"> </w:t>
      </w:r>
      <w:r w:rsidR="004722F0" w:rsidRPr="004722F0">
        <w:rPr>
          <w:noProof/>
          <w:szCs w:val="20"/>
          <w:lang w:val="en-GB"/>
        </w:rPr>
        <w:t>innovative technologies</w:t>
      </w:r>
      <w:r w:rsidR="004722F0">
        <w:rPr>
          <w:noProof/>
          <w:szCs w:val="20"/>
          <w:lang w:val="en-GB"/>
        </w:rPr>
        <w:t xml:space="preserve"> </w:t>
      </w:r>
      <w:r w:rsidR="004722F0" w:rsidRPr="004722F0">
        <w:rPr>
          <w:noProof/>
          <w:szCs w:val="20"/>
          <w:lang w:val="en-GB"/>
        </w:rPr>
        <w:t>and management</w:t>
      </w:r>
      <w:r w:rsidR="004722F0">
        <w:rPr>
          <w:noProof/>
          <w:szCs w:val="20"/>
          <w:lang w:val="en-GB"/>
        </w:rPr>
        <w:t xml:space="preserve"> </w:t>
      </w:r>
      <w:r w:rsidR="004722F0" w:rsidRPr="004722F0">
        <w:rPr>
          <w:noProof/>
          <w:szCs w:val="20"/>
          <w:lang w:val="en-GB"/>
        </w:rPr>
        <w:t>practices for GHG</w:t>
      </w:r>
      <w:r w:rsidR="004722F0">
        <w:rPr>
          <w:noProof/>
          <w:szCs w:val="20"/>
          <w:lang w:val="en-GB"/>
        </w:rPr>
        <w:t xml:space="preserve"> </w:t>
      </w:r>
      <w:r w:rsidR="004722F0" w:rsidRPr="004722F0">
        <w:rPr>
          <w:noProof/>
          <w:szCs w:val="20"/>
          <w:lang w:val="en-GB"/>
        </w:rPr>
        <w:t>emission reduction and</w:t>
      </w:r>
      <w:r w:rsidR="004722F0">
        <w:rPr>
          <w:noProof/>
          <w:szCs w:val="20"/>
          <w:lang w:val="en-GB"/>
        </w:rPr>
        <w:t xml:space="preserve"> </w:t>
      </w:r>
      <w:r w:rsidR="004722F0" w:rsidRPr="004722F0">
        <w:rPr>
          <w:noProof/>
          <w:szCs w:val="20"/>
          <w:lang w:val="en-GB"/>
        </w:rPr>
        <w:t>carbon sequestration</w:t>
      </w:r>
      <w:r w:rsidR="004722F0">
        <w:rPr>
          <w:noProof/>
          <w:szCs w:val="20"/>
          <w:lang w:val="en-GB"/>
        </w:rPr>
        <w:t>), Outcome B (</w:t>
      </w:r>
      <w:r w:rsidR="004722F0" w:rsidRPr="004722F0">
        <w:rPr>
          <w:noProof/>
          <w:szCs w:val="20"/>
          <w:lang w:val="en-GB"/>
        </w:rPr>
        <w:t>Policy, planning and</w:t>
      </w:r>
      <w:r w:rsidR="004722F0">
        <w:rPr>
          <w:noProof/>
          <w:szCs w:val="20"/>
          <w:lang w:val="en-GB"/>
        </w:rPr>
        <w:t xml:space="preserve"> </w:t>
      </w:r>
      <w:r w:rsidR="004722F0" w:rsidRPr="004722F0">
        <w:rPr>
          <w:noProof/>
          <w:szCs w:val="20"/>
          <w:lang w:val="en-GB"/>
        </w:rPr>
        <w:t>regulatory frameworks</w:t>
      </w:r>
      <w:r w:rsidR="004722F0">
        <w:rPr>
          <w:noProof/>
          <w:szCs w:val="20"/>
          <w:lang w:val="en-GB"/>
        </w:rPr>
        <w:t xml:space="preserve"> </w:t>
      </w:r>
      <w:r w:rsidR="004722F0" w:rsidRPr="004722F0">
        <w:rPr>
          <w:noProof/>
          <w:szCs w:val="20"/>
          <w:lang w:val="en-GB"/>
        </w:rPr>
        <w:t>foster accelerated low GHG</w:t>
      </w:r>
      <w:r w:rsidR="004722F0">
        <w:rPr>
          <w:noProof/>
          <w:szCs w:val="20"/>
          <w:lang w:val="en-GB"/>
        </w:rPr>
        <w:t xml:space="preserve"> </w:t>
      </w:r>
      <w:r w:rsidR="004722F0" w:rsidRPr="004722F0">
        <w:rPr>
          <w:noProof/>
          <w:szCs w:val="20"/>
          <w:lang w:val="en-GB"/>
        </w:rPr>
        <w:t>development and emissions</w:t>
      </w:r>
      <w:r w:rsidR="004722F0">
        <w:rPr>
          <w:noProof/>
          <w:szCs w:val="20"/>
          <w:lang w:val="en-GB"/>
        </w:rPr>
        <w:t xml:space="preserve"> </w:t>
      </w:r>
      <w:r w:rsidR="004722F0" w:rsidRPr="004722F0">
        <w:rPr>
          <w:noProof/>
          <w:szCs w:val="20"/>
          <w:lang w:val="en-GB"/>
        </w:rPr>
        <w:t>mitigation</w:t>
      </w:r>
      <w:r w:rsidR="004722F0">
        <w:rPr>
          <w:noProof/>
          <w:szCs w:val="20"/>
          <w:lang w:val="en-GB"/>
        </w:rPr>
        <w:t>), and Outcome C (</w:t>
      </w:r>
      <w:r w:rsidR="004722F0" w:rsidRPr="004722F0">
        <w:rPr>
          <w:noProof/>
          <w:szCs w:val="20"/>
          <w:lang w:val="en-GB"/>
        </w:rPr>
        <w:t>Financial mechanisms to</w:t>
      </w:r>
      <w:r w:rsidR="004722F0">
        <w:rPr>
          <w:noProof/>
          <w:szCs w:val="20"/>
          <w:lang w:val="en-GB"/>
        </w:rPr>
        <w:t xml:space="preserve"> </w:t>
      </w:r>
      <w:r w:rsidR="004722F0" w:rsidRPr="004722F0">
        <w:rPr>
          <w:noProof/>
          <w:szCs w:val="20"/>
          <w:lang w:val="en-GB"/>
        </w:rPr>
        <w:t>support GHG reductions</w:t>
      </w:r>
      <w:r w:rsidR="004722F0">
        <w:rPr>
          <w:noProof/>
          <w:szCs w:val="20"/>
          <w:lang w:val="en-GB"/>
        </w:rPr>
        <w:t xml:space="preserve"> </w:t>
      </w:r>
      <w:r w:rsidR="004722F0" w:rsidRPr="004722F0">
        <w:rPr>
          <w:noProof/>
          <w:szCs w:val="20"/>
          <w:lang w:val="en-GB"/>
        </w:rPr>
        <w:t>are demonstrated and</w:t>
      </w:r>
      <w:r w:rsidR="004722F0">
        <w:rPr>
          <w:noProof/>
          <w:szCs w:val="20"/>
          <w:lang w:val="en-GB"/>
        </w:rPr>
        <w:t xml:space="preserve"> </w:t>
      </w:r>
      <w:r w:rsidR="004722F0" w:rsidRPr="004722F0">
        <w:rPr>
          <w:noProof/>
          <w:szCs w:val="20"/>
          <w:lang w:val="en-GB"/>
        </w:rPr>
        <w:t>operationalized</w:t>
      </w:r>
      <w:r w:rsidR="004722F0">
        <w:rPr>
          <w:noProof/>
          <w:szCs w:val="20"/>
          <w:lang w:val="en-GB"/>
        </w:rPr>
        <w:t>).</w:t>
      </w:r>
    </w:p>
    <w:bookmarkEnd w:id="33"/>
    <w:p w:rsidR="00C24696" w:rsidRPr="00666B27" w:rsidRDefault="00C24696" w:rsidP="00515195">
      <w:pPr>
        <w:spacing w:after="0"/>
        <w:rPr>
          <w:noProof/>
          <w:szCs w:val="20"/>
          <w:lang w:val="en-GB"/>
        </w:rPr>
      </w:pPr>
    </w:p>
    <w:p w:rsidR="00C24696" w:rsidRPr="00666B27" w:rsidRDefault="00C24696" w:rsidP="00C24696">
      <w:pPr>
        <w:pStyle w:val="Heading2"/>
      </w:pPr>
      <w:bookmarkStart w:id="35" w:name="_Toc340755"/>
      <w:bookmarkEnd w:id="34"/>
      <w:r w:rsidRPr="00666B27">
        <w:t>Problem analysis and the project’s objective</w:t>
      </w:r>
      <w:bookmarkEnd w:id="35"/>
    </w:p>
    <w:p w:rsidR="0044496E" w:rsidRPr="00666B27" w:rsidRDefault="0044496E" w:rsidP="0044496E">
      <w:pPr>
        <w:spacing w:after="0"/>
        <w:rPr>
          <w:szCs w:val="20"/>
          <w:lang w:val="en-GB"/>
        </w:rPr>
      </w:pPr>
    </w:p>
    <w:p w:rsidR="0044496E" w:rsidRPr="00666B27" w:rsidRDefault="0044496E" w:rsidP="0044496E">
      <w:pPr>
        <w:spacing w:after="0"/>
        <w:rPr>
          <w:noProof/>
          <w:szCs w:val="20"/>
          <w:lang w:val="en-GB"/>
        </w:rPr>
      </w:pPr>
      <w:r w:rsidRPr="00666B27">
        <w:rPr>
          <w:szCs w:val="20"/>
          <w:lang w:val="en-GB"/>
        </w:rPr>
        <w:t>Currently, the world consumes consume 2,900 terawatt-hours (</w:t>
      </w:r>
      <w:proofErr w:type="spellStart"/>
      <w:r w:rsidRPr="00666B27">
        <w:rPr>
          <w:szCs w:val="20"/>
          <w:lang w:val="en-GB"/>
        </w:rPr>
        <w:t>TWh</w:t>
      </w:r>
      <w:proofErr w:type="spellEnd"/>
      <w:r w:rsidRPr="00666B27">
        <w:rPr>
          <w:szCs w:val="20"/>
          <w:lang w:val="en-GB"/>
        </w:rPr>
        <w:t xml:space="preserve">) of electricity per year for lighting. Over the next two </w:t>
      </w:r>
      <w:r w:rsidRPr="00666B27">
        <w:rPr>
          <w:noProof/>
          <w:szCs w:val="20"/>
          <w:lang w:val="en-GB"/>
        </w:rPr>
        <w:t>decades,</w:t>
      </w:r>
      <w:r w:rsidRPr="00666B27">
        <w:rPr>
          <w:szCs w:val="20"/>
          <w:lang w:val="en-GB"/>
        </w:rPr>
        <w:t xml:space="preserve"> lighting services are projected to rise by approximately 50% relative to current levels of demand. UN Environment has estimated that electricity demand for lighting can be reduced by 2030 to 2,160 </w:t>
      </w:r>
      <w:proofErr w:type="spellStart"/>
      <w:r w:rsidRPr="00666B27">
        <w:rPr>
          <w:szCs w:val="20"/>
          <w:lang w:val="en-GB"/>
        </w:rPr>
        <w:t>TWh</w:t>
      </w:r>
      <w:proofErr w:type="spellEnd"/>
      <w:r w:rsidRPr="00666B27">
        <w:rPr>
          <w:szCs w:val="20"/>
          <w:lang w:val="en-GB"/>
        </w:rPr>
        <w:t xml:space="preserve"> per year, saving up to 640 </w:t>
      </w:r>
      <w:proofErr w:type="spellStart"/>
      <w:r w:rsidRPr="00666B27">
        <w:rPr>
          <w:szCs w:val="20"/>
          <w:lang w:val="en-GB"/>
        </w:rPr>
        <w:t>TWh</w:t>
      </w:r>
      <w:proofErr w:type="spellEnd"/>
      <w:r w:rsidRPr="00666B27">
        <w:rPr>
          <w:szCs w:val="20"/>
          <w:lang w:val="en-GB"/>
        </w:rPr>
        <w:t xml:space="preserve"> of electricity and thus avoiding the emission of greenhouse gases of 390 million tons of CO</w:t>
      </w:r>
      <w:r w:rsidRPr="00666B27">
        <w:rPr>
          <w:szCs w:val="20"/>
          <w:vertAlign w:val="subscript"/>
          <w:lang w:val="en-GB"/>
        </w:rPr>
        <w:t>2</w:t>
      </w:r>
      <w:r w:rsidRPr="00666B27">
        <w:rPr>
          <w:szCs w:val="20"/>
          <w:lang w:val="en-GB"/>
        </w:rPr>
        <w:t xml:space="preserve"> annually. </w:t>
      </w:r>
      <w:r w:rsidRPr="00666B27">
        <w:rPr>
          <w:noProof/>
          <w:szCs w:val="20"/>
          <w:lang w:val="en-GB"/>
        </w:rPr>
        <w:t>These large savings</w:t>
      </w:r>
      <w:r w:rsidRPr="00666B27">
        <w:rPr>
          <w:szCs w:val="20"/>
          <w:lang w:val="en-GB"/>
        </w:rPr>
        <w:t xml:space="preserve"> can be achieved through a global widespread shift from conventional lighting technologies like incandescent, halogen and fluorescent lamps to lighting products based on light-emitting diodes (LEDs). There are multiple advantages of energy-efficient lighting for governments Energy-efficient lighting is usually the lowest life-cycle cost option. It reduces peak loading, lowers customer bills and reduces mercury (present in fluorescent lighting).</w:t>
      </w:r>
      <w:r w:rsidRPr="00666B27">
        <w:rPr>
          <w:noProof/>
          <w:szCs w:val="20"/>
          <w:lang w:val="en-GB"/>
        </w:rPr>
        <w:t xml:space="preserve"> </w:t>
      </w:r>
    </w:p>
    <w:p w:rsidR="0044496E" w:rsidRPr="00666B27" w:rsidRDefault="0044496E" w:rsidP="0044496E">
      <w:pPr>
        <w:spacing w:after="0"/>
        <w:rPr>
          <w:noProof/>
          <w:szCs w:val="20"/>
          <w:lang w:val="en-GB"/>
        </w:rPr>
      </w:pPr>
    </w:p>
    <w:p w:rsidR="0044496E" w:rsidRPr="00666B27" w:rsidRDefault="0044496E" w:rsidP="0044496E">
      <w:pPr>
        <w:spacing w:after="0"/>
        <w:rPr>
          <w:noProof/>
          <w:szCs w:val="20"/>
          <w:lang w:val="en-GB"/>
        </w:rPr>
      </w:pPr>
      <w:r w:rsidRPr="00666B27">
        <w:rPr>
          <w:noProof/>
          <w:szCs w:val="20"/>
          <w:lang w:val="en-GB"/>
        </w:rPr>
        <w:lastRenderedPageBreak/>
        <w:t>Transformers are static devices in electricity systems that transfer electrical power between circuits through electromagnetic induction. Their application enables significant energy savings in the power transmission and distribution system by increasing the voltage and decreasing the current, since losses are proportional to the amount of current flowing</w:t>
      </w:r>
    </w:p>
    <w:p w:rsidR="0044496E" w:rsidRPr="00666B27" w:rsidRDefault="0044496E" w:rsidP="0044496E">
      <w:pPr>
        <w:spacing w:after="0"/>
        <w:rPr>
          <w:szCs w:val="20"/>
          <w:lang w:val="en-GB"/>
        </w:rPr>
      </w:pPr>
      <w:r w:rsidRPr="00666B27">
        <w:rPr>
          <w:noProof/>
          <w:szCs w:val="20"/>
          <w:lang w:val="en-GB"/>
        </w:rPr>
        <w:t xml:space="preserve">through the wire. </w:t>
      </w:r>
      <w:r w:rsidRPr="00666B27">
        <w:rPr>
          <w:szCs w:val="20"/>
          <w:lang w:val="en-GB"/>
        </w:rPr>
        <w:t xml:space="preserve">In 2017, all electric power transformers in service globally are estimated to have 1,100 </w:t>
      </w:r>
      <w:proofErr w:type="spellStart"/>
      <w:r w:rsidRPr="00666B27">
        <w:rPr>
          <w:szCs w:val="20"/>
          <w:lang w:val="en-GB"/>
        </w:rPr>
        <w:t>TWh</w:t>
      </w:r>
      <w:proofErr w:type="spellEnd"/>
      <w:r w:rsidRPr="00666B27">
        <w:rPr>
          <w:szCs w:val="20"/>
          <w:lang w:val="en-GB"/>
        </w:rPr>
        <w:t xml:space="preserve"> of losses. Although most transformers have efficiency levels greater than 98%, the energy consumed during a transformer’s service life (from 15 up to 40 years), operating almost non-stop, is the dominant factor contributing to the environmental impacts over its life cycle. Technical solutions to improve the energy efficiency of transformers are commercially available, and the market penetration of highly-efficient transformers has significant room for growth.</w:t>
      </w:r>
    </w:p>
    <w:p w:rsidR="0044496E" w:rsidRPr="00666B27" w:rsidRDefault="0044496E" w:rsidP="0044496E">
      <w:pPr>
        <w:spacing w:after="0"/>
        <w:rPr>
          <w:szCs w:val="20"/>
          <w:lang w:val="en-GB"/>
        </w:rPr>
      </w:pPr>
    </w:p>
    <w:p w:rsidR="00A468CC" w:rsidRPr="00666B27" w:rsidRDefault="00A468CC" w:rsidP="00A468CC">
      <w:pPr>
        <w:spacing w:after="0"/>
        <w:rPr>
          <w:noProof/>
          <w:szCs w:val="20"/>
          <w:u w:val="single"/>
          <w:lang w:val="en-GB"/>
        </w:rPr>
      </w:pPr>
      <w:r w:rsidRPr="00666B27">
        <w:rPr>
          <w:noProof/>
          <w:szCs w:val="20"/>
          <w:u w:val="single"/>
          <w:lang w:val="en-GB"/>
        </w:rPr>
        <w:t>Development challenge</w:t>
      </w:r>
      <w:r w:rsidR="00505560" w:rsidRPr="00666B27">
        <w:rPr>
          <w:noProof/>
          <w:szCs w:val="20"/>
          <w:u w:val="single"/>
          <w:lang w:val="en-GB"/>
        </w:rPr>
        <w:t xml:space="preserve"> </w:t>
      </w:r>
    </w:p>
    <w:p w:rsidR="00505560" w:rsidRPr="00666B27" w:rsidRDefault="00505560" w:rsidP="00505560">
      <w:pPr>
        <w:spacing w:after="0"/>
        <w:rPr>
          <w:noProof/>
          <w:szCs w:val="20"/>
          <w:lang w:val="en-GB"/>
        </w:rPr>
      </w:pPr>
    </w:p>
    <w:p w:rsidR="00505560" w:rsidRPr="00666B27" w:rsidRDefault="00505560" w:rsidP="00505560">
      <w:pPr>
        <w:spacing w:after="0"/>
        <w:rPr>
          <w:noProof/>
          <w:szCs w:val="20"/>
          <w:lang w:val="en-GB"/>
        </w:rPr>
      </w:pPr>
      <w:r w:rsidRPr="00666B27">
        <w:rPr>
          <w:noProof/>
          <w:szCs w:val="20"/>
          <w:lang w:val="en-GB"/>
        </w:rPr>
        <w:t xml:space="preserve">The </w:t>
      </w:r>
      <w:r w:rsidRPr="00666B27">
        <w:rPr>
          <w:b/>
          <w:noProof/>
          <w:szCs w:val="20"/>
          <w:lang w:val="en-GB"/>
        </w:rPr>
        <w:t>development challenge,</w:t>
      </w:r>
      <w:r w:rsidRPr="00666B27">
        <w:rPr>
          <w:noProof/>
          <w:szCs w:val="20"/>
          <w:lang w:val="en-GB"/>
        </w:rPr>
        <w:t xml:space="preserve"> then, is to achieve this energy efficiency potential and curtail consumption of (coal-fired) electricity and associated global environmental impact from appliances and equipment.</w:t>
      </w:r>
    </w:p>
    <w:p w:rsidR="00A468CC" w:rsidRPr="00666B27" w:rsidRDefault="00A468CC" w:rsidP="00A468CC">
      <w:pPr>
        <w:spacing w:after="0"/>
        <w:rPr>
          <w:noProof/>
          <w:szCs w:val="20"/>
          <w:lang w:val="en-GB"/>
        </w:rPr>
      </w:pPr>
    </w:p>
    <w:p w:rsidR="00505560" w:rsidRPr="00666B27" w:rsidRDefault="00505560" w:rsidP="00A468CC">
      <w:pPr>
        <w:spacing w:after="0"/>
        <w:rPr>
          <w:noProof/>
          <w:szCs w:val="20"/>
          <w:u w:val="single"/>
          <w:lang w:val="en-GB"/>
        </w:rPr>
      </w:pPr>
      <w:r w:rsidRPr="00666B27">
        <w:rPr>
          <w:noProof/>
          <w:szCs w:val="20"/>
          <w:u w:val="single"/>
          <w:lang w:val="en-GB"/>
        </w:rPr>
        <w:t>Long-term solution</w:t>
      </w:r>
    </w:p>
    <w:p w:rsidR="00505560" w:rsidRPr="00666B27" w:rsidRDefault="00505560" w:rsidP="00A468CC">
      <w:pPr>
        <w:spacing w:after="0"/>
        <w:rPr>
          <w:noProof/>
          <w:szCs w:val="20"/>
          <w:lang w:val="en-GB"/>
        </w:rPr>
      </w:pPr>
    </w:p>
    <w:p w:rsidR="00505560" w:rsidRPr="00666B27" w:rsidRDefault="00505560" w:rsidP="00A468CC">
      <w:pPr>
        <w:spacing w:after="0"/>
        <w:rPr>
          <w:noProof/>
          <w:szCs w:val="20"/>
          <w:lang w:val="en-GB"/>
        </w:rPr>
      </w:pPr>
      <w:r w:rsidRPr="00666B27">
        <w:rPr>
          <w:noProof/>
          <w:szCs w:val="20"/>
          <w:lang w:val="en-GB"/>
        </w:rPr>
        <w:t xml:space="preserve">The </w:t>
      </w:r>
      <w:r w:rsidRPr="00666B27">
        <w:rPr>
          <w:b/>
          <w:noProof/>
          <w:szCs w:val="20"/>
          <w:lang w:val="en-GB"/>
        </w:rPr>
        <w:t>long-term solution</w:t>
      </w:r>
      <w:r w:rsidRPr="00666B27">
        <w:rPr>
          <w:noProof/>
          <w:szCs w:val="20"/>
          <w:lang w:val="en-GB"/>
        </w:rPr>
        <w:t xml:space="preserve"> promoted in the Project is the more widespread use of high-efficiency lighting and distribution transformers) in South Africa.</w:t>
      </w:r>
    </w:p>
    <w:p w:rsidR="00505560" w:rsidRPr="00666B27" w:rsidRDefault="00505560" w:rsidP="00A468CC">
      <w:pPr>
        <w:spacing w:after="0"/>
        <w:rPr>
          <w:noProof/>
          <w:szCs w:val="20"/>
          <w:lang w:val="en-GB"/>
        </w:rPr>
      </w:pPr>
    </w:p>
    <w:p w:rsidR="00505560" w:rsidRPr="00666B27" w:rsidRDefault="00505560" w:rsidP="00505560">
      <w:pPr>
        <w:spacing w:after="0"/>
        <w:rPr>
          <w:noProof/>
          <w:szCs w:val="20"/>
          <w:lang w:val="en-GB"/>
        </w:rPr>
      </w:pPr>
      <w:bookmarkStart w:id="36" w:name="_Hlk357241"/>
      <w:r w:rsidRPr="00666B27">
        <w:rPr>
          <w:noProof/>
          <w:szCs w:val="20"/>
          <w:lang w:val="en-GB"/>
        </w:rPr>
        <w:t>LED lamps and luminaires are rapidly expanding into general illumination applications all over the world. As LED technology improves in performance and becomes less expensive, this market expansion will accelerate, replacing traditional light sources with more efficient and better performing LED technology.</w:t>
      </w:r>
      <w:r w:rsidRPr="006A68A3">
        <w:rPr>
          <w:lang w:val="en-GB"/>
        </w:rPr>
        <w:t xml:space="preserve"> </w:t>
      </w:r>
      <w:r w:rsidRPr="0057545E">
        <w:rPr>
          <w:noProof/>
          <w:szCs w:val="20"/>
          <w:lang w:val="en-GB"/>
        </w:rPr>
        <w:t>LEDs are highly energy efficient when measuring light output for watts of</w:t>
      </w:r>
      <w:r w:rsidRPr="00353542">
        <w:rPr>
          <w:noProof/>
          <w:szCs w:val="20"/>
          <w:lang w:val="en-GB"/>
        </w:rPr>
        <w:t xml:space="preserve"> </w:t>
      </w:r>
      <w:r w:rsidRPr="003B7D62">
        <w:rPr>
          <w:noProof/>
          <w:szCs w:val="20"/>
          <w:lang w:val="en-GB"/>
        </w:rPr>
        <w:t xml:space="preserve">electricity </w:t>
      </w:r>
      <w:r w:rsidRPr="008E26A0">
        <w:rPr>
          <w:noProof/>
          <w:szCs w:val="20"/>
          <w:lang w:val="en-GB"/>
        </w:rPr>
        <w:t xml:space="preserve">input. In the market today, the most efficacious LED lamps operate at around 130 lumens per watt. This is much better than </w:t>
      </w:r>
      <w:r w:rsidRPr="004722F0">
        <w:rPr>
          <w:noProof/>
          <w:szCs w:val="20"/>
          <w:lang w:val="en-GB"/>
        </w:rPr>
        <w:t>the energy performance of a CFL and over 10 times more efficient than an incandescent lamp.</w:t>
      </w:r>
      <w:r w:rsidRPr="006A68A3">
        <w:rPr>
          <w:lang w:val="en-GB"/>
        </w:rPr>
        <w:t xml:space="preserve"> Annex E.2 provides more details comparing various type of lamps. </w:t>
      </w:r>
      <w:r w:rsidRPr="0057545E">
        <w:rPr>
          <w:noProof/>
          <w:szCs w:val="20"/>
          <w:lang w:val="en-GB"/>
        </w:rPr>
        <w:t>As the technology continues to evolve in the coming years, efficacy will improve</w:t>
      </w:r>
      <w:r w:rsidRPr="00353542">
        <w:rPr>
          <w:noProof/>
          <w:szCs w:val="20"/>
          <w:lang w:val="en-GB"/>
        </w:rPr>
        <w:t xml:space="preserve"> </w:t>
      </w:r>
      <w:r w:rsidRPr="003B7D62">
        <w:rPr>
          <w:noProof/>
          <w:szCs w:val="20"/>
          <w:lang w:val="en-GB"/>
        </w:rPr>
        <w:t>and costs decline.</w:t>
      </w:r>
      <w:r w:rsidRPr="008E26A0">
        <w:rPr>
          <w:noProof/>
          <w:szCs w:val="20"/>
          <w:lang w:val="en-GB"/>
        </w:rPr>
        <w:t xml:space="preserve"> For countries choosing to phase-out incandescent lamps and jump straight to </w:t>
      </w:r>
      <w:r w:rsidRPr="004722F0">
        <w:rPr>
          <w:noProof/>
          <w:szCs w:val="20"/>
          <w:lang w:val="en-GB"/>
        </w:rPr>
        <w:t>LED, the electricity savings for consumers will be more than 85 per cent, without compromising light quality and while enjoying much longer service life.</w:t>
      </w:r>
      <w:r w:rsidR="0044496E" w:rsidRPr="004722F0">
        <w:rPr>
          <w:noProof/>
          <w:szCs w:val="20"/>
          <w:lang w:val="en-GB"/>
        </w:rPr>
        <w:t xml:space="preserve"> LED</w:t>
      </w:r>
      <w:r w:rsidR="0044496E" w:rsidRPr="004722F0">
        <w:rPr>
          <w:szCs w:val="20"/>
          <w:lang w:val="en-GB"/>
        </w:rPr>
        <w:t xml:space="preserve"> lighting is becoming the standard EE technology when improving lighting energy performance and addressing environmen</w:t>
      </w:r>
      <w:r w:rsidR="0044496E" w:rsidRPr="00666B27">
        <w:rPr>
          <w:szCs w:val="20"/>
          <w:lang w:val="en-GB"/>
        </w:rPr>
        <w:t>tal concerns</w:t>
      </w:r>
      <w:r w:rsidR="0044496E" w:rsidRPr="00666B27">
        <w:rPr>
          <w:noProof/>
          <w:szCs w:val="20"/>
          <w:lang w:val="en-GB"/>
        </w:rPr>
        <w:t>. However, most of the existing stock and even new sales of lighting equipment in South Africa does not reflect the latest LED technology, which can be used to replace conventional compact and linear fluorescent lamps, halogen lamps and high-intensity discharge lamps.  For an overview and background information of lighting in South Africa, the reader is referred to Annex E.2</w:t>
      </w:r>
    </w:p>
    <w:p w:rsidR="00AE0AEC" w:rsidRPr="00666B27" w:rsidRDefault="00AE0AEC" w:rsidP="00D83235">
      <w:pPr>
        <w:spacing w:after="0"/>
        <w:rPr>
          <w:noProof/>
          <w:szCs w:val="20"/>
          <w:lang w:val="en-GB"/>
        </w:rPr>
      </w:pPr>
    </w:p>
    <w:p w:rsidR="00505560" w:rsidRPr="00666B27" w:rsidRDefault="00D90826" w:rsidP="00505560">
      <w:pPr>
        <w:spacing w:after="0"/>
        <w:rPr>
          <w:noProof/>
          <w:szCs w:val="20"/>
          <w:lang w:val="en-GB"/>
        </w:rPr>
      </w:pPr>
      <w:r w:rsidRPr="00666B27">
        <w:rPr>
          <w:noProof/>
          <w:szCs w:val="20"/>
          <w:lang w:val="en-GB"/>
        </w:rPr>
        <w:t>Older</w:t>
      </w:r>
      <w:r w:rsidR="0044496E" w:rsidRPr="00666B27">
        <w:rPr>
          <w:noProof/>
          <w:szCs w:val="20"/>
          <w:lang w:val="en-GB"/>
        </w:rPr>
        <w:t xml:space="preserve"> distribution transformers</w:t>
      </w:r>
      <w:r w:rsidRPr="00666B27">
        <w:rPr>
          <w:noProof/>
          <w:szCs w:val="20"/>
          <w:lang w:val="en-GB"/>
        </w:rPr>
        <w:t xml:space="preserve"> </w:t>
      </w:r>
      <w:r w:rsidR="0044496E" w:rsidRPr="00666B27">
        <w:rPr>
          <w:noProof/>
          <w:szCs w:val="20"/>
          <w:lang w:val="en-GB"/>
        </w:rPr>
        <w:t xml:space="preserve"> can be replaced by newer high-efficiency models that have lower (load and no-load) energy losses. </w:t>
      </w:r>
      <w:r w:rsidR="00672B38" w:rsidRPr="00666B27">
        <w:rPr>
          <w:noProof/>
          <w:szCs w:val="20"/>
          <w:lang w:val="en-GB"/>
        </w:rPr>
        <w:t>A transformer can be made more energy-efficient by improving the materials of construction (e.g. better-quality core steel</w:t>
      </w:r>
      <w:r w:rsidR="0044496E" w:rsidRPr="00666B27">
        <w:rPr>
          <w:noProof/>
          <w:szCs w:val="20"/>
          <w:lang w:val="en-GB"/>
        </w:rPr>
        <w:t xml:space="preserve"> </w:t>
      </w:r>
      <w:r w:rsidR="00672B38" w:rsidRPr="00666B27">
        <w:rPr>
          <w:noProof/>
          <w:szCs w:val="20"/>
          <w:lang w:val="en-GB"/>
        </w:rPr>
        <w:t>or winding material) and by modifying the geometric configuration of the core and winding assemblies.</w:t>
      </w:r>
      <w:r w:rsidR="00505560" w:rsidRPr="00666B27">
        <w:rPr>
          <w:noProof/>
          <w:szCs w:val="20"/>
          <w:lang w:val="en-GB"/>
        </w:rPr>
        <w:t xml:space="preserve"> The most common transformer is liquid-filled with windings that are insulated and cooled with a liquid. These transformers are most often used by electric utilities and can be found in all stages of the electricity network, from generation step up through transmission and distribution. They are usually filled with mineral oil. There is large scope or replacing this with vegetable oil</w:t>
      </w:r>
      <w:r w:rsidR="0044496E" w:rsidRPr="00666B27">
        <w:rPr>
          <w:noProof/>
          <w:szCs w:val="20"/>
          <w:lang w:val="en-GB"/>
        </w:rPr>
        <w:t xml:space="preserve">. </w:t>
      </w:r>
      <w:bookmarkStart w:id="37" w:name="_Hlk433616"/>
      <w:r w:rsidR="0044496E" w:rsidRPr="00666B27">
        <w:rPr>
          <w:noProof/>
          <w:szCs w:val="20"/>
          <w:lang w:val="en-GB"/>
        </w:rPr>
        <w:t>For more info on the c</w:t>
      </w:r>
      <w:r w:rsidR="00505560" w:rsidRPr="00666B27">
        <w:rPr>
          <w:noProof/>
          <w:szCs w:val="20"/>
          <w:lang w:val="en-GB"/>
        </w:rPr>
        <w:t>ontext and overview of distribution transformers</w:t>
      </w:r>
      <w:r w:rsidR="0044496E" w:rsidRPr="00666B27">
        <w:rPr>
          <w:noProof/>
          <w:szCs w:val="20"/>
          <w:lang w:val="en-GB"/>
        </w:rPr>
        <w:t xml:space="preserve">, the reader is referred to </w:t>
      </w:r>
      <w:r w:rsidR="00505560" w:rsidRPr="00666B27">
        <w:rPr>
          <w:noProof/>
          <w:szCs w:val="20"/>
          <w:lang w:val="en-GB"/>
        </w:rPr>
        <w:t>Annex E.3.</w:t>
      </w:r>
      <w:bookmarkEnd w:id="37"/>
    </w:p>
    <w:bookmarkEnd w:id="36"/>
    <w:p w:rsidR="00672B38" w:rsidRPr="00666B27" w:rsidRDefault="00672B38" w:rsidP="00672B38">
      <w:pPr>
        <w:spacing w:after="0"/>
        <w:rPr>
          <w:noProof/>
          <w:szCs w:val="20"/>
          <w:lang w:val="en-GB"/>
        </w:rPr>
      </w:pPr>
    </w:p>
    <w:p w:rsidR="00551413" w:rsidRPr="00666B27" w:rsidRDefault="00551413" w:rsidP="0077767F">
      <w:pPr>
        <w:spacing w:after="0"/>
        <w:rPr>
          <w:szCs w:val="20"/>
          <w:u w:val="single"/>
          <w:lang w:val="en-GB"/>
        </w:rPr>
      </w:pPr>
      <w:r w:rsidRPr="00666B27">
        <w:rPr>
          <w:szCs w:val="20"/>
          <w:u w:val="single"/>
          <w:lang w:val="en-GB"/>
        </w:rPr>
        <w:t xml:space="preserve">Barriers and </w:t>
      </w:r>
      <w:r w:rsidR="00BB5B04" w:rsidRPr="00666B27">
        <w:rPr>
          <w:szCs w:val="20"/>
          <w:u w:val="single"/>
          <w:lang w:val="en-GB"/>
        </w:rPr>
        <w:t>challenges</w:t>
      </w:r>
      <w:r w:rsidRPr="00666B27">
        <w:rPr>
          <w:szCs w:val="20"/>
          <w:u w:val="single"/>
          <w:lang w:val="en-GB"/>
        </w:rPr>
        <w:t xml:space="preserve"> analysis</w:t>
      </w:r>
    </w:p>
    <w:p w:rsidR="00C414A7" w:rsidRPr="00666B27" w:rsidRDefault="00C414A7" w:rsidP="0077767F">
      <w:pPr>
        <w:spacing w:after="0"/>
        <w:rPr>
          <w:szCs w:val="20"/>
          <w:lang w:val="en-GB"/>
        </w:rPr>
      </w:pPr>
    </w:p>
    <w:p w:rsidR="0077767F" w:rsidRPr="0057545E" w:rsidRDefault="005B5CF8" w:rsidP="0077767F">
      <w:pPr>
        <w:spacing w:after="0"/>
        <w:rPr>
          <w:szCs w:val="20"/>
          <w:lang w:val="en-GB"/>
        </w:rPr>
      </w:pPr>
      <w:r w:rsidRPr="00666B27">
        <w:rPr>
          <w:szCs w:val="20"/>
          <w:lang w:val="en-GB"/>
        </w:rPr>
        <w:t xml:space="preserve">The </w:t>
      </w:r>
      <w:r w:rsidR="00C414A7" w:rsidRPr="00666B27">
        <w:rPr>
          <w:szCs w:val="20"/>
          <w:lang w:val="en-GB"/>
        </w:rPr>
        <w:t xml:space="preserve">transition to an economy with </w:t>
      </w:r>
      <w:r w:rsidR="0021154A" w:rsidRPr="00666B27">
        <w:rPr>
          <w:noProof/>
          <w:szCs w:val="20"/>
          <w:lang w:val="en-GB"/>
        </w:rPr>
        <w:t>increased</w:t>
      </w:r>
      <w:r w:rsidR="00C414A7" w:rsidRPr="00666B27">
        <w:rPr>
          <w:szCs w:val="20"/>
          <w:lang w:val="en-GB"/>
        </w:rPr>
        <w:t xml:space="preserve"> use of </w:t>
      </w:r>
      <w:r w:rsidR="00C414A7" w:rsidRPr="00666B27">
        <w:rPr>
          <w:noProof/>
          <w:szCs w:val="20"/>
          <w:lang w:val="en-GB"/>
        </w:rPr>
        <w:t>high</w:t>
      </w:r>
      <w:r w:rsidR="0021154A" w:rsidRPr="00666B27">
        <w:rPr>
          <w:noProof/>
          <w:szCs w:val="20"/>
          <w:lang w:val="en-GB"/>
        </w:rPr>
        <w:t>-</w:t>
      </w:r>
      <w:r w:rsidR="00C414A7" w:rsidRPr="00666B27">
        <w:rPr>
          <w:noProof/>
          <w:szCs w:val="20"/>
          <w:lang w:val="en-GB"/>
        </w:rPr>
        <w:t>efficiency</w:t>
      </w:r>
      <w:r w:rsidR="00C414A7" w:rsidRPr="00666B27">
        <w:rPr>
          <w:szCs w:val="20"/>
          <w:lang w:val="en-GB"/>
        </w:rPr>
        <w:t xml:space="preserve"> appliances and equipment is faced by</w:t>
      </w:r>
      <w:r w:rsidR="0077767F" w:rsidRPr="00666B27">
        <w:rPr>
          <w:szCs w:val="20"/>
          <w:lang w:val="en-GB"/>
        </w:rPr>
        <w:t xml:space="preserve"> substantial challenges and barriers</w:t>
      </w:r>
      <w:r w:rsidR="00C414A7" w:rsidRPr="00666B27">
        <w:rPr>
          <w:szCs w:val="20"/>
          <w:lang w:val="en-GB"/>
        </w:rPr>
        <w:t>.</w:t>
      </w:r>
      <w:r w:rsidRPr="00666B27">
        <w:rPr>
          <w:szCs w:val="20"/>
          <w:lang w:val="en-GB"/>
        </w:rPr>
        <w:t xml:space="preserve"> The </w:t>
      </w:r>
      <w:r w:rsidRPr="00666B27">
        <w:rPr>
          <w:b/>
          <w:szCs w:val="20"/>
          <w:lang w:val="en-GB"/>
        </w:rPr>
        <w:t>core problem</w:t>
      </w:r>
      <w:r w:rsidRPr="00666B27">
        <w:rPr>
          <w:szCs w:val="20"/>
          <w:lang w:val="en-GB"/>
        </w:rPr>
        <w:t xml:space="preserve"> is that the </w:t>
      </w:r>
      <w:r w:rsidRPr="00666B27">
        <w:rPr>
          <w:i/>
          <w:szCs w:val="20"/>
          <w:lang w:val="en-GB"/>
        </w:rPr>
        <w:t xml:space="preserve">persistence of barriers and challenges that limit the market penetration of </w:t>
      </w:r>
      <w:r w:rsidR="0021154A" w:rsidRPr="00666B27">
        <w:rPr>
          <w:i/>
          <w:szCs w:val="20"/>
          <w:lang w:val="en-GB"/>
        </w:rPr>
        <w:t xml:space="preserve">high-efficiency </w:t>
      </w:r>
      <w:r w:rsidRPr="00666B27">
        <w:rPr>
          <w:i/>
          <w:noProof/>
          <w:szCs w:val="20"/>
          <w:lang w:val="en-GB"/>
        </w:rPr>
        <w:t>lighting</w:t>
      </w:r>
      <w:r w:rsidRPr="00666B27">
        <w:rPr>
          <w:i/>
          <w:szCs w:val="20"/>
          <w:lang w:val="en-GB"/>
        </w:rPr>
        <w:t xml:space="preserve"> and distribution transformers</w:t>
      </w:r>
      <w:r w:rsidR="003B5D0A" w:rsidRPr="00666B27">
        <w:rPr>
          <w:i/>
          <w:szCs w:val="20"/>
          <w:lang w:val="en-GB"/>
        </w:rPr>
        <w:t xml:space="preserve">. </w:t>
      </w:r>
      <w:r w:rsidR="00C414A7" w:rsidRPr="00666B27">
        <w:rPr>
          <w:szCs w:val="20"/>
          <w:lang w:val="en-GB"/>
        </w:rPr>
        <w:t xml:space="preserve">Addressing the core problem requires attention to the underlying </w:t>
      </w:r>
      <w:r w:rsidR="0055550D" w:rsidRPr="00666B27">
        <w:rPr>
          <w:szCs w:val="20"/>
          <w:lang w:val="en-GB"/>
        </w:rPr>
        <w:t xml:space="preserve">root </w:t>
      </w:r>
      <w:r w:rsidR="00C414A7" w:rsidRPr="00666B27">
        <w:rPr>
          <w:szCs w:val="20"/>
          <w:lang w:val="en-GB"/>
        </w:rPr>
        <w:t xml:space="preserve">causes (posed by </w:t>
      </w:r>
      <w:r w:rsidR="0055550D" w:rsidRPr="00666B27">
        <w:rPr>
          <w:szCs w:val="20"/>
          <w:lang w:val="en-GB"/>
        </w:rPr>
        <w:t xml:space="preserve">various </w:t>
      </w:r>
      <w:r w:rsidR="00C414A7" w:rsidRPr="00666B27">
        <w:rPr>
          <w:szCs w:val="20"/>
          <w:lang w:val="en-GB"/>
        </w:rPr>
        <w:t>challenges and barriers</w:t>
      </w:r>
      <w:r w:rsidR="0055550D" w:rsidRPr="00666B27">
        <w:rPr>
          <w:szCs w:val="20"/>
          <w:lang w:val="en-GB"/>
        </w:rPr>
        <w:t>)</w:t>
      </w:r>
      <w:r w:rsidR="00C414A7" w:rsidRPr="00666B27">
        <w:rPr>
          <w:szCs w:val="20"/>
          <w:lang w:val="en-GB"/>
        </w:rPr>
        <w:t xml:space="preserve">. </w:t>
      </w:r>
      <w:r w:rsidR="00722017" w:rsidRPr="00666B27">
        <w:rPr>
          <w:szCs w:val="20"/>
          <w:lang w:val="en-GB"/>
        </w:rPr>
        <w:t xml:space="preserve">The description of the project in the Child Project Concept, updated with the stakeholder input during the </w:t>
      </w:r>
      <w:r w:rsidR="006F34D6" w:rsidRPr="00666B27">
        <w:rPr>
          <w:noProof/>
          <w:szCs w:val="20"/>
          <w:lang w:val="en-GB"/>
        </w:rPr>
        <w:t xml:space="preserve">several </w:t>
      </w:r>
      <w:r w:rsidR="006F34D6" w:rsidRPr="00666B27">
        <w:rPr>
          <w:szCs w:val="20"/>
          <w:lang w:val="en-GB"/>
        </w:rPr>
        <w:t>project</w:t>
      </w:r>
      <w:r w:rsidR="00722017" w:rsidRPr="00666B27">
        <w:rPr>
          <w:szCs w:val="20"/>
          <w:lang w:val="en-GB"/>
        </w:rPr>
        <w:t xml:space="preserve"> preparation mission by the PPG team of consultants in 2017 and 2018 and the stakeholder validation workshop in March 2019, facilitated identification of the </w:t>
      </w:r>
      <w:r w:rsidR="00722017" w:rsidRPr="00666B27">
        <w:rPr>
          <w:i/>
          <w:szCs w:val="20"/>
          <w:lang w:val="en-GB"/>
        </w:rPr>
        <w:t>main causes</w:t>
      </w:r>
      <w:r w:rsidR="00722017" w:rsidRPr="00666B27">
        <w:rPr>
          <w:szCs w:val="20"/>
          <w:lang w:val="en-GB"/>
        </w:rPr>
        <w:t xml:space="preserve"> to address and </w:t>
      </w:r>
      <w:r w:rsidR="00722017" w:rsidRPr="00666B27">
        <w:rPr>
          <w:i/>
          <w:szCs w:val="20"/>
          <w:lang w:val="en-GB"/>
        </w:rPr>
        <w:t>underlying challenges (causes and barriers</w:t>
      </w:r>
      <w:r w:rsidR="00722017" w:rsidRPr="00666B27">
        <w:rPr>
          <w:szCs w:val="20"/>
          <w:lang w:val="en-GB"/>
        </w:rPr>
        <w:t xml:space="preserve">). </w:t>
      </w:r>
      <w:r w:rsidR="00551413" w:rsidRPr="00666B27">
        <w:rPr>
          <w:szCs w:val="20"/>
          <w:lang w:val="en-GB"/>
        </w:rPr>
        <w:t xml:space="preserve">These </w:t>
      </w:r>
      <w:bookmarkStart w:id="38" w:name="_Hlk536267698"/>
      <w:r w:rsidR="00551413" w:rsidRPr="00666B27">
        <w:rPr>
          <w:szCs w:val="20"/>
          <w:lang w:val="en-GB"/>
        </w:rPr>
        <w:t xml:space="preserve">barriers </w:t>
      </w:r>
      <w:r w:rsidR="00722017" w:rsidRPr="00666B27">
        <w:rPr>
          <w:szCs w:val="20"/>
          <w:lang w:val="en-GB"/>
        </w:rPr>
        <w:t xml:space="preserve">and challenges are </w:t>
      </w:r>
      <w:r w:rsidR="00551413" w:rsidRPr="00666B27">
        <w:rPr>
          <w:szCs w:val="20"/>
          <w:lang w:val="en-GB"/>
        </w:rPr>
        <w:t xml:space="preserve">described in </w:t>
      </w:r>
      <w:r w:rsidR="00722017" w:rsidRPr="00666B27">
        <w:rPr>
          <w:szCs w:val="20"/>
          <w:lang w:val="en-GB"/>
        </w:rPr>
        <w:t>detail in</w:t>
      </w:r>
      <w:r w:rsidR="00BF31B5" w:rsidRPr="00666B27">
        <w:rPr>
          <w:szCs w:val="20"/>
          <w:lang w:val="en-GB"/>
        </w:rPr>
        <w:t xml:space="preserve">  </w:t>
      </w:r>
      <w:r w:rsidR="00BF31B5" w:rsidRPr="0057545E">
        <w:rPr>
          <w:szCs w:val="20"/>
          <w:lang w:val="en-GB"/>
        </w:rPr>
        <w:fldChar w:fldCharType="begin"/>
      </w:r>
      <w:r w:rsidR="00BF31B5" w:rsidRPr="00666B27">
        <w:rPr>
          <w:szCs w:val="20"/>
          <w:lang w:val="en-GB"/>
        </w:rPr>
        <w:instrText xml:space="preserve"> REF _Ref536691457 \h </w:instrText>
      </w:r>
      <w:r w:rsidR="0021154A" w:rsidRPr="00666B27">
        <w:rPr>
          <w:szCs w:val="20"/>
          <w:lang w:val="en-GB"/>
        </w:rPr>
        <w:instrText xml:space="preserve"> \* MERGEFORMAT </w:instrText>
      </w:r>
      <w:r w:rsidR="00BF31B5" w:rsidRPr="0057545E">
        <w:rPr>
          <w:szCs w:val="20"/>
          <w:lang w:val="en-GB"/>
        </w:rPr>
      </w:r>
      <w:r w:rsidR="00BF31B5" w:rsidRPr="0057545E">
        <w:rPr>
          <w:szCs w:val="20"/>
          <w:lang w:val="en-GB"/>
        </w:rPr>
        <w:fldChar w:fldCharType="separate"/>
      </w:r>
      <w:r w:rsidR="00BB1E93" w:rsidRPr="00BB1E93">
        <w:rPr>
          <w:rFonts w:ascii="Arial" w:hAnsi="Arial" w:cs="Arial"/>
          <w:color w:val="2E74B5"/>
          <w:sz w:val="18"/>
          <w:lang w:val="en-GB"/>
        </w:rPr>
        <w:t xml:space="preserve">Box </w:t>
      </w:r>
      <w:r w:rsidR="00BB1E93" w:rsidRPr="00BB1E93">
        <w:rPr>
          <w:rFonts w:ascii="Arial" w:hAnsi="Arial" w:cs="Arial"/>
          <w:noProof/>
          <w:color w:val="2E74B5"/>
          <w:sz w:val="18"/>
          <w:lang w:val="en-GB"/>
        </w:rPr>
        <w:t>3</w:t>
      </w:r>
      <w:r w:rsidR="00BF31B5" w:rsidRPr="0057545E">
        <w:rPr>
          <w:noProof/>
          <w:szCs w:val="20"/>
          <w:lang w:val="en-GB"/>
        </w:rPr>
        <w:fldChar w:fldCharType="end"/>
      </w:r>
      <w:bookmarkEnd w:id="38"/>
      <w:r w:rsidR="00BF31B5" w:rsidRPr="0057545E">
        <w:rPr>
          <w:noProof/>
          <w:szCs w:val="20"/>
          <w:lang w:val="en-GB"/>
        </w:rPr>
        <w:t>,</w:t>
      </w:r>
      <w:r w:rsidR="00BF31B5" w:rsidRPr="0057545E">
        <w:rPr>
          <w:szCs w:val="20"/>
          <w:lang w:val="en-GB"/>
        </w:rPr>
        <w:t xml:space="preserve"> while a graphical overview is </w:t>
      </w:r>
      <w:r w:rsidR="00722017" w:rsidRPr="0057545E">
        <w:rPr>
          <w:szCs w:val="20"/>
          <w:lang w:val="en-GB"/>
        </w:rPr>
        <w:t xml:space="preserve">presented in </w:t>
      </w:r>
      <w:r w:rsidR="00722017" w:rsidRPr="0057545E">
        <w:rPr>
          <w:szCs w:val="20"/>
          <w:lang w:val="en-GB"/>
        </w:rPr>
        <w:fldChar w:fldCharType="begin"/>
      </w:r>
      <w:r w:rsidR="00722017" w:rsidRPr="00666B27">
        <w:rPr>
          <w:szCs w:val="20"/>
          <w:lang w:val="en-GB"/>
        </w:rPr>
        <w:instrText xml:space="preserve"> REF _Ref495689778 \h </w:instrText>
      </w:r>
      <w:r w:rsidR="00497A93" w:rsidRPr="00666B27">
        <w:rPr>
          <w:szCs w:val="20"/>
          <w:lang w:val="en-GB"/>
        </w:rPr>
        <w:instrText xml:space="preserve"> \* MERGEFORMAT </w:instrText>
      </w:r>
      <w:r w:rsidR="00722017" w:rsidRPr="0057545E">
        <w:rPr>
          <w:szCs w:val="20"/>
          <w:lang w:val="en-GB"/>
        </w:rPr>
      </w:r>
      <w:r w:rsidR="00722017" w:rsidRPr="0057545E">
        <w:rPr>
          <w:szCs w:val="20"/>
          <w:lang w:val="en-GB"/>
        </w:rPr>
        <w:fldChar w:fldCharType="separate"/>
      </w:r>
      <w:r w:rsidR="00722017" w:rsidRPr="0057545E">
        <w:rPr>
          <w:rFonts w:ascii="Arial" w:hAnsi="Arial" w:cs="Arial"/>
          <w:color w:val="2E74B5"/>
          <w:sz w:val="18"/>
          <w:lang w:val="en-GB"/>
        </w:rPr>
        <w:t xml:space="preserve">Box </w:t>
      </w:r>
      <w:r w:rsidR="00722017" w:rsidRPr="0057545E">
        <w:rPr>
          <w:rFonts w:ascii="Arial" w:hAnsi="Arial" w:cs="Arial"/>
          <w:noProof/>
          <w:color w:val="2E74B5"/>
          <w:sz w:val="18"/>
          <w:lang w:val="en-GB"/>
        </w:rPr>
        <w:t>3</w:t>
      </w:r>
      <w:r w:rsidR="00722017" w:rsidRPr="0057545E">
        <w:rPr>
          <w:szCs w:val="20"/>
          <w:lang w:val="en-GB"/>
        </w:rPr>
        <w:fldChar w:fldCharType="end"/>
      </w:r>
      <w:r w:rsidR="00C414A7" w:rsidRPr="0057545E">
        <w:rPr>
          <w:szCs w:val="20"/>
          <w:lang w:val="en-GB"/>
        </w:rPr>
        <w:t xml:space="preserve"> and explained below.</w:t>
      </w:r>
    </w:p>
    <w:p w:rsidR="00D167F6" w:rsidRPr="00353542" w:rsidRDefault="00D167F6" w:rsidP="0077767F">
      <w:pPr>
        <w:spacing w:after="0"/>
        <w:rPr>
          <w:szCs w:val="20"/>
          <w:lang w:val="en-GB"/>
        </w:rPr>
      </w:pPr>
    </w:p>
    <w:p w:rsidR="003B5D0A" w:rsidRPr="00666B27" w:rsidRDefault="001F7C63" w:rsidP="00C24696">
      <w:pPr>
        <w:spacing w:after="0"/>
        <w:rPr>
          <w:szCs w:val="20"/>
          <w:lang w:val="en-GB"/>
        </w:rPr>
      </w:pPr>
      <w:r w:rsidRPr="003B7D62">
        <w:rPr>
          <w:szCs w:val="20"/>
          <w:lang w:val="en-GB"/>
        </w:rPr>
        <w:lastRenderedPageBreak/>
        <w:t xml:space="preserve">One main challenge (cause) </w:t>
      </w:r>
      <w:r w:rsidR="00C414A7" w:rsidRPr="008E26A0">
        <w:rPr>
          <w:szCs w:val="20"/>
          <w:lang w:val="en-GB"/>
        </w:rPr>
        <w:t xml:space="preserve">is formed by </w:t>
      </w:r>
      <w:r w:rsidR="00C414A7" w:rsidRPr="008E26A0">
        <w:rPr>
          <w:i/>
          <w:szCs w:val="20"/>
          <w:lang w:val="en-GB"/>
        </w:rPr>
        <w:t>l</w:t>
      </w:r>
      <w:r w:rsidRPr="008E26A0">
        <w:rPr>
          <w:i/>
          <w:szCs w:val="20"/>
          <w:lang w:val="en-GB"/>
        </w:rPr>
        <w:t xml:space="preserve">imited planning and </w:t>
      </w:r>
      <w:r w:rsidR="00C414A7" w:rsidRPr="008E26A0">
        <w:rPr>
          <w:i/>
          <w:szCs w:val="20"/>
          <w:lang w:val="en-GB"/>
        </w:rPr>
        <w:t xml:space="preserve">lack of </w:t>
      </w:r>
      <w:r w:rsidRPr="008E26A0">
        <w:rPr>
          <w:i/>
          <w:szCs w:val="20"/>
          <w:lang w:val="en-GB"/>
        </w:rPr>
        <w:t xml:space="preserve">mandatory standards and/or </w:t>
      </w:r>
      <w:r w:rsidRPr="008E26A0">
        <w:rPr>
          <w:i/>
          <w:noProof/>
          <w:szCs w:val="20"/>
          <w:lang w:val="en-GB"/>
        </w:rPr>
        <w:t>labelling</w:t>
      </w:r>
      <w:r w:rsidRPr="004722F0">
        <w:rPr>
          <w:i/>
          <w:szCs w:val="20"/>
          <w:lang w:val="en-GB"/>
        </w:rPr>
        <w:t xml:space="preserve"> system </w:t>
      </w:r>
      <w:r w:rsidRPr="004722F0">
        <w:rPr>
          <w:szCs w:val="20"/>
          <w:lang w:val="en-GB"/>
        </w:rPr>
        <w:t xml:space="preserve">(existing for </w:t>
      </w:r>
      <w:proofErr w:type="gramStart"/>
      <w:r w:rsidRPr="004722F0">
        <w:rPr>
          <w:szCs w:val="20"/>
          <w:lang w:val="en-GB"/>
        </w:rPr>
        <w:t>a number of</w:t>
      </w:r>
      <w:proofErr w:type="gramEnd"/>
      <w:r w:rsidRPr="004722F0">
        <w:rPr>
          <w:szCs w:val="20"/>
          <w:lang w:val="en-GB"/>
        </w:rPr>
        <w:t xml:space="preserve"> household appliances, but not </w:t>
      </w:r>
      <w:r w:rsidRPr="00666B27">
        <w:rPr>
          <w:szCs w:val="20"/>
          <w:lang w:val="en-GB"/>
        </w:rPr>
        <w:t>for</w:t>
      </w:r>
      <w:r w:rsidR="00C414A7" w:rsidRPr="00666B27">
        <w:rPr>
          <w:szCs w:val="20"/>
          <w:lang w:val="en-GB"/>
        </w:rPr>
        <w:t xml:space="preserve"> l</w:t>
      </w:r>
      <w:r w:rsidRPr="00666B27">
        <w:rPr>
          <w:szCs w:val="20"/>
          <w:lang w:val="en-GB"/>
        </w:rPr>
        <w:t xml:space="preserve">ighting </w:t>
      </w:r>
      <w:r w:rsidR="00C414A7" w:rsidRPr="00666B27">
        <w:rPr>
          <w:szCs w:val="20"/>
          <w:lang w:val="en-GB"/>
        </w:rPr>
        <w:t xml:space="preserve">products </w:t>
      </w:r>
      <w:r w:rsidRPr="00666B27">
        <w:rPr>
          <w:szCs w:val="20"/>
          <w:lang w:val="en-GB"/>
        </w:rPr>
        <w:t xml:space="preserve">or distribution transformers). A second main challenge is the </w:t>
      </w:r>
      <w:r w:rsidRPr="00666B27">
        <w:rPr>
          <w:i/>
          <w:szCs w:val="20"/>
          <w:lang w:val="en-GB"/>
        </w:rPr>
        <w:t>weakness of market signals to consumers about the value of energy efficiency</w:t>
      </w:r>
      <w:r w:rsidRPr="00666B27">
        <w:rPr>
          <w:szCs w:val="20"/>
          <w:lang w:val="en-GB"/>
        </w:rPr>
        <w:t>, which arises from</w:t>
      </w:r>
      <w:r w:rsidR="00AE1990" w:rsidRPr="00666B27">
        <w:rPr>
          <w:szCs w:val="20"/>
          <w:lang w:val="en-GB"/>
        </w:rPr>
        <w:t xml:space="preserve"> a</w:t>
      </w:r>
      <w:r w:rsidRPr="00666B27">
        <w:rPr>
          <w:szCs w:val="20"/>
          <w:lang w:val="en-GB"/>
        </w:rPr>
        <w:t xml:space="preserve"> </w:t>
      </w:r>
      <w:r w:rsidRPr="00666B27">
        <w:rPr>
          <w:i/>
          <w:szCs w:val="20"/>
          <w:lang w:val="en-GB"/>
        </w:rPr>
        <w:t xml:space="preserve">lack of awareness </w:t>
      </w:r>
      <w:r w:rsidR="00AE1990" w:rsidRPr="00666B27">
        <w:rPr>
          <w:i/>
          <w:szCs w:val="20"/>
          <w:lang w:val="en-GB"/>
        </w:rPr>
        <w:t xml:space="preserve">and </w:t>
      </w:r>
      <w:r w:rsidRPr="00666B27">
        <w:rPr>
          <w:i/>
          <w:szCs w:val="20"/>
          <w:lang w:val="en-GB"/>
        </w:rPr>
        <w:t>information for residential users on</w:t>
      </w:r>
      <w:r w:rsidR="00AE1990" w:rsidRPr="00666B27">
        <w:rPr>
          <w:i/>
          <w:szCs w:val="20"/>
          <w:lang w:val="en-GB"/>
        </w:rPr>
        <w:t xml:space="preserve"> energy-relevant characteristics</w:t>
      </w:r>
      <w:r w:rsidR="00AE1990" w:rsidRPr="00666B27">
        <w:rPr>
          <w:szCs w:val="20"/>
          <w:lang w:val="en-GB"/>
        </w:rPr>
        <w:t xml:space="preserve"> (e.g.,</w:t>
      </w:r>
      <w:r w:rsidRPr="00666B27">
        <w:rPr>
          <w:szCs w:val="20"/>
          <w:lang w:val="en-GB"/>
        </w:rPr>
        <w:t xml:space="preserve"> initial and lifetime benefits and costs of lamps</w:t>
      </w:r>
      <w:r w:rsidR="00AE1990" w:rsidRPr="00666B27">
        <w:rPr>
          <w:szCs w:val="20"/>
          <w:lang w:val="en-GB"/>
        </w:rPr>
        <w:t xml:space="preserve">, </w:t>
      </w:r>
      <w:r w:rsidRPr="00666B27">
        <w:rPr>
          <w:szCs w:val="20"/>
          <w:lang w:val="en-GB"/>
        </w:rPr>
        <w:t xml:space="preserve">performance </w:t>
      </w:r>
      <w:r w:rsidRPr="00666B27">
        <w:rPr>
          <w:noProof/>
          <w:szCs w:val="20"/>
          <w:lang w:val="en-GB"/>
        </w:rPr>
        <w:t>and</w:t>
      </w:r>
      <w:r w:rsidRPr="00666B27">
        <w:rPr>
          <w:szCs w:val="20"/>
          <w:lang w:val="en-GB"/>
        </w:rPr>
        <w:t xml:space="preserve"> quality of lamps</w:t>
      </w:r>
      <w:r w:rsidR="00AE1990" w:rsidRPr="00666B27">
        <w:rPr>
          <w:szCs w:val="20"/>
          <w:lang w:val="en-GB"/>
        </w:rPr>
        <w:t>)</w:t>
      </w:r>
      <w:r w:rsidRPr="00666B27">
        <w:rPr>
          <w:szCs w:val="20"/>
          <w:lang w:val="en-GB"/>
        </w:rPr>
        <w:t xml:space="preserve">.  This is linked with the above-mentioned barrier of </w:t>
      </w:r>
      <w:r w:rsidR="0021154A" w:rsidRPr="00666B27">
        <w:rPr>
          <w:szCs w:val="20"/>
          <w:lang w:val="en-GB"/>
        </w:rPr>
        <w:t xml:space="preserve">the </w:t>
      </w:r>
      <w:r w:rsidRPr="00666B27">
        <w:rPr>
          <w:noProof/>
          <w:szCs w:val="20"/>
          <w:lang w:val="en-GB"/>
        </w:rPr>
        <w:t>absence</w:t>
      </w:r>
      <w:r w:rsidRPr="00666B27">
        <w:rPr>
          <w:szCs w:val="20"/>
          <w:lang w:val="en-GB"/>
        </w:rPr>
        <w:t xml:space="preserve"> of effective </w:t>
      </w:r>
      <w:r w:rsidRPr="00666B27">
        <w:rPr>
          <w:noProof/>
          <w:szCs w:val="20"/>
          <w:lang w:val="en-GB"/>
        </w:rPr>
        <w:t>labelling</w:t>
      </w:r>
      <w:r w:rsidRPr="00666B27">
        <w:rPr>
          <w:szCs w:val="20"/>
          <w:lang w:val="en-GB"/>
        </w:rPr>
        <w:t xml:space="preserve"> (energy, information and/or endorsement) for consumers. </w:t>
      </w:r>
    </w:p>
    <w:p w:rsidR="003B5D0A" w:rsidRPr="00666B27" w:rsidRDefault="003B5D0A" w:rsidP="00C24696">
      <w:pPr>
        <w:spacing w:after="0"/>
        <w:rPr>
          <w:szCs w:val="20"/>
          <w:lang w:val="en-GB"/>
        </w:rPr>
      </w:pPr>
    </w:p>
    <w:p w:rsidR="00C24696" w:rsidRPr="00666B27" w:rsidRDefault="003B5D0A" w:rsidP="00C24696">
      <w:pPr>
        <w:spacing w:after="0"/>
        <w:rPr>
          <w:szCs w:val="20"/>
          <w:lang w:val="en-GB"/>
        </w:rPr>
      </w:pPr>
      <w:r w:rsidRPr="00666B27">
        <w:rPr>
          <w:noProof/>
          <w:szCs w:val="20"/>
          <w:lang w:val="en-GB"/>
        </w:rPr>
        <w:t>A m</w:t>
      </w:r>
      <w:r w:rsidR="0021154A" w:rsidRPr="00666B27">
        <w:rPr>
          <w:noProof/>
          <w:szCs w:val="20"/>
          <w:lang w:val="en-GB"/>
        </w:rPr>
        <w:t>ajor</w:t>
      </w:r>
      <w:r w:rsidRPr="00666B27">
        <w:rPr>
          <w:szCs w:val="20"/>
          <w:lang w:val="en-GB"/>
        </w:rPr>
        <w:t xml:space="preserve"> barrier is formed by </w:t>
      </w:r>
      <w:r w:rsidRPr="00666B27">
        <w:rPr>
          <w:i/>
          <w:szCs w:val="20"/>
          <w:lang w:val="en-GB"/>
        </w:rPr>
        <w:t xml:space="preserve">insufficient human resources </w:t>
      </w:r>
      <w:r w:rsidRPr="00666B27">
        <w:rPr>
          <w:szCs w:val="20"/>
          <w:lang w:val="en-GB"/>
        </w:rPr>
        <w:t>(with adequate technical EE and financial skills)</w:t>
      </w:r>
      <w:r w:rsidRPr="00666B27">
        <w:rPr>
          <w:i/>
          <w:szCs w:val="20"/>
          <w:lang w:val="en-GB"/>
        </w:rPr>
        <w:t xml:space="preserve"> and insufficient access to financial resources. Current government (national, municipal) financing alone cannot achieve a full transition towards higher efficiency LED lighting and distribution transformers. </w:t>
      </w:r>
      <w:r w:rsidRPr="00666B27">
        <w:rPr>
          <w:szCs w:val="20"/>
          <w:lang w:val="en-GB"/>
        </w:rPr>
        <w:t xml:space="preserve">On the other hand, it is difficult to get (conventional) debt financing for a multitude of small EE investments, due to </w:t>
      </w:r>
      <w:r w:rsidRPr="00666B27">
        <w:rPr>
          <w:i/>
          <w:szCs w:val="20"/>
          <w:lang w:val="en-GB"/>
        </w:rPr>
        <w:t xml:space="preserve">high transaction cost, </w:t>
      </w:r>
      <w:r w:rsidRPr="00666B27">
        <w:rPr>
          <w:szCs w:val="20"/>
          <w:lang w:val="en-GB"/>
        </w:rPr>
        <w:t xml:space="preserve">and </w:t>
      </w:r>
      <w:r w:rsidRPr="00666B27">
        <w:rPr>
          <w:i/>
          <w:szCs w:val="20"/>
          <w:lang w:val="en-GB"/>
        </w:rPr>
        <w:t>high-risk perception</w:t>
      </w:r>
      <w:r w:rsidRPr="00666B27">
        <w:rPr>
          <w:szCs w:val="20"/>
          <w:lang w:val="en-GB"/>
        </w:rPr>
        <w:t xml:space="preserve"> of small EE investments. New modalities, such as involving energy service companies (ESCOs) are still in their infancy. </w:t>
      </w:r>
    </w:p>
    <w:p w:rsidR="00722017" w:rsidRPr="00666B27" w:rsidRDefault="00722017" w:rsidP="00C24696">
      <w:pPr>
        <w:spacing w:after="0"/>
        <w:rPr>
          <w:szCs w:val="20"/>
          <w:lang w:val="en-GB"/>
        </w:rPr>
      </w:pPr>
    </w:p>
    <w:p w:rsidR="00D8793E" w:rsidRPr="00666B27" w:rsidRDefault="00D8793E" w:rsidP="00D8793E">
      <w:pPr>
        <w:spacing w:after="0"/>
        <w:rPr>
          <w:i/>
          <w:szCs w:val="20"/>
          <w:lang w:val="en-GB"/>
        </w:rPr>
      </w:pPr>
      <w:r w:rsidRPr="00666B27">
        <w:rPr>
          <w:szCs w:val="20"/>
          <w:lang w:val="en-GB"/>
        </w:rPr>
        <w:t xml:space="preserve">Regarding, environmentally sound management, the issue of PCB-contaminated oil in transformers is being addressed. On the other hand, the </w:t>
      </w:r>
      <w:r w:rsidRPr="00666B27">
        <w:rPr>
          <w:i/>
          <w:szCs w:val="20"/>
          <w:lang w:val="en-GB"/>
        </w:rPr>
        <w:t>recycling and waste separation</w:t>
      </w:r>
      <w:r w:rsidRPr="00666B27">
        <w:rPr>
          <w:szCs w:val="20"/>
          <w:lang w:val="en-GB"/>
        </w:rPr>
        <w:t xml:space="preserve"> if used lamps can be much improved, while the </w:t>
      </w:r>
      <w:r w:rsidRPr="00666B27">
        <w:rPr>
          <w:i/>
          <w:szCs w:val="20"/>
          <w:lang w:val="en-GB"/>
        </w:rPr>
        <w:t xml:space="preserve">potential use of vegetable oil as </w:t>
      </w:r>
      <w:r w:rsidR="0021154A" w:rsidRPr="00666B27">
        <w:rPr>
          <w:i/>
          <w:szCs w:val="20"/>
          <w:lang w:val="en-GB"/>
        </w:rPr>
        <w:t xml:space="preserve">a </w:t>
      </w:r>
      <w:r w:rsidRPr="00666B27">
        <w:rPr>
          <w:i/>
          <w:noProof/>
          <w:szCs w:val="20"/>
          <w:lang w:val="en-GB"/>
        </w:rPr>
        <w:t>replacement</w:t>
      </w:r>
      <w:r w:rsidRPr="00666B27">
        <w:rPr>
          <w:i/>
          <w:szCs w:val="20"/>
          <w:lang w:val="en-GB"/>
        </w:rPr>
        <w:t xml:space="preserve"> for mineral oils</w:t>
      </w:r>
      <w:r w:rsidRPr="00666B27">
        <w:rPr>
          <w:szCs w:val="20"/>
          <w:lang w:val="en-GB"/>
        </w:rPr>
        <w:t xml:space="preserve"> has not been seriously </w:t>
      </w:r>
      <w:r w:rsidR="00AE1990" w:rsidRPr="00666B27">
        <w:rPr>
          <w:szCs w:val="20"/>
          <w:lang w:val="en-GB"/>
        </w:rPr>
        <w:t xml:space="preserve">investigated </w:t>
      </w:r>
      <w:r w:rsidRPr="00666B27">
        <w:rPr>
          <w:szCs w:val="20"/>
          <w:lang w:val="en-GB"/>
        </w:rPr>
        <w:t xml:space="preserve">yet. </w:t>
      </w:r>
    </w:p>
    <w:p w:rsidR="00D8793E" w:rsidRPr="00666B27" w:rsidRDefault="00D8793E" w:rsidP="001F7C63">
      <w:pPr>
        <w:spacing w:after="0"/>
        <w:rPr>
          <w:szCs w:val="20"/>
          <w:lang w:val="en-GB"/>
        </w:rPr>
      </w:pPr>
    </w:p>
    <w:p w:rsidR="00497A93" w:rsidRPr="0057545E" w:rsidRDefault="00497A93">
      <w:pPr>
        <w:spacing w:after="0"/>
        <w:jc w:val="left"/>
        <w:rPr>
          <w:rFonts w:ascii="Arial" w:hAnsi="Arial" w:cs="Arial"/>
          <w:b/>
          <w:color w:val="2E74B5"/>
          <w:sz w:val="18"/>
          <w:lang w:val="en-GB"/>
        </w:rPr>
      </w:pPr>
      <w:bookmarkStart w:id="39" w:name="_Ref536691457"/>
      <w:bookmarkStart w:id="40" w:name="_Toc179827"/>
      <w:r w:rsidRPr="00666B27">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0059009C" w:rsidRPr="0057545E">
        <w:rPr>
          <w:rFonts w:ascii="Arial" w:hAnsi="Arial" w:cs="Arial"/>
          <w:b/>
          <w:noProof/>
          <w:color w:val="2E74B5"/>
          <w:sz w:val="18"/>
          <w:lang w:val="en-GB"/>
        </w:rPr>
        <w:t>3</w:t>
      </w:r>
      <w:r w:rsidRPr="0057545E">
        <w:rPr>
          <w:rFonts w:ascii="Arial" w:hAnsi="Arial" w:cs="Arial"/>
          <w:b/>
          <w:color w:val="2E74B5"/>
          <w:sz w:val="18"/>
          <w:lang w:val="en-GB"/>
        </w:rPr>
        <w:fldChar w:fldCharType="end"/>
      </w:r>
      <w:bookmarkEnd w:id="39"/>
      <w:r w:rsidRPr="0057545E">
        <w:rPr>
          <w:rFonts w:ascii="Arial" w:hAnsi="Arial" w:cs="Arial"/>
          <w:b/>
          <w:color w:val="2E74B5"/>
          <w:sz w:val="18"/>
          <w:lang w:val="en-GB"/>
        </w:rPr>
        <w:tab/>
        <w:t>Overview of barriers and challenges</w:t>
      </w:r>
      <w:bookmarkEnd w:id="40"/>
    </w:p>
    <w:p w:rsidR="00497A93" w:rsidRPr="00353542" w:rsidRDefault="00497A93">
      <w:pPr>
        <w:spacing w:after="0"/>
        <w:jc w:val="left"/>
        <w:rPr>
          <w:szCs w:val="20"/>
          <w:lang w:val="en-GB"/>
        </w:rPr>
      </w:pPr>
    </w:p>
    <w:tbl>
      <w:tblPr>
        <w:tblW w:w="1063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32"/>
      </w:tblGrid>
      <w:tr w:rsidR="00497A93" w:rsidRPr="0057545E" w:rsidTr="00F737AD">
        <w:tc>
          <w:tcPr>
            <w:tcW w:w="10632" w:type="dxa"/>
            <w:shd w:val="clear" w:color="auto" w:fill="F2F2F2"/>
          </w:tcPr>
          <w:p w:rsidR="00497A93" w:rsidRPr="00F737AD" w:rsidRDefault="00497A93" w:rsidP="00F737AD">
            <w:pPr>
              <w:spacing w:before="60" w:after="0"/>
              <w:jc w:val="left"/>
              <w:rPr>
                <w:b/>
                <w:szCs w:val="20"/>
                <w:lang w:val="en-GB"/>
              </w:rPr>
            </w:pPr>
            <w:r w:rsidRPr="00F737AD">
              <w:rPr>
                <w:b/>
                <w:szCs w:val="20"/>
                <w:lang w:val="en-GB"/>
              </w:rPr>
              <w:t>Planning and regulations</w:t>
            </w:r>
          </w:p>
        </w:tc>
      </w:tr>
      <w:tr w:rsidR="00497A93" w:rsidRPr="0057545E" w:rsidTr="00F737AD">
        <w:tc>
          <w:tcPr>
            <w:tcW w:w="10632" w:type="dxa"/>
            <w:shd w:val="clear" w:color="auto" w:fill="auto"/>
          </w:tcPr>
          <w:p w:rsidR="00497A93" w:rsidRPr="00F737AD" w:rsidRDefault="00497A93" w:rsidP="00F737AD">
            <w:pPr>
              <w:numPr>
                <w:ilvl w:val="0"/>
                <w:numId w:val="47"/>
              </w:numPr>
              <w:tabs>
                <w:tab w:val="left" w:pos="306"/>
              </w:tabs>
              <w:spacing w:after="0"/>
              <w:ind w:left="306" w:hanging="306"/>
              <w:jc w:val="left"/>
              <w:rPr>
                <w:rFonts w:cs="Calibri"/>
                <w:szCs w:val="20"/>
                <w:lang w:val="en-GB" w:eastAsia="en-GB"/>
              </w:rPr>
            </w:pPr>
            <w:r w:rsidRPr="00F737AD">
              <w:rPr>
                <w:rFonts w:cs="Calibri"/>
                <w:i/>
                <w:szCs w:val="20"/>
                <w:lang w:val="en-GB" w:eastAsia="en-GB"/>
              </w:rPr>
              <w:t>Lack of coherent and comprehensive data on energy performance and characteristics of lighting products (lamps) and distribution transformers</w:t>
            </w:r>
          </w:p>
          <w:p w:rsidR="00497A93" w:rsidRPr="00F737AD" w:rsidRDefault="00497A93" w:rsidP="00F737AD">
            <w:pPr>
              <w:spacing w:before="60" w:after="0"/>
              <w:jc w:val="left"/>
              <w:rPr>
                <w:rFonts w:cs="Calibri"/>
                <w:szCs w:val="20"/>
                <w:lang w:val="en-GB" w:eastAsia="en-GB"/>
              </w:rPr>
            </w:pPr>
            <w:r w:rsidRPr="00F737AD">
              <w:rPr>
                <w:rFonts w:cs="Calibri"/>
                <w:szCs w:val="20"/>
                <w:lang w:val="en-GB" w:eastAsia="en-GB"/>
              </w:rPr>
              <w:t xml:space="preserve">Lamp suppliers, customs, Department of Energy, municipalities all have some data on lighting products, but this is neither aggregated to a national </w:t>
            </w:r>
            <w:r w:rsidRPr="00F737AD">
              <w:rPr>
                <w:rFonts w:cs="Calibri"/>
                <w:noProof/>
                <w:szCs w:val="20"/>
                <w:lang w:val="en-GB" w:eastAsia="en-GB"/>
              </w:rPr>
              <w:t>level</w:t>
            </w:r>
            <w:r w:rsidRPr="00F737AD">
              <w:rPr>
                <w:rFonts w:cs="Calibri"/>
                <w:szCs w:val="20"/>
                <w:lang w:val="en-GB" w:eastAsia="en-GB"/>
              </w:rPr>
              <w:t xml:space="preserve"> nor is there a consistent breakdown per type, size, capacity, energy, application</w:t>
            </w:r>
            <w:r w:rsidR="0021154A" w:rsidRPr="00F737AD">
              <w:rPr>
                <w:rFonts w:cs="Calibri"/>
                <w:szCs w:val="20"/>
                <w:lang w:val="en-GB" w:eastAsia="en-GB"/>
              </w:rPr>
              <w:t>,</w:t>
            </w:r>
            <w:r w:rsidRPr="00F737AD">
              <w:rPr>
                <w:rFonts w:cs="Calibri"/>
                <w:szCs w:val="20"/>
                <w:lang w:val="en-GB" w:eastAsia="en-GB"/>
              </w:rPr>
              <w:t xml:space="preserve"> </w:t>
            </w:r>
            <w:r w:rsidRPr="00F737AD">
              <w:rPr>
                <w:rFonts w:cs="Calibri"/>
                <w:noProof/>
                <w:szCs w:val="20"/>
                <w:lang w:val="en-GB" w:eastAsia="en-GB"/>
              </w:rPr>
              <w:t>and</w:t>
            </w:r>
            <w:r w:rsidRPr="00F737AD">
              <w:rPr>
                <w:rFonts w:cs="Calibri"/>
                <w:szCs w:val="20"/>
                <w:lang w:val="en-GB" w:eastAsia="en-GB"/>
              </w:rPr>
              <w:t xml:space="preserve"> sub-sectoral use. For example, a recent DoE study focusses on the residential sector</w:t>
            </w:r>
            <w:r w:rsidRPr="00F737AD">
              <w:rPr>
                <w:rFonts w:cs="Calibri"/>
                <w:szCs w:val="20"/>
                <w:vertAlign w:val="superscript"/>
                <w:lang w:val="en-GB" w:eastAsia="en-GB"/>
              </w:rPr>
              <w:footnoteReference w:id="4"/>
            </w:r>
            <w:r w:rsidRPr="00F737AD">
              <w:rPr>
                <w:rFonts w:cs="Calibri"/>
                <w:szCs w:val="20"/>
                <w:lang w:val="en-GB" w:eastAsia="en-GB"/>
              </w:rPr>
              <w:t xml:space="preserve">, but does not cover commercial and public buildings and </w:t>
            </w:r>
            <w:r w:rsidR="00AE1990" w:rsidRPr="00F737AD">
              <w:rPr>
                <w:rFonts w:cs="Calibri"/>
                <w:szCs w:val="20"/>
                <w:lang w:val="en-GB" w:eastAsia="en-GB"/>
              </w:rPr>
              <w:t xml:space="preserve">the </w:t>
            </w:r>
            <w:r w:rsidRPr="00F737AD">
              <w:rPr>
                <w:rFonts w:cs="Calibri"/>
                <w:szCs w:val="20"/>
                <w:lang w:val="en-GB" w:eastAsia="en-GB"/>
              </w:rPr>
              <w:t xml:space="preserve">industrial sector). Data exist at a local level, but for </w:t>
            </w:r>
            <w:r w:rsidR="00B45EE7" w:rsidRPr="00F737AD">
              <w:rPr>
                <w:rFonts w:cs="Calibri"/>
                <w:szCs w:val="20"/>
                <w:lang w:val="en-GB" w:eastAsia="en-GB"/>
              </w:rPr>
              <w:t xml:space="preserve">individual </w:t>
            </w:r>
            <w:r w:rsidRPr="00F737AD">
              <w:rPr>
                <w:rFonts w:cs="Calibri"/>
                <w:szCs w:val="20"/>
                <w:lang w:val="en-GB" w:eastAsia="en-GB"/>
              </w:rPr>
              <w:t>larger municipalities only</w:t>
            </w:r>
            <w:r w:rsidRPr="00F737AD">
              <w:rPr>
                <w:rFonts w:cs="Calibri"/>
                <w:szCs w:val="20"/>
                <w:vertAlign w:val="superscript"/>
                <w:lang w:val="en-GB" w:eastAsia="en-GB"/>
              </w:rPr>
              <w:footnoteReference w:id="5"/>
            </w:r>
            <w:r w:rsidRPr="00F737AD">
              <w:rPr>
                <w:rFonts w:cs="Calibri"/>
                <w:szCs w:val="20"/>
                <w:lang w:val="en-GB" w:eastAsia="en-GB"/>
              </w:rPr>
              <w:t>. ESKOM will have data on distribution transformers, but these are not compiled in a readily available way. There is no</w:t>
            </w:r>
            <w:r w:rsidR="00B45EE7" w:rsidRPr="00F737AD">
              <w:rPr>
                <w:rFonts w:cs="Calibri"/>
                <w:szCs w:val="20"/>
                <w:lang w:val="en-GB" w:eastAsia="en-GB"/>
              </w:rPr>
              <w:t xml:space="preserve"> consistent</w:t>
            </w:r>
            <w:r w:rsidRPr="00F737AD">
              <w:rPr>
                <w:rFonts w:cs="Calibri"/>
                <w:szCs w:val="20"/>
                <w:lang w:val="en-GB" w:eastAsia="en-GB"/>
              </w:rPr>
              <w:t xml:space="preserve"> set of information on (the energy performance) of distribution transformers in municipalities. This paucity of information hampers design of policies and complicates the evaluation of results.</w:t>
            </w:r>
          </w:p>
          <w:p w:rsidR="00497A93" w:rsidRPr="00F737AD" w:rsidRDefault="00497A93" w:rsidP="00F737AD">
            <w:pPr>
              <w:spacing w:after="0"/>
              <w:jc w:val="left"/>
              <w:rPr>
                <w:rFonts w:cs="Calibri"/>
                <w:b/>
                <w:szCs w:val="20"/>
                <w:lang w:val="en-GB" w:eastAsia="en-GB"/>
              </w:rPr>
            </w:pPr>
          </w:p>
          <w:p w:rsidR="00497A93" w:rsidRPr="00F737AD" w:rsidRDefault="00497A93" w:rsidP="00F737AD">
            <w:pPr>
              <w:numPr>
                <w:ilvl w:val="0"/>
                <w:numId w:val="47"/>
              </w:numPr>
              <w:spacing w:after="0"/>
              <w:ind w:left="318" w:hanging="284"/>
              <w:jc w:val="left"/>
              <w:rPr>
                <w:rFonts w:cs="Calibri"/>
                <w:i/>
                <w:szCs w:val="20"/>
                <w:lang w:val="en-GB" w:eastAsia="en-GB"/>
              </w:rPr>
            </w:pPr>
            <w:r w:rsidRPr="00F737AD">
              <w:rPr>
                <w:rFonts w:cs="Calibri"/>
                <w:i/>
                <w:szCs w:val="20"/>
                <w:lang w:val="en-GB" w:eastAsia="en-GB"/>
              </w:rPr>
              <w:t xml:space="preserve">Limited planning and regulatory instruments (S&amp;L, and (mandatory) standards and/or </w:t>
            </w:r>
            <w:r w:rsidRPr="00F737AD">
              <w:rPr>
                <w:rFonts w:cs="Calibri"/>
                <w:i/>
                <w:noProof/>
                <w:szCs w:val="20"/>
                <w:lang w:val="en-GB" w:eastAsia="en-GB"/>
              </w:rPr>
              <w:t>labelling</w:t>
            </w:r>
            <w:r w:rsidRPr="00F737AD">
              <w:rPr>
                <w:rFonts w:cs="Calibri"/>
                <w:i/>
                <w:szCs w:val="20"/>
                <w:lang w:val="en-GB" w:eastAsia="en-GB"/>
              </w:rPr>
              <w:t xml:space="preserve"> system in particular</w:t>
            </w:r>
          </w:p>
          <w:p w:rsidR="00497A93" w:rsidRPr="00F737AD" w:rsidRDefault="00497A93" w:rsidP="00F737AD">
            <w:pPr>
              <w:spacing w:before="60" w:after="0"/>
              <w:ind w:left="34"/>
              <w:jc w:val="left"/>
              <w:rPr>
                <w:rFonts w:cs="Calibri"/>
                <w:szCs w:val="20"/>
                <w:lang w:val="en-GB" w:eastAsia="en-GB"/>
              </w:rPr>
            </w:pPr>
            <w:r w:rsidRPr="00F737AD">
              <w:rPr>
                <w:rFonts w:cs="Calibri"/>
                <w:szCs w:val="20"/>
                <w:lang w:val="en-GB" w:eastAsia="en-GB"/>
              </w:rPr>
              <w:t>There are no local compulsory local standards for LED lamps. A few products are certified against voluntary standards SANS 62560 and IEC 62560 applied by suppliers and specifiers. In the absence of a compulsory standard, LED lamps performance claims</w:t>
            </w:r>
            <w:r w:rsidR="00B45EE7" w:rsidRPr="00F737AD">
              <w:rPr>
                <w:rFonts w:cs="Calibri"/>
                <w:szCs w:val="20"/>
                <w:lang w:val="en-GB" w:eastAsia="en-GB"/>
              </w:rPr>
              <w:t xml:space="preserve">, </w:t>
            </w:r>
            <w:r w:rsidRPr="00F737AD">
              <w:rPr>
                <w:rFonts w:cs="Calibri"/>
                <w:szCs w:val="20"/>
                <w:lang w:val="en-GB" w:eastAsia="en-GB"/>
              </w:rPr>
              <w:t>lifespan and power-consumption</w:t>
            </w:r>
            <w:r w:rsidR="00B45EE7" w:rsidRPr="00F737AD">
              <w:rPr>
                <w:rFonts w:cs="Calibri"/>
                <w:szCs w:val="20"/>
                <w:lang w:val="en-GB" w:eastAsia="en-GB"/>
              </w:rPr>
              <w:t xml:space="preserve">, </w:t>
            </w:r>
            <w:r w:rsidRPr="00F737AD">
              <w:rPr>
                <w:rFonts w:cs="Calibri"/>
                <w:szCs w:val="20"/>
                <w:lang w:val="en-GB" w:eastAsia="en-GB"/>
              </w:rPr>
              <w:t>by opportunistic suppliers cannot be validated by buyers. Some products appear with the European (“CE”) mark as manufacturer’s claim to a certain quality standard.   LED lamps are not regulated by the NRCS to carry out surveillance and compliance monitoring.</w:t>
            </w:r>
            <w:r w:rsidR="00AE1990" w:rsidRPr="00F737AD">
              <w:rPr>
                <w:rFonts w:cs="Calibri"/>
                <w:szCs w:val="20"/>
                <w:lang w:val="en-GB" w:eastAsia="en-GB"/>
              </w:rPr>
              <w:t xml:space="preserve"> Consequently, many low-quality LED lamps have entered the market.</w:t>
            </w:r>
            <w:r w:rsidR="00B45EE7" w:rsidRPr="00F737AD">
              <w:rPr>
                <w:rFonts w:cs="Calibri"/>
                <w:szCs w:val="20"/>
                <w:lang w:val="en-GB" w:eastAsia="en-GB"/>
              </w:rPr>
              <w:t xml:space="preserve"> There is a black market of incandescent lamps; market research found that incandescent lamps for sale at only 8-10 Rand each. </w:t>
            </w:r>
          </w:p>
          <w:p w:rsidR="00497A93" w:rsidRPr="00F737AD" w:rsidRDefault="00497A93" w:rsidP="00F737AD">
            <w:pPr>
              <w:spacing w:before="60" w:after="0"/>
              <w:jc w:val="left"/>
              <w:rPr>
                <w:rFonts w:cs="Calibri"/>
                <w:szCs w:val="20"/>
                <w:lang w:val="en-GB" w:eastAsia="en-GB"/>
              </w:rPr>
            </w:pPr>
            <w:r w:rsidRPr="00F737AD">
              <w:rPr>
                <w:rFonts w:cs="Calibri"/>
                <w:szCs w:val="20"/>
                <w:lang w:val="en-GB" w:eastAsia="en-GB"/>
              </w:rPr>
              <w:t xml:space="preserve">Transformers </w:t>
            </w:r>
            <w:proofErr w:type="gramStart"/>
            <w:r w:rsidRPr="00F737AD">
              <w:rPr>
                <w:rFonts w:cs="Calibri"/>
                <w:szCs w:val="20"/>
                <w:lang w:val="en-GB" w:eastAsia="en-GB"/>
              </w:rPr>
              <w:t>have to</w:t>
            </w:r>
            <w:proofErr w:type="gramEnd"/>
            <w:r w:rsidRPr="00F737AD">
              <w:rPr>
                <w:rFonts w:cs="Calibri"/>
                <w:szCs w:val="20"/>
                <w:lang w:val="en-GB" w:eastAsia="en-GB"/>
              </w:rPr>
              <w:t xml:space="preserve"> meet the SANS 78O regulations, of which, however, the load and no-load loss specifications have not changed since the late 1960s</w:t>
            </w:r>
            <w:r w:rsidR="00263A79" w:rsidRPr="00F737AD">
              <w:rPr>
                <w:rFonts w:cs="Calibri"/>
                <w:szCs w:val="20"/>
                <w:lang w:val="en-GB" w:eastAsia="en-GB"/>
              </w:rPr>
              <w:t xml:space="preserve">. </w:t>
            </w:r>
            <w:r w:rsidRPr="00F737AD">
              <w:rPr>
                <w:rFonts w:cs="Calibri"/>
                <w:szCs w:val="20"/>
                <w:lang w:val="en-GB" w:eastAsia="en-GB"/>
              </w:rPr>
              <w:t xml:space="preserve"> </w:t>
            </w:r>
            <w:r w:rsidR="0057545E" w:rsidRPr="00F737AD">
              <w:rPr>
                <w:rFonts w:cs="Calibri"/>
                <w:szCs w:val="20"/>
                <w:lang w:val="en-GB" w:eastAsia="en-GB"/>
              </w:rPr>
              <w:t>Transformers are</w:t>
            </w:r>
            <w:r w:rsidRPr="00F737AD">
              <w:rPr>
                <w:rFonts w:cs="Calibri"/>
                <w:szCs w:val="20"/>
                <w:lang w:val="en-GB" w:eastAsia="en-GB"/>
              </w:rPr>
              <w:t xml:space="preserve"> prescribed by SANS 780 in its contracts with local transformer manufacturers</w:t>
            </w:r>
            <w:r w:rsidR="00AE1990" w:rsidRPr="00F737AD">
              <w:rPr>
                <w:rFonts w:cs="Calibri"/>
                <w:szCs w:val="20"/>
                <w:lang w:val="en-GB" w:eastAsia="en-GB"/>
              </w:rPr>
              <w:t>, but municipalities may apply different standards.</w:t>
            </w:r>
          </w:p>
          <w:p w:rsidR="00497A93" w:rsidRPr="00F737AD" w:rsidRDefault="00497A93" w:rsidP="00F737AD">
            <w:pPr>
              <w:spacing w:before="60" w:after="0"/>
              <w:jc w:val="left"/>
              <w:rPr>
                <w:rFonts w:cs="Calibri"/>
                <w:szCs w:val="20"/>
                <w:lang w:val="en-GB" w:eastAsia="en-GB"/>
              </w:rPr>
            </w:pPr>
            <w:r w:rsidRPr="00F737AD">
              <w:rPr>
                <w:rFonts w:cs="Calibri"/>
                <w:szCs w:val="20"/>
                <w:lang w:val="en-GB" w:eastAsia="en-GB"/>
              </w:rPr>
              <w:t>There may be resistance from municipal distributors and transformer suppliers, regarding MEPS as these may be clashing with their own product specifications and fear MEPS/labels will be introduced without their involvement in the process.</w:t>
            </w:r>
          </w:p>
          <w:p w:rsidR="00E36F4E" w:rsidRPr="00F737AD" w:rsidRDefault="00E36F4E" w:rsidP="00F737AD">
            <w:pPr>
              <w:spacing w:before="60" w:after="0"/>
              <w:jc w:val="left"/>
              <w:rPr>
                <w:rFonts w:cs="Calibri"/>
                <w:szCs w:val="20"/>
                <w:lang w:val="en-GB" w:eastAsia="en-GB"/>
              </w:rPr>
            </w:pPr>
          </w:p>
        </w:tc>
      </w:tr>
      <w:tr w:rsidR="00497A93" w:rsidRPr="0057545E" w:rsidTr="00F737AD">
        <w:tc>
          <w:tcPr>
            <w:tcW w:w="10632" w:type="dxa"/>
            <w:shd w:val="clear" w:color="auto" w:fill="F2F2F2"/>
          </w:tcPr>
          <w:p w:rsidR="00497A93" w:rsidRPr="00F737AD" w:rsidRDefault="00497A93" w:rsidP="00F737AD">
            <w:pPr>
              <w:spacing w:before="60" w:after="0"/>
              <w:jc w:val="left"/>
              <w:rPr>
                <w:b/>
                <w:szCs w:val="20"/>
                <w:lang w:val="en-GB"/>
              </w:rPr>
            </w:pPr>
            <w:r w:rsidRPr="00F737AD">
              <w:rPr>
                <w:b/>
                <w:szCs w:val="20"/>
                <w:lang w:val="en-GB"/>
              </w:rPr>
              <w:t>Challenges for residential and commercial end-users</w:t>
            </w:r>
          </w:p>
        </w:tc>
      </w:tr>
      <w:tr w:rsidR="00497A93" w:rsidRPr="0057545E" w:rsidTr="00F737AD">
        <w:tc>
          <w:tcPr>
            <w:tcW w:w="10632" w:type="dxa"/>
            <w:shd w:val="clear" w:color="auto" w:fill="auto"/>
          </w:tcPr>
          <w:p w:rsidR="00497A93" w:rsidRPr="00F737AD" w:rsidRDefault="00497A93" w:rsidP="00F737AD">
            <w:pPr>
              <w:numPr>
                <w:ilvl w:val="0"/>
                <w:numId w:val="47"/>
              </w:numPr>
              <w:tabs>
                <w:tab w:val="left" w:pos="306"/>
              </w:tabs>
              <w:spacing w:after="0"/>
              <w:ind w:left="306" w:hanging="306"/>
              <w:jc w:val="left"/>
              <w:rPr>
                <w:rFonts w:cs="Calibri"/>
                <w:szCs w:val="20"/>
                <w:lang w:val="en-GB" w:eastAsia="en-GB"/>
              </w:rPr>
            </w:pPr>
            <w:r w:rsidRPr="00F737AD">
              <w:rPr>
                <w:rFonts w:cs="Calibri"/>
                <w:i/>
                <w:szCs w:val="20"/>
                <w:lang w:val="en-GB" w:eastAsia="en-GB"/>
              </w:rPr>
              <w:t xml:space="preserve">Lack of awareness of and information for residential </w:t>
            </w:r>
            <w:r w:rsidR="003B5D0A" w:rsidRPr="00F737AD">
              <w:rPr>
                <w:rFonts w:cs="Calibri"/>
                <w:i/>
                <w:szCs w:val="20"/>
                <w:lang w:val="en-GB" w:eastAsia="en-GB"/>
              </w:rPr>
              <w:t xml:space="preserve">and other </w:t>
            </w:r>
            <w:r w:rsidRPr="00F737AD">
              <w:rPr>
                <w:rFonts w:cs="Calibri"/>
                <w:i/>
                <w:szCs w:val="20"/>
                <w:lang w:val="en-GB" w:eastAsia="en-GB"/>
              </w:rPr>
              <w:t>users on initial and lifetime benefits and costs of lamps and of performance and quality of lamps</w:t>
            </w:r>
          </w:p>
          <w:p w:rsidR="00497A93" w:rsidRPr="00F737AD" w:rsidRDefault="00497A93" w:rsidP="00F737AD">
            <w:pPr>
              <w:spacing w:before="60" w:after="0"/>
              <w:jc w:val="left"/>
              <w:rPr>
                <w:rFonts w:cs="Calibri"/>
                <w:szCs w:val="20"/>
                <w:lang w:val="en-GB" w:eastAsia="en-GB"/>
              </w:rPr>
            </w:pPr>
            <w:r w:rsidRPr="00F737AD">
              <w:rPr>
                <w:rFonts w:cs="Calibri"/>
                <w:szCs w:val="20"/>
                <w:lang w:val="en-GB" w:eastAsia="en-GB"/>
              </w:rPr>
              <w:lastRenderedPageBreak/>
              <w:t>The Eskom CFL roll-out programme started in 2005 with 64</w:t>
            </w:r>
            <w:r w:rsidR="00AE1990" w:rsidRPr="00F737AD">
              <w:rPr>
                <w:rFonts w:cs="Calibri"/>
                <w:szCs w:val="20"/>
                <w:lang w:val="en-GB" w:eastAsia="en-GB"/>
              </w:rPr>
              <w:t xml:space="preserve"> </w:t>
            </w:r>
            <w:r w:rsidRPr="00F737AD">
              <w:rPr>
                <w:rFonts w:cs="Calibri"/>
                <w:szCs w:val="20"/>
                <w:lang w:val="en-GB" w:eastAsia="en-GB"/>
              </w:rPr>
              <w:t>million CFL lamps. Eskom directly procured these lamps, which were distributed for free and have mostly been delivered to the house and physically installed. Through the Eskom DSM lighting initiative CFL’s have become the standard lamps used currently in South Africa</w:t>
            </w:r>
            <w:r w:rsidR="00AE1990" w:rsidRPr="00F737AD">
              <w:rPr>
                <w:rFonts w:cs="Calibri"/>
                <w:szCs w:val="20"/>
                <w:lang w:val="en-GB" w:eastAsia="en-GB"/>
              </w:rPr>
              <w:t xml:space="preserve">; </w:t>
            </w:r>
            <w:r w:rsidR="00005041" w:rsidRPr="00F737AD">
              <w:rPr>
                <w:rFonts w:cs="Calibri"/>
                <w:szCs w:val="20"/>
                <w:lang w:val="en-GB" w:eastAsia="en-GB"/>
              </w:rPr>
              <w:t>the word</w:t>
            </w:r>
            <w:r w:rsidRPr="00F737AD">
              <w:rPr>
                <w:rFonts w:cs="Calibri"/>
                <w:szCs w:val="20"/>
                <w:lang w:val="en-GB" w:eastAsia="en-GB"/>
              </w:rPr>
              <w:t xml:space="preserve"> CFL has become synonymous to ‘energy saving lamp’.  </w:t>
            </w:r>
            <w:r w:rsidRPr="00F737AD">
              <w:rPr>
                <w:rFonts w:cs="Calibri"/>
                <w:noProof/>
                <w:szCs w:val="20"/>
                <w:lang w:val="en-GB" w:eastAsia="en-GB"/>
              </w:rPr>
              <w:t>LED</w:t>
            </w:r>
            <w:r w:rsidRPr="00F737AD">
              <w:rPr>
                <w:rFonts w:cs="Calibri"/>
                <w:szCs w:val="20"/>
                <w:lang w:val="en-GB" w:eastAsia="en-GB"/>
              </w:rPr>
              <w:t xml:space="preserve"> lighting is still not commonplace in South Africa. The </w:t>
            </w:r>
            <w:r w:rsidR="00AE1990" w:rsidRPr="00F737AD">
              <w:rPr>
                <w:rFonts w:cs="Calibri"/>
                <w:szCs w:val="20"/>
                <w:lang w:val="en-GB" w:eastAsia="en-GB"/>
              </w:rPr>
              <w:t xml:space="preserve">Eskom </w:t>
            </w:r>
            <w:r w:rsidRPr="00F737AD">
              <w:rPr>
                <w:rFonts w:cs="Calibri"/>
                <w:szCs w:val="20"/>
                <w:lang w:val="en-GB" w:eastAsia="en-GB"/>
              </w:rPr>
              <w:t>program focused on providing CFL lamps instead of LED due to the incipient technological development of LED lighting at that time. Low-income households were the main target group of the previous lighting replacement program from E</w:t>
            </w:r>
            <w:r w:rsidR="009D4090" w:rsidRPr="00F737AD">
              <w:rPr>
                <w:rFonts w:cs="Calibri"/>
                <w:szCs w:val="20"/>
                <w:lang w:val="en-GB" w:eastAsia="en-GB"/>
              </w:rPr>
              <w:t>skom</w:t>
            </w:r>
            <w:r w:rsidRPr="00F737AD">
              <w:rPr>
                <w:rFonts w:cs="Calibri"/>
                <w:szCs w:val="20"/>
                <w:lang w:val="en-GB" w:eastAsia="en-GB"/>
              </w:rPr>
              <w:t xml:space="preserve">. </w:t>
            </w:r>
            <w:r w:rsidR="00AE1990" w:rsidRPr="00F737AD">
              <w:rPr>
                <w:rFonts w:cs="Calibri"/>
                <w:szCs w:val="20"/>
                <w:lang w:val="en-GB" w:eastAsia="en-GB"/>
              </w:rPr>
              <w:t xml:space="preserve">It has helped the transition away from incandescent and halogen lamps. However, it </w:t>
            </w:r>
            <w:r w:rsidRPr="00F737AD">
              <w:rPr>
                <w:rFonts w:cs="Calibri"/>
                <w:szCs w:val="20"/>
                <w:lang w:val="en-GB" w:eastAsia="en-GB"/>
              </w:rPr>
              <w:t xml:space="preserve">has conditioned the </w:t>
            </w:r>
            <w:r w:rsidR="00AE1990" w:rsidRPr="00F737AD">
              <w:rPr>
                <w:rFonts w:cs="Calibri"/>
                <w:szCs w:val="20"/>
                <w:lang w:val="en-GB" w:eastAsia="en-GB"/>
              </w:rPr>
              <w:t xml:space="preserve">(lower-income) </w:t>
            </w:r>
            <w:r w:rsidRPr="00F737AD">
              <w:rPr>
                <w:rFonts w:cs="Calibri"/>
                <w:szCs w:val="20"/>
                <w:lang w:val="en-GB" w:eastAsia="en-GB"/>
              </w:rPr>
              <w:t xml:space="preserve">residential users to the reception of “free” lamps and has decreased the economic benefit of transitioning to “expensive” LED lamps, even when LED prices are now approaching CFL prices. </w:t>
            </w:r>
            <w:r w:rsidR="00E236DA" w:rsidRPr="00F737AD">
              <w:rPr>
                <w:rFonts w:cs="Calibri"/>
                <w:szCs w:val="20"/>
                <w:lang w:val="en-GB" w:eastAsia="en-GB"/>
              </w:rPr>
              <w:t xml:space="preserve">These households will replace their </w:t>
            </w:r>
            <w:r w:rsidRPr="00F737AD">
              <w:rPr>
                <w:rFonts w:cs="Calibri"/>
                <w:szCs w:val="20"/>
                <w:lang w:val="en-GB" w:eastAsia="en-GB"/>
              </w:rPr>
              <w:t xml:space="preserve">CFL lamp with LED </w:t>
            </w:r>
            <w:r w:rsidR="00E236DA" w:rsidRPr="00F737AD">
              <w:rPr>
                <w:rFonts w:cs="Calibri"/>
                <w:szCs w:val="20"/>
                <w:lang w:val="en-GB" w:eastAsia="en-GB"/>
              </w:rPr>
              <w:t>lighting in</w:t>
            </w:r>
            <w:r w:rsidRPr="00F737AD">
              <w:rPr>
                <w:rFonts w:cs="Calibri"/>
                <w:szCs w:val="20"/>
                <w:lang w:val="en-GB" w:eastAsia="en-GB"/>
              </w:rPr>
              <w:t xml:space="preserve"> the case of equipment failure, and not </w:t>
            </w:r>
            <w:r w:rsidR="00E236DA" w:rsidRPr="00F737AD">
              <w:rPr>
                <w:rFonts w:cs="Calibri"/>
                <w:noProof/>
                <w:szCs w:val="20"/>
                <w:lang w:val="en-GB" w:eastAsia="en-GB"/>
              </w:rPr>
              <w:t xml:space="preserve">as </w:t>
            </w:r>
            <w:r w:rsidRPr="00F737AD">
              <w:rPr>
                <w:rFonts w:cs="Calibri"/>
                <w:noProof/>
                <w:szCs w:val="20"/>
                <w:lang w:val="en-GB" w:eastAsia="en-GB"/>
              </w:rPr>
              <w:t>retrofit</w:t>
            </w:r>
            <w:r w:rsidRPr="00F737AD">
              <w:rPr>
                <w:rFonts w:cs="Calibri"/>
                <w:szCs w:val="20"/>
                <w:lang w:val="en-GB" w:eastAsia="en-GB"/>
              </w:rPr>
              <w:t xml:space="preserve"> of existing equipment.</w:t>
            </w:r>
          </w:p>
          <w:p w:rsidR="00497A93" w:rsidRPr="00F737AD" w:rsidRDefault="00497A93" w:rsidP="00F737AD">
            <w:pPr>
              <w:spacing w:beforeLines="60" w:before="144" w:after="0"/>
              <w:jc w:val="left"/>
              <w:rPr>
                <w:rFonts w:cs="Calibri"/>
                <w:szCs w:val="20"/>
                <w:lang w:val="en-GB" w:eastAsia="en-GB"/>
              </w:rPr>
            </w:pPr>
            <w:r w:rsidRPr="00F737AD">
              <w:rPr>
                <w:rFonts w:cs="Calibri"/>
                <w:szCs w:val="20"/>
                <w:lang w:val="en-GB" w:eastAsia="en-GB"/>
              </w:rPr>
              <w:t xml:space="preserve">A large part of the lighting installed in high/middle households consists of halogen spotlights. These households tend to buy higher-quality lamps sold in the main retail chains and in this range, LEDs are still relatively expensive. Some households are </w:t>
            </w:r>
            <w:proofErr w:type="gramStart"/>
            <w:r w:rsidRPr="00F737AD">
              <w:rPr>
                <w:rFonts w:cs="Calibri"/>
                <w:szCs w:val="20"/>
                <w:lang w:val="en-GB" w:eastAsia="en-GB"/>
              </w:rPr>
              <w:t>reverting back</w:t>
            </w:r>
            <w:proofErr w:type="gramEnd"/>
            <w:r w:rsidRPr="00F737AD">
              <w:rPr>
                <w:rFonts w:cs="Calibri"/>
                <w:szCs w:val="20"/>
                <w:lang w:val="en-GB" w:eastAsia="en-GB"/>
              </w:rPr>
              <w:t xml:space="preserve"> to halogens given their closeness to incandescent </w:t>
            </w:r>
            <w:r w:rsidRPr="00F737AD">
              <w:rPr>
                <w:rFonts w:cs="Calibri"/>
                <w:noProof/>
                <w:szCs w:val="20"/>
                <w:lang w:val="en-GB" w:eastAsia="en-GB"/>
              </w:rPr>
              <w:t>lamps</w:t>
            </w:r>
            <w:r w:rsidRPr="00F737AD">
              <w:rPr>
                <w:rFonts w:cs="Calibri"/>
                <w:szCs w:val="20"/>
                <w:lang w:val="en-GB" w:eastAsia="en-GB"/>
              </w:rPr>
              <w:t xml:space="preserve"> </w:t>
            </w:r>
            <w:r w:rsidRPr="00F737AD">
              <w:rPr>
                <w:rFonts w:cs="Calibri"/>
                <w:noProof/>
                <w:szCs w:val="20"/>
                <w:lang w:val="en-GB" w:eastAsia="en-GB"/>
              </w:rPr>
              <w:t>because</w:t>
            </w:r>
            <w:r w:rsidR="0021154A" w:rsidRPr="00F737AD">
              <w:rPr>
                <w:rFonts w:cs="Calibri"/>
                <w:noProof/>
                <w:szCs w:val="20"/>
                <w:lang w:val="en-GB" w:eastAsia="en-GB"/>
              </w:rPr>
              <w:t xml:space="preserve"> of</w:t>
            </w:r>
            <w:r w:rsidRPr="00F737AD">
              <w:rPr>
                <w:rFonts w:cs="Calibri"/>
                <w:szCs w:val="20"/>
                <w:lang w:val="en-GB" w:eastAsia="en-GB"/>
              </w:rPr>
              <w:t xml:space="preserve"> people like their light quality (brightness) and because the lifecycle (and monetary and energy savings) are not fully understood by all</w:t>
            </w:r>
            <w:r w:rsidRPr="00F737AD">
              <w:rPr>
                <w:szCs w:val="20"/>
                <w:lang w:val="en-GB"/>
              </w:rPr>
              <w:t xml:space="preserve">. </w:t>
            </w:r>
            <w:r w:rsidRPr="00F737AD">
              <w:rPr>
                <w:rFonts w:cs="Calibri"/>
                <w:szCs w:val="20"/>
                <w:lang w:val="en-GB" w:eastAsia="en-GB"/>
              </w:rPr>
              <w:t xml:space="preserve">In fact, halogens are well suited for </w:t>
            </w:r>
            <w:r w:rsidR="00005041" w:rsidRPr="00F737AD">
              <w:rPr>
                <w:rFonts w:cs="Calibri"/>
                <w:szCs w:val="20"/>
                <w:lang w:val="en-GB" w:eastAsia="en-GB"/>
              </w:rPr>
              <w:t>replacement by</w:t>
            </w:r>
            <w:r w:rsidRPr="00F737AD">
              <w:rPr>
                <w:rFonts w:cs="Calibri"/>
                <w:szCs w:val="20"/>
                <w:lang w:val="en-GB" w:eastAsia="en-GB"/>
              </w:rPr>
              <w:t xml:space="preserve"> LED lamps, and achieve attractive payback periods (see Annex E).</w:t>
            </w:r>
          </w:p>
          <w:p w:rsidR="003D2B97" w:rsidRPr="00F737AD" w:rsidRDefault="00497A93" w:rsidP="00F737AD">
            <w:pPr>
              <w:spacing w:after="0"/>
              <w:jc w:val="left"/>
              <w:rPr>
                <w:rFonts w:cs="Calibri"/>
                <w:szCs w:val="20"/>
                <w:lang w:val="en-GB" w:eastAsia="en-GB"/>
              </w:rPr>
            </w:pPr>
            <w:r w:rsidRPr="00F737AD">
              <w:rPr>
                <w:szCs w:val="20"/>
                <w:lang w:val="en-GB"/>
              </w:rPr>
              <w:t xml:space="preserve">In addition, due to </w:t>
            </w:r>
            <w:r w:rsidR="00E236DA" w:rsidRPr="00F737AD">
              <w:rPr>
                <w:szCs w:val="20"/>
                <w:lang w:val="en-GB"/>
              </w:rPr>
              <w:t xml:space="preserve">the </w:t>
            </w:r>
            <w:r w:rsidRPr="00F737AD">
              <w:rPr>
                <w:noProof/>
                <w:szCs w:val="20"/>
                <w:lang w:val="en-GB"/>
              </w:rPr>
              <w:t>lack</w:t>
            </w:r>
            <w:r w:rsidRPr="00F737AD">
              <w:rPr>
                <w:szCs w:val="20"/>
                <w:lang w:val="en-GB"/>
              </w:rPr>
              <w:t xml:space="preserve"> of regulation, </w:t>
            </w:r>
            <w:r w:rsidRPr="00F737AD">
              <w:rPr>
                <w:rFonts w:cs="Calibri"/>
                <w:szCs w:val="20"/>
                <w:lang w:val="en-GB" w:eastAsia="en-GB"/>
              </w:rPr>
              <w:t>cheaper LEDs are entering the</w:t>
            </w:r>
            <w:r w:rsidR="00B45EE7" w:rsidRPr="00F737AD">
              <w:rPr>
                <w:rFonts w:cs="Calibri"/>
                <w:szCs w:val="20"/>
                <w:lang w:val="en-GB" w:eastAsia="en-GB"/>
              </w:rPr>
              <w:t xml:space="preserve"> market</w:t>
            </w:r>
            <w:r w:rsidRPr="00F737AD">
              <w:rPr>
                <w:rFonts w:cs="Calibri"/>
                <w:szCs w:val="20"/>
                <w:lang w:val="en-GB" w:eastAsia="en-GB"/>
              </w:rPr>
              <w:t xml:space="preserve"> that </w:t>
            </w:r>
            <w:r w:rsidRPr="00F737AD">
              <w:rPr>
                <w:rFonts w:cs="Calibri"/>
                <w:noProof/>
                <w:szCs w:val="20"/>
                <w:lang w:val="en-GB" w:eastAsia="en-GB"/>
              </w:rPr>
              <w:t>give</w:t>
            </w:r>
            <w:r w:rsidR="00E236DA" w:rsidRPr="00F737AD">
              <w:rPr>
                <w:rFonts w:cs="Calibri"/>
                <w:noProof/>
                <w:szCs w:val="20"/>
                <w:lang w:val="en-GB" w:eastAsia="en-GB"/>
              </w:rPr>
              <w:t>s</w:t>
            </w:r>
            <w:r w:rsidRPr="00F737AD">
              <w:rPr>
                <w:rFonts w:cs="Calibri"/>
                <w:szCs w:val="20"/>
                <w:lang w:val="en-GB" w:eastAsia="en-GB"/>
              </w:rPr>
              <w:t xml:space="preserve"> the product a bad name.</w:t>
            </w:r>
            <w:r w:rsidRPr="00F737AD">
              <w:rPr>
                <w:szCs w:val="20"/>
                <w:lang w:val="en-GB"/>
              </w:rPr>
              <w:t xml:space="preserve"> </w:t>
            </w:r>
            <w:r w:rsidRPr="00F737AD">
              <w:rPr>
                <w:rFonts w:cs="Calibri"/>
                <w:szCs w:val="20"/>
                <w:lang w:val="en-GB" w:eastAsia="en-GB"/>
              </w:rPr>
              <w:t>Given the broadening technical considerations applicable to LED lamps (different types of light bulbs, brands, technical standards, and price levels), consumers are often confused and conservative in their purchase decisions.</w:t>
            </w:r>
            <w:r w:rsidR="00773D9D">
              <w:t xml:space="preserve"> A</w:t>
            </w:r>
            <w:proofErr w:type="spellStart"/>
            <w:r w:rsidR="00773D9D" w:rsidRPr="00F737AD">
              <w:rPr>
                <w:rFonts w:cs="Calibri"/>
                <w:szCs w:val="20"/>
                <w:lang w:val="en-GB" w:eastAsia="en-GB"/>
              </w:rPr>
              <w:t>lmost</w:t>
            </w:r>
            <w:proofErr w:type="spellEnd"/>
            <w:r w:rsidR="00773D9D" w:rsidRPr="00F737AD">
              <w:rPr>
                <w:rFonts w:cs="Calibri"/>
                <w:szCs w:val="20"/>
                <w:lang w:val="en-GB" w:eastAsia="en-GB"/>
              </w:rPr>
              <w:t xml:space="preserve"> all LEDs on the market have a power factor of 0.5 and although this has no implications for end-users, it does have a significant impact on Eskom, especially now when there are supply shortages</w:t>
            </w:r>
            <w:r w:rsidR="003D2B97" w:rsidRPr="00F737AD">
              <w:rPr>
                <w:rFonts w:cs="Calibri"/>
                <w:szCs w:val="20"/>
                <w:lang w:val="en-GB" w:eastAsia="en-GB"/>
              </w:rPr>
              <w:t xml:space="preserve">. </w:t>
            </w:r>
          </w:p>
        </w:tc>
      </w:tr>
      <w:tr w:rsidR="00497A93" w:rsidRPr="0057545E" w:rsidTr="00F737AD">
        <w:tc>
          <w:tcPr>
            <w:tcW w:w="10632" w:type="dxa"/>
            <w:shd w:val="clear" w:color="auto" w:fill="F2F2F2"/>
          </w:tcPr>
          <w:p w:rsidR="00633324" w:rsidRPr="00F737AD" w:rsidRDefault="00633324" w:rsidP="00F737AD">
            <w:pPr>
              <w:spacing w:before="60" w:after="0"/>
              <w:jc w:val="left"/>
              <w:rPr>
                <w:b/>
                <w:szCs w:val="20"/>
                <w:lang w:val="en-GB"/>
              </w:rPr>
            </w:pPr>
            <w:r w:rsidRPr="00F737AD">
              <w:rPr>
                <w:b/>
                <w:szCs w:val="20"/>
                <w:lang w:val="en-GB"/>
              </w:rPr>
              <w:lastRenderedPageBreak/>
              <w:t xml:space="preserve">Challenges for municipalities and barriers to </w:t>
            </w:r>
            <w:r w:rsidR="00430D4A" w:rsidRPr="00F737AD">
              <w:rPr>
                <w:b/>
                <w:szCs w:val="20"/>
                <w:lang w:val="en-GB"/>
              </w:rPr>
              <w:t xml:space="preserve">alternative financing modalities with </w:t>
            </w:r>
            <w:r w:rsidRPr="00F737AD">
              <w:rPr>
                <w:b/>
                <w:szCs w:val="20"/>
                <w:lang w:val="en-GB"/>
              </w:rPr>
              <w:t>ESCO involvement</w:t>
            </w:r>
          </w:p>
        </w:tc>
      </w:tr>
      <w:tr w:rsidR="00497A93" w:rsidRPr="0057545E" w:rsidTr="00F737AD">
        <w:tc>
          <w:tcPr>
            <w:tcW w:w="10632" w:type="dxa"/>
            <w:shd w:val="clear" w:color="auto" w:fill="auto"/>
          </w:tcPr>
          <w:p w:rsidR="00633324" w:rsidRPr="00F737AD" w:rsidRDefault="00633324" w:rsidP="00F737AD">
            <w:pPr>
              <w:numPr>
                <w:ilvl w:val="0"/>
                <w:numId w:val="47"/>
              </w:numPr>
              <w:spacing w:after="0"/>
              <w:ind w:left="318" w:hanging="318"/>
              <w:jc w:val="left"/>
              <w:rPr>
                <w:rFonts w:cs="Calibri"/>
                <w:szCs w:val="20"/>
                <w:lang w:val="en-GB" w:eastAsia="en-GB"/>
              </w:rPr>
            </w:pPr>
            <w:r w:rsidRPr="00F737AD">
              <w:rPr>
                <w:rFonts w:cs="Calibri"/>
                <w:i/>
                <w:szCs w:val="20"/>
                <w:lang w:val="en-GB" w:eastAsia="en-GB"/>
              </w:rPr>
              <w:t xml:space="preserve">Current government (national, municipal) financing alone cannot achieve a full transition towards higher efficiency LED lighting and distribution transformers </w:t>
            </w:r>
          </w:p>
          <w:p w:rsidR="00633324" w:rsidRPr="00F737AD" w:rsidRDefault="00B45EE7" w:rsidP="00F737AD">
            <w:pPr>
              <w:spacing w:beforeLines="60" w:before="144" w:after="0"/>
              <w:jc w:val="left"/>
              <w:rPr>
                <w:rFonts w:cs="Calibri"/>
                <w:szCs w:val="20"/>
                <w:lang w:val="en-GB" w:eastAsia="en-GB"/>
              </w:rPr>
            </w:pPr>
            <w:r w:rsidRPr="00F737AD">
              <w:rPr>
                <w:rFonts w:cs="Calibri"/>
                <w:szCs w:val="20"/>
                <w:lang w:val="en-GB" w:eastAsia="en-GB"/>
              </w:rPr>
              <w:t xml:space="preserve">Government grant programmes that benefit municipalities </w:t>
            </w:r>
            <w:r w:rsidR="00633324" w:rsidRPr="00F737AD">
              <w:rPr>
                <w:rFonts w:cs="Calibri"/>
                <w:szCs w:val="20"/>
                <w:lang w:val="en-GB" w:eastAsia="en-GB"/>
              </w:rPr>
              <w:t>include the MEEDSM and Integrated National Electrification Program (administered by the Department of Energy), the Municipal Infrastructure Grant (administered by the Department of Cooperative Governance) and the Urban Settlements Development grant (administered by the National Treasury).</w:t>
            </w:r>
            <w:r w:rsidRPr="00F737AD">
              <w:rPr>
                <w:rFonts w:cs="Calibri"/>
                <w:szCs w:val="20"/>
                <w:lang w:val="en-GB" w:eastAsia="en-GB"/>
              </w:rPr>
              <w:t xml:space="preserve"> </w:t>
            </w:r>
            <w:r w:rsidR="00633324" w:rsidRPr="00F737AD">
              <w:rPr>
                <w:rFonts w:cs="Calibri"/>
                <w:szCs w:val="20"/>
                <w:lang w:val="en-GB" w:eastAsia="en-GB"/>
              </w:rPr>
              <w:t xml:space="preserve">These programs, in their current form, </w:t>
            </w:r>
            <w:r w:rsidRPr="00F737AD">
              <w:rPr>
                <w:rFonts w:cs="Calibri"/>
                <w:szCs w:val="20"/>
                <w:lang w:val="en-GB" w:eastAsia="en-GB"/>
              </w:rPr>
              <w:t xml:space="preserve">have been important, but </w:t>
            </w:r>
            <w:r w:rsidR="00005041" w:rsidRPr="00F737AD">
              <w:rPr>
                <w:rFonts w:cs="Calibri"/>
                <w:szCs w:val="20"/>
                <w:lang w:val="en-GB" w:eastAsia="en-GB"/>
              </w:rPr>
              <w:t xml:space="preserve">not </w:t>
            </w:r>
            <w:proofErr w:type="gramStart"/>
            <w:r w:rsidR="00005041" w:rsidRPr="00F737AD">
              <w:rPr>
                <w:rFonts w:cs="Calibri"/>
                <w:szCs w:val="20"/>
                <w:lang w:val="en-GB" w:eastAsia="en-GB"/>
              </w:rPr>
              <w:t>sufficient</w:t>
            </w:r>
            <w:proofErr w:type="gramEnd"/>
            <w:r w:rsidR="00633324" w:rsidRPr="00F737AD">
              <w:rPr>
                <w:rFonts w:cs="Calibri"/>
                <w:szCs w:val="20"/>
                <w:lang w:val="en-GB" w:eastAsia="en-GB"/>
              </w:rPr>
              <w:t xml:space="preserve"> to </w:t>
            </w:r>
            <w:r w:rsidR="003B5D0A" w:rsidRPr="00F737AD">
              <w:rPr>
                <w:rFonts w:cs="Calibri"/>
                <w:noProof/>
                <w:szCs w:val="20"/>
                <w:lang w:val="en-GB" w:eastAsia="en-GB"/>
              </w:rPr>
              <w:t>realise</w:t>
            </w:r>
            <w:r w:rsidRPr="00F737AD">
              <w:rPr>
                <w:rFonts w:cs="Calibri"/>
                <w:szCs w:val="20"/>
                <w:lang w:val="en-GB" w:eastAsia="en-GB"/>
              </w:rPr>
              <w:t xml:space="preserve"> a full</w:t>
            </w:r>
            <w:r w:rsidR="00633324" w:rsidRPr="00F737AD">
              <w:rPr>
                <w:rFonts w:cs="Calibri"/>
                <w:szCs w:val="20"/>
                <w:lang w:val="en-GB" w:eastAsia="en-GB"/>
              </w:rPr>
              <w:t xml:space="preserve"> transition towards higher efficiency LED lighting and distribution transformers</w:t>
            </w:r>
            <w:r w:rsidRPr="00F737AD">
              <w:rPr>
                <w:rFonts w:cs="Calibri"/>
                <w:szCs w:val="20"/>
                <w:lang w:val="en-GB" w:eastAsia="en-GB"/>
              </w:rPr>
              <w:t>. T</w:t>
            </w:r>
            <w:r w:rsidR="00005041" w:rsidRPr="00F737AD">
              <w:rPr>
                <w:rFonts w:cs="Calibri"/>
                <w:szCs w:val="20"/>
                <w:lang w:val="en-GB" w:eastAsia="en-GB"/>
              </w:rPr>
              <w:t xml:space="preserve">heir </w:t>
            </w:r>
            <w:r w:rsidR="00633324" w:rsidRPr="00F737AD">
              <w:rPr>
                <w:rFonts w:cs="Calibri"/>
                <w:szCs w:val="20"/>
                <w:lang w:val="en-GB" w:eastAsia="en-GB"/>
              </w:rPr>
              <w:t xml:space="preserve">funding is often used to reduce the backlog of issues in the infrastructure. </w:t>
            </w:r>
            <w:r w:rsidR="00005041" w:rsidRPr="00F737AD">
              <w:rPr>
                <w:rFonts w:cs="Calibri"/>
                <w:szCs w:val="20"/>
                <w:lang w:val="en-GB" w:eastAsia="en-GB"/>
              </w:rPr>
              <w:t>Low-resource municipalities</w:t>
            </w:r>
            <w:r w:rsidR="00633324" w:rsidRPr="00F737AD">
              <w:rPr>
                <w:rFonts w:cs="Calibri"/>
                <w:szCs w:val="20"/>
                <w:lang w:val="en-GB" w:eastAsia="en-GB"/>
              </w:rPr>
              <w:t xml:space="preserve"> are accustomed to sourcing a substantial part of their revenue from grants, </w:t>
            </w:r>
            <w:r w:rsidRPr="00F737AD">
              <w:rPr>
                <w:rFonts w:cs="Calibri"/>
                <w:szCs w:val="20"/>
                <w:lang w:val="en-GB" w:eastAsia="en-GB"/>
              </w:rPr>
              <w:t xml:space="preserve">and they will not </w:t>
            </w:r>
            <w:r w:rsidRPr="00F737AD">
              <w:rPr>
                <w:rFonts w:cs="Calibri"/>
                <w:noProof/>
                <w:szCs w:val="20"/>
                <w:lang w:val="en-GB" w:eastAsia="en-GB"/>
              </w:rPr>
              <w:t>realise</w:t>
            </w:r>
            <w:r w:rsidRPr="00F737AD">
              <w:rPr>
                <w:rFonts w:cs="Calibri"/>
                <w:szCs w:val="20"/>
                <w:lang w:val="en-GB" w:eastAsia="en-GB"/>
              </w:rPr>
              <w:t xml:space="preserve"> </w:t>
            </w:r>
            <w:r w:rsidR="00633324" w:rsidRPr="00F737AD">
              <w:rPr>
                <w:rFonts w:cs="Calibri"/>
                <w:szCs w:val="20"/>
                <w:lang w:val="en-GB" w:eastAsia="en-GB"/>
              </w:rPr>
              <w:t>energy efficiency projects</w:t>
            </w:r>
            <w:r w:rsidRPr="00F737AD">
              <w:rPr>
                <w:rFonts w:cs="Calibri"/>
                <w:szCs w:val="20"/>
                <w:lang w:val="en-GB" w:eastAsia="en-GB"/>
              </w:rPr>
              <w:t xml:space="preserve"> without such grant funding</w:t>
            </w:r>
            <w:r w:rsidR="00C046DD" w:rsidRPr="00F737AD">
              <w:rPr>
                <w:rFonts w:cs="Calibri"/>
                <w:szCs w:val="20"/>
                <w:lang w:val="en-GB" w:eastAsia="en-GB"/>
              </w:rPr>
              <w:t xml:space="preserve"> or a clear financial benefit.</w:t>
            </w:r>
          </w:p>
          <w:p w:rsidR="00B45EE7" w:rsidRPr="00F737AD" w:rsidRDefault="00633324" w:rsidP="00F737AD">
            <w:pPr>
              <w:spacing w:beforeLines="60" w:before="144" w:after="0"/>
              <w:jc w:val="left"/>
              <w:rPr>
                <w:szCs w:val="20"/>
                <w:lang w:val="en-GB"/>
              </w:rPr>
            </w:pPr>
            <w:r w:rsidRPr="00F737AD">
              <w:rPr>
                <w:rFonts w:cs="Calibri"/>
                <w:szCs w:val="20"/>
                <w:lang w:val="en-GB" w:eastAsia="en-GB"/>
              </w:rPr>
              <w:t>The Municipal Financial Management Act (MFMA) legislation gives substantial freedom to the municipalities on the management of their finances (for example, it does not set pre-defined limits to the amount of long-term debt that the municipalities may borrow)</w:t>
            </w:r>
            <w:r w:rsidR="00B45EE7" w:rsidRPr="00F737AD">
              <w:rPr>
                <w:rFonts w:cs="Calibri"/>
                <w:noProof/>
                <w:szCs w:val="20"/>
                <w:lang w:val="en-GB" w:eastAsia="en-GB"/>
              </w:rPr>
              <w:t>.</w:t>
            </w:r>
            <w:r w:rsidRPr="00F737AD">
              <w:rPr>
                <w:szCs w:val="20"/>
                <w:lang w:val="en-GB"/>
              </w:rPr>
              <w:t xml:space="preserve"> </w:t>
            </w:r>
            <w:r w:rsidR="00B83A7A" w:rsidRPr="00F737AD">
              <w:rPr>
                <w:szCs w:val="20"/>
                <w:lang w:val="en-GB"/>
              </w:rPr>
              <w:t>Their</w:t>
            </w:r>
            <w:r w:rsidRPr="00F737AD">
              <w:rPr>
                <w:szCs w:val="20"/>
                <w:lang w:val="en-GB"/>
              </w:rPr>
              <w:t xml:space="preserve"> funding takes place as part of an integrated budget planning</w:t>
            </w:r>
            <w:r w:rsidR="00263A79" w:rsidRPr="00F737AD">
              <w:rPr>
                <w:szCs w:val="20"/>
                <w:lang w:val="en-GB"/>
              </w:rPr>
              <w:t xml:space="preserve">. Energy efficiency proposals will </w:t>
            </w:r>
            <w:r w:rsidR="00263A79" w:rsidRPr="00F737AD">
              <w:rPr>
                <w:rFonts w:cs="Calibri"/>
                <w:szCs w:val="20"/>
                <w:lang w:val="en-GB" w:eastAsia="en-GB"/>
              </w:rPr>
              <w:t xml:space="preserve">compete for funding from other capital expenditures presented by the various departments that may be more popular with the electorate. The decision of which project should be included in the budget is, therefore, a delicate balancing exercise between the various service provision mandates of the municipalities. </w:t>
            </w:r>
            <w:r w:rsidR="003B5D0A" w:rsidRPr="00F737AD">
              <w:rPr>
                <w:rFonts w:cs="Calibri"/>
                <w:szCs w:val="20"/>
                <w:lang w:val="en-GB" w:eastAsia="en-GB"/>
              </w:rPr>
              <w:t>In addition, municipalities carry out their procurements within the requirements set by National Treasury, i.e. official national-level procurement guidelines aim at ‘lowest cost’ rather than lifecycle or environmental considerations</w:t>
            </w:r>
          </w:p>
          <w:p w:rsidR="00B83A7A" w:rsidRPr="00F737AD" w:rsidRDefault="00263A79" w:rsidP="00F737AD">
            <w:pPr>
              <w:spacing w:beforeLines="60" w:before="144" w:after="0"/>
              <w:jc w:val="left"/>
              <w:rPr>
                <w:szCs w:val="20"/>
                <w:lang w:val="en-GB"/>
              </w:rPr>
            </w:pPr>
            <w:r w:rsidRPr="00F737AD">
              <w:rPr>
                <w:rFonts w:cs="Calibri"/>
                <w:szCs w:val="20"/>
                <w:lang w:val="en-GB" w:eastAsia="en-GB"/>
              </w:rPr>
              <w:t xml:space="preserve">Metropolitan municipalities have </w:t>
            </w:r>
            <w:r w:rsidRPr="00F737AD">
              <w:rPr>
                <w:rFonts w:cs="Calibri"/>
                <w:noProof/>
                <w:szCs w:val="20"/>
                <w:lang w:val="en-GB" w:eastAsia="en-GB"/>
              </w:rPr>
              <w:t>investment</w:t>
            </w:r>
            <w:r w:rsidR="00E236DA" w:rsidRPr="00F737AD">
              <w:rPr>
                <w:rFonts w:cs="Calibri"/>
                <w:noProof/>
                <w:szCs w:val="20"/>
                <w:lang w:val="en-GB" w:eastAsia="en-GB"/>
              </w:rPr>
              <w:t>-</w:t>
            </w:r>
            <w:r w:rsidRPr="00F737AD">
              <w:rPr>
                <w:rFonts w:cs="Calibri"/>
                <w:noProof/>
                <w:szCs w:val="20"/>
                <w:lang w:val="en-GB" w:eastAsia="en-GB"/>
              </w:rPr>
              <w:t>grade</w:t>
            </w:r>
            <w:r w:rsidRPr="00F737AD">
              <w:rPr>
                <w:rFonts w:cs="Calibri"/>
                <w:szCs w:val="20"/>
                <w:lang w:val="en-GB" w:eastAsia="en-GB"/>
              </w:rPr>
              <w:t xml:space="preserve"> ratings, facilitating their borrowing processes and achieving similar borrowing costs as those of the central government. </w:t>
            </w:r>
            <w:r w:rsidR="00C046DD" w:rsidRPr="00F737AD">
              <w:rPr>
                <w:rFonts w:cs="Calibri"/>
                <w:szCs w:val="20"/>
                <w:lang w:val="en-GB" w:eastAsia="en-GB"/>
              </w:rPr>
              <w:t>However, debt financing for capital expenditure is typically part of the annual budget planning, and not for a specific project. The MFMA requires the municipalities to engage in a broad consultative process to engage in financial obligations that span for more than three years; this hinders realization of specific energy efficiency projects through a shared-savings ESCO mode</w:t>
            </w:r>
            <w:r w:rsidR="00C046DD" w:rsidRPr="00F737AD">
              <w:rPr>
                <w:szCs w:val="20"/>
                <w:lang w:val="en-GB"/>
              </w:rPr>
              <w:t>l</w:t>
            </w:r>
            <w:r w:rsidR="004D16CC" w:rsidRPr="00F737AD">
              <w:rPr>
                <w:szCs w:val="20"/>
                <w:lang w:val="en-GB"/>
              </w:rPr>
              <w:t xml:space="preserve">. Also, the MFMA </w:t>
            </w:r>
            <w:r w:rsidR="00633324" w:rsidRPr="00F737AD">
              <w:rPr>
                <w:szCs w:val="20"/>
                <w:lang w:val="en-GB"/>
              </w:rPr>
              <w:t>does not have any provision for the allocation of financial liabilities to ESCOs.</w:t>
            </w:r>
          </w:p>
          <w:p w:rsidR="00C046DD" w:rsidRPr="00F737AD" w:rsidRDefault="00C046DD" w:rsidP="00F737AD">
            <w:pPr>
              <w:spacing w:beforeLines="60" w:before="144" w:after="0"/>
              <w:jc w:val="left"/>
              <w:rPr>
                <w:szCs w:val="20"/>
                <w:lang w:val="en-GB"/>
              </w:rPr>
            </w:pPr>
            <w:r w:rsidRPr="00F737AD">
              <w:rPr>
                <w:szCs w:val="20"/>
                <w:lang w:val="en-GB"/>
              </w:rPr>
              <w:t xml:space="preserve">Current trends in international financial accounting (e.g. IFRS 16) limit the situations in which organizations may record this type of projects off-balance sheet. This approach substantially limits the benefits of this model, as the projects would have to be approved through the capital expenditure process of the municipality and an associated long-term liability towards the ESCO would have to be recorded in its balance sheet. In other markets, these complexities have resulted in the issuance of a guidance note by the corresponding accounting authority (e.g. Eurostat in the European Union). The South African municipalities </w:t>
            </w:r>
            <w:r w:rsidRPr="00F737AD">
              <w:rPr>
                <w:szCs w:val="20"/>
                <w:lang w:val="en-GB"/>
              </w:rPr>
              <w:lastRenderedPageBreak/>
              <w:t xml:space="preserve">consulted have not received any guidance on the financial accounting of these projects. The result is that the benefit of this ESCO model for the larger and more technically capable municipalities is unclear at this point. </w:t>
            </w:r>
          </w:p>
          <w:p w:rsidR="00C046DD" w:rsidRPr="00F737AD" w:rsidRDefault="00C046DD" w:rsidP="00F737AD">
            <w:pPr>
              <w:spacing w:beforeLines="60" w:before="144" w:after="0"/>
              <w:jc w:val="left"/>
              <w:rPr>
                <w:szCs w:val="20"/>
                <w:lang w:val="en-GB"/>
              </w:rPr>
            </w:pPr>
            <w:r w:rsidRPr="00F737AD">
              <w:rPr>
                <w:szCs w:val="20"/>
                <w:lang w:val="en-GB"/>
              </w:rPr>
              <w:t>In the case of less technically capable municipalities, the utilization of a shared-savings ESCO model may still be beneficial, as it transfers the complexities of project engineering, procurement and construction to a specialized organization. More importantly, this model allows the utilization of private financing sources to fill the gap of public funding and achieve the transition towards higher efficiency LED lighting and efficient transformers. As a result, it has the full support of the Department of Energy. A portion of the EEFI funding will be made available to support this model through a credit guarantee mechanism for loans to qualifying ESCOs.</w:t>
            </w:r>
          </w:p>
          <w:p w:rsidR="00633324" w:rsidRPr="00F737AD" w:rsidRDefault="00633324" w:rsidP="00F737AD">
            <w:pPr>
              <w:tabs>
                <w:tab w:val="left" w:pos="318"/>
              </w:tabs>
              <w:spacing w:beforeLines="60" w:before="144" w:after="0"/>
              <w:ind w:left="318" w:hanging="318"/>
              <w:jc w:val="left"/>
              <w:rPr>
                <w:rFonts w:cs="Calibri"/>
                <w:szCs w:val="20"/>
                <w:lang w:val="en-GB" w:eastAsia="en-GB"/>
              </w:rPr>
            </w:pPr>
            <w:r w:rsidRPr="00F737AD">
              <w:rPr>
                <w:rFonts w:cs="Calibri"/>
                <w:szCs w:val="20"/>
                <w:lang w:val="en-GB" w:eastAsia="en-GB"/>
              </w:rPr>
              <w:t>•</w:t>
            </w:r>
            <w:r w:rsidRPr="00F737AD">
              <w:rPr>
                <w:rFonts w:cs="Calibri"/>
                <w:szCs w:val="20"/>
                <w:lang w:val="en-GB" w:eastAsia="en-GB"/>
              </w:rPr>
              <w:tab/>
            </w:r>
            <w:r w:rsidRPr="00F737AD">
              <w:rPr>
                <w:rFonts w:cs="Calibri"/>
                <w:i/>
                <w:noProof/>
                <w:szCs w:val="20"/>
                <w:lang w:val="en-GB" w:eastAsia="en-GB"/>
              </w:rPr>
              <w:t>Under-resource</w:t>
            </w:r>
            <w:r w:rsidR="00773D9D" w:rsidRPr="00F737AD">
              <w:rPr>
                <w:rFonts w:cs="Calibri"/>
                <w:i/>
                <w:noProof/>
                <w:szCs w:val="20"/>
                <w:lang w:val="en-GB" w:eastAsia="en-GB"/>
              </w:rPr>
              <w:t>d</w:t>
            </w:r>
            <w:r w:rsidRPr="00F737AD">
              <w:rPr>
                <w:rFonts w:cs="Calibri"/>
                <w:i/>
                <w:szCs w:val="20"/>
                <w:lang w:val="en-GB" w:eastAsia="en-GB"/>
              </w:rPr>
              <w:t xml:space="preserve"> municipalities do not have the resources (skilled staff, or financial) to prepare municipal EE strategies or sound and bankable EE investment plans </w:t>
            </w:r>
          </w:p>
          <w:p w:rsidR="00633324" w:rsidRPr="00F737AD" w:rsidRDefault="00263A79" w:rsidP="00F737AD">
            <w:pPr>
              <w:spacing w:beforeLines="60" w:before="144" w:after="0"/>
              <w:ind w:left="34"/>
              <w:jc w:val="left"/>
              <w:rPr>
                <w:rFonts w:cs="Calibri"/>
                <w:szCs w:val="20"/>
                <w:lang w:val="en-GB" w:eastAsia="en-GB"/>
              </w:rPr>
            </w:pPr>
            <w:r w:rsidRPr="00F737AD">
              <w:rPr>
                <w:rFonts w:cs="Calibri"/>
                <w:szCs w:val="20"/>
                <w:lang w:val="en-GB" w:eastAsia="en-GB"/>
              </w:rPr>
              <w:t xml:space="preserve">Apart from having low </w:t>
            </w:r>
            <w:r w:rsidR="00807F49" w:rsidRPr="00F737AD">
              <w:rPr>
                <w:rFonts w:cs="Calibri"/>
                <w:szCs w:val="20"/>
                <w:lang w:val="en-GB" w:eastAsia="en-GB"/>
              </w:rPr>
              <w:t>financial</w:t>
            </w:r>
            <w:r w:rsidRPr="00F737AD">
              <w:rPr>
                <w:rFonts w:cs="Calibri"/>
                <w:szCs w:val="20"/>
                <w:lang w:val="en-GB" w:eastAsia="en-GB"/>
              </w:rPr>
              <w:t xml:space="preserve"> resources, smaller (often, rural) </w:t>
            </w:r>
            <w:r w:rsidR="00633324" w:rsidRPr="00F737AD">
              <w:rPr>
                <w:rFonts w:cs="Calibri"/>
                <w:szCs w:val="20"/>
                <w:lang w:val="en-GB" w:eastAsia="en-GB"/>
              </w:rPr>
              <w:t xml:space="preserve">municipalities have limited internal </w:t>
            </w:r>
            <w:r w:rsidRPr="00F737AD">
              <w:rPr>
                <w:rFonts w:cs="Calibri"/>
                <w:szCs w:val="20"/>
                <w:lang w:val="en-GB" w:eastAsia="en-GB"/>
              </w:rPr>
              <w:t>staff c</w:t>
            </w:r>
            <w:r w:rsidR="00633324" w:rsidRPr="00F737AD">
              <w:rPr>
                <w:rFonts w:cs="Calibri"/>
                <w:szCs w:val="20"/>
                <w:lang w:val="en-GB" w:eastAsia="en-GB"/>
              </w:rPr>
              <w:t xml:space="preserve">apacity to </w:t>
            </w:r>
            <w:r w:rsidRPr="00F737AD">
              <w:rPr>
                <w:rFonts w:cs="Calibri"/>
                <w:szCs w:val="20"/>
                <w:lang w:val="en-GB" w:eastAsia="en-GB"/>
              </w:rPr>
              <w:t>formulate energy projects</w:t>
            </w:r>
            <w:r w:rsidR="00633324" w:rsidRPr="00F737AD">
              <w:rPr>
                <w:rFonts w:cs="Calibri"/>
                <w:szCs w:val="20"/>
                <w:lang w:val="en-GB" w:eastAsia="en-GB"/>
              </w:rPr>
              <w:t xml:space="preserve"> (</w:t>
            </w:r>
            <w:r w:rsidRPr="00F737AD">
              <w:rPr>
                <w:rFonts w:cs="Calibri"/>
                <w:szCs w:val="20"/>
                <w:lang w:val="en-GB" w:eastAsia="en-GB"/>
              </w:rPr>
              <w:t xml:space="preserve">e.g., </w:t>
            </w:r>
            <w:r w:rsidR="00633324" w:rsidRPr="00F737AD">
              <w:rPr>
                <w:rFonts w:cs="Calibri"/>
                <w:szCs w:val="20"/>
                <w:lang w:val="en-GB" w:eastAsia="en-GB"/>
              </w:rPr>
              <w:t>the economic benefits of LED lighting and high-efficiency transformers may not be well understood) and to formulate</w:t>
            </w:r>
            <w:r w:rsidR="00633324" w:rsidRPr="00F737AD">
              <w:rPr>
                <w:rFonts w:ascii="Times New Roman" w:hAnsi="Times New Roman"/>
                <w:szCs w:val="20"/>
                <w:lang w:val="en-GB"/>
              </w:rPr>
              <w:t xml:space="preserve"> </w:t>
            </w:r>
            <w:r w:rsidR="00633324" w:rsidRPr="00F737AD">
              <w:rPr>
                <w:rFonts w:cs="Calibri"/>
                <w:szCs w:val="20"/>
                <w:lang w:val="en-GB" w:eastAsia="en-GB"/>
              </w:rPr>
              <w:t>procurement requirements for lighting and other technical equipment. They</w:t>
            </w:r>
            <w:r w:rsidRPr="00F737AD">
              <w:rPr>
                <w:rFonts w:cs="Calibri"/>
                <w:szCs w:val="20"/>
                <w:lang w:val="en-GB" w:eastAsia="en-GB"/>
              </w:rPr>
              <w:t xml:space="preserve"> often</w:t>
            </w:r>
            <w:r w:rsidR="00633324" w:rsidRPr="00F737AD">
              <w:rPr>
                <w:rFonts w:cs="Calibri"/>
                <w:szCs w:val="20"/>
                <w:lang w:val="en-GB" w:eastAsia="en-GB"/>
              </w:rPr>
              <w:t xml:space="preserve"> rely heavily on external </w:t>
            </w:r>
            <w:r w:rsidR="00B83A7A" w:rsidRPr="00F737AD">
              <w:rPr>
                <w:rFonts w:cs="Calibri"/>
                <w:szCs w:val="20"/>
                <w:lang w:val="en-GB" w:eastAsia="en-GB"/>
              </w:rPr>
              <w:t xml:space="preserve">(consultancy) </w:t>
            </w:r>
            <w:r w:rsidR="00633324" w:rsidRPr="00F737AD">
              <w:rPr>
                <w:rFonts w:cs="Calibri"/>
                <w:szCs w:val="20"/>
                <w:lang w:val="en-GB" w:eastAsia="en-GB"/>
              </w:rPr>
              <w:t>support and this has resulted, for example, in street lighting projects developed under the MEEDSM program with wildly varying costs and outcomes for rather similar equipment.</w:t>
            </w:r>
          </w:p>
          <w:p w:rsidR="00E36F4E" w:rsidRPr="00F737AD" w:rsidRDefault="00633324" w:rsidP="003A2690">
            <w:pPr>
              <w:spacing w:beforeLines="60" w:before="144" w:after="0"/>
              <w:ind w:left="34"/>
              <w:jc w:val="left"/>
              <w:rPr>
                <w:rFonts w:cs="Calibri"/>
                <w:szCs w:val="20"/>
                <w:lang w:val="en-GB" w:eastAsia="en-GB"/>
              </w:rPr>
            </w:pPr>
            <w:r w:rsidRPr="00F737AD">
              <w:rPr>
                <w:rFonts w:cs="Calibri"/>
                <w:szCs w:val="20"/>
                <w:lang w:val="en-GB" w:eastAsia="en-GB"/>
              </w:rPr>
              <w:t>The metropolitan municipalities do have teams of competent technical staff that are able to perform the basic engineering design of such projects and prepare tenders for the supply and installation of equipment. However, the proposals</w:t>
            </w:r>
            <w:r w:rsidR="005B5CF8" w:rsidRPr="00F737AD">
              <w:rPr>
                <w:rFonts w:cs="Calibri"/>
                <w:szCs w:val="20"/>
                <w:lang w:val="en-GB" w:eastAsia="en-GB"/>
              </w:rPr>
              <w:t xml:space="preserve"> often</w:t>
            </w:r>
            <w:r w:rsidRPr="00F737AD">
              <w:rPr>
                <w:rFonts w:cs="Calibri"/>
                <w:szCs w:val="20"/>
                <w:lang w:val="en-GB" w:eastAsia="en-GB"/>
              </w:rPr>
              <w:t xml:space="preserve"> tend to be very technical and do not reach the financial analysis that would make them a “bankable project” for (development) finance institutions.</w:t>
            </w:r>
          </w:p>
        </w:tc>
      </w:tr>
      <w:tr w:rsidR="00633324" w:rsidRPr="0057545E" w:rsidTr="00F737AD">
        <w:tc>
          <w:tcPr>
            <w:tcW w:w="10632" w:type="dxa"/>
            <w:shd w:val="clear" w:color="auto" w:fill="F2F2F2"/>
          </w:tcPr>
          <w:p w:rsidR="00633324" w:rsidRPr="00F737AD" w:rsidRDefault="00633324" w:rsidP="00F737AD">
            <w:pPr>
              <w:spacing w:before="60" w:after="0"/>
              <w:jc w:val="left"/>
              <w:rPr>
                <w:rFonts w:cs="Calibri"/>
                <w:b/>
                <w:szCs w:val="20"/>
                <w:lang w:val="en-GB" w:eastAsia="en-GB"/>
              </w:rPr>
            </w:pPr>
            <w:r w:rsidRPr="00F737AD">
              <w:rPr>
                <w:rFonts w:cs="Calibri"/>
                <w:b/>
                <w:szCs w:val="20"/>
                <w:lang w:val="en-GB" w:eastAsia="en-GB"/>
              </w:rPr>
              <w:lastRenderedPageBreak/>
              <w:t xml:space="preserve">Local production of </w:t>
            </w:r>
            <w:r w:rsidRPr="00F737AD">
              <w:rPr>
                <w:rFonts w:cs="Calibri"/>
                <w:b/>
                <w:noProof/>
                <w:szCs w:val="20"/>
                <w:lang w:val="en-GB" w:eastAsia="en-GB"/>
              </w:rPr>
              <w:t>high</w:t>
            </w:r>
            <w:r w:rsidR="00E236DA" w:rsidRPr="00F737AD">
              <w:rPr>
                <w:rFonts w:cs="Calibri"/>
                <w:b/>
                <w:noProof/>
                <w:szCs w:val="20"/>
                <w:lang w:val="en-GB" w:eastAsia="en-GB"/>
              </w:rPr>
              <w:t>-</w:t>
            </w:r>
            <w:r w:rsidRPr="00F737AD">
              <w:rPr>
                <w:rFonts w:cs="Calibri"/>
                <w:b/>
                <w:noProof/>
                <w:szCs w:val="20"/>
                <w:lang w:val="en-GB" w:eastAsia="en-GB"/>
              </w:rPr>
              <w:t>efficiency</w:t>
            </w:r>
            <w:r w:rsidRPr="00F737AD">
              <w:rPr>
                <w:rFonts w:cs="Calibri"/>
                <w:b/>
                <w:szCs w:val="20"/>
                <w:lang w:val="en-GB" w:eastAsia="en-GB"/>
              </w:rPr>
              <w:t xml:space="preserve"> lighting and transformers</w:t>
            </w:r>
          </w:p>
        </w:tc>
      </w:tr>
      <w:tr w:rsidR="00633324" w:rsidRPr="0057545E" w:rsidTr="00F737AD">
        <w:tc>
          <w:tcPr>
            <w:tcW w:w="10632" w:type="dxa"/>
            <w:shd w:val="clear" w:color="auto" w:fill="auto"/>
          </w:tcPr>
          <w:p w:rsidR="00633324" w:rsidRPr="00F737AD" w:rsidRDefault="00633324" w:rsidP="00F737AD">
            <w:pPr>
              <w:numPr>
                <w:ilvl w:val="0"/>
                <w:numId w:val="49"/>
              </w:numPr>
              <w:spacing w:before="60" w:after="0"/>
              <w:ind w:left="318" w:hanging="284"/>
              <w:jc w:val="left"/>
              <w:rPr>
                <w:rFonts w:cs="Calibri"/>
                <w:i/>
                <w:szCs w:val="20"/>
                <w:lang w:val="en-GB" w:eastAsia="en-GB"/>
              </w:rPr>
            </w:pPr>
            <w:r w:rsidRPr="00F737AD">
              <w:rPr>
                <w:rFonts w:cs="Calibri"/>
                <w:i/>
                <w:szCs w:val="20"/>
                <w:lang w:val="en-GB" w:eastAsia="en-GB"/>
              </w:rPr>
              <w:t xml:space="preserve">Setting up production for new innovative products with local content (e.g. local LED lamp manufacturers or high-efficiency transformation) may be judged too high a risk </w:t>
            </w:r>
          </w:p>
          <w:p w:rsidR="00633324" w:rsidRPr="00F737AD" w:rsidRDefault="00633324" w:rsidP="00F737AD">
            <w:pPr>
              <w:spacing w:before="60" w:after="0"/>
              <w:jc w:val="left"/>
              <w:rPr>
                <w:rFonts w:cs="Calibri"/>
                <w:szCs w:val="20"/>
                <w:lang w:val="en-GB" w:eastAsia="en-GB"/>
              </w:rPr>
            </w:pPr>
            <w:r w:rsidRPr="00F737AD">
              <w:rPr>
                <w:rFonts w:cs="Calibri"/>
                <w:szCs w:val="20"/>
                <w:lang w:val="en-GB" w:eastAsia="en-GB"/>
              </w:rPr>
              <w:t>Companies interested in setting up production for new innovative products with local content (e.g. local LED product integrated lamp and luminaire for various applications) manufacturers or high-efficiency transformation face uncertainty on the market uptake</w:t>
            </w:r>
            <w:r w:rsidR="00773D9D" w:rsidRPr="00F737AD">
              <w:rPr>
                <w:rFonts w:cs="Calibri"/>
                <w:szCs w:val="20"/>
                <w:lang w:val="en-GB" w:eastAsia="en-GB"/>
              </w:rPr>
              <w:t xml:space="preserve">. </w:t>
            </w:r>
            <w:r w:rsidRPr="00F737AD">
              <w:rPr>
                <w:rFonts w:cs="Calibri"/>
                <w:szCs w:val="20"/>
                <w:lang w:val="en-GB" w:eastAsia="en-GB"/>
              </w:rPr>
              <w:t xml:space="preserve">Lack of capital and short time thresholds for payback in updating production facilities - will continue to hamper investment by suppliers/manufacturers in LED lamps and in high-efficiency transformers. There is </w:t>
            </w:r>
            <w:r w:rsidR="005B5CF8" w:rsidRPr="00F737AD">
              <w:rPr>
                <w:rFonts w:cs="Calibri"/>
                <w:szCs w:val="20"/>
                <w:lang w:val="en-GB" w:eastAsia="en-GB"/>
              </w:rPr>
              <w:t xml:space="preserve">a </w:t>
            </w:r>
            <w:r w:rsidRPr="00F737AD">
              <w:rPr>
                <w:rFonts w:cs="Calibri"/>
                <w:szCs w:val="20"/>
                <w:lang w:val="en-GB" w:eastAsia="en-GB"/>
              </w:rPr>
              <w:t xml:space="preserve">need for staff skills enhancement and technical assistance support to local manufacturing industry and introduce new locally manufactured </w:t>
            </w:r>
            <w:r w:rsidR="005B5CF8" w:rsidRPr="00F737AD">
              <w:rPr>
                <w:rFonts w:cs="Calibri"/>
                <w:szCs w:val="20"/>
                <w:lang w:val="en-GB" w:eastAsia="en-GB"/>
              </w:rPr>
              <w:t xml:space="preserve">lamp-luminaire integrated LED products </w:t>
            </w:r>
            <w:r w:rsidRPr="00F737AD">
              <w:rPr>
                <w:rFonts w:cs="Calibri"/>
                <w:szCs w:val="20"/>
                <w:lang w:val="en-GB" w:eastAsia="en-GB"/>
              </w:rPr>
              <w:t>in the local market</w:t>
            </w:r>
            <w:r w:rsidR="00263A79" w:rsidRPr="00F737AD">
              <w:rPr>
                <w:rFonts w:cs="Calibri"/>
                <w:szCs w:val="20"/>
                <w:lang w:val="en-GB" w:eastAsia="en-GB"/>
              </w:rPr>
              <w:t>.</w:t>
            </w:r>
          </w:p>
          <w:p w:rsidR="00E36F4E" w:rsidRPr="00F737AD" w:rsidRDefault="00E36F4E" w:rsidP="00F737AD">
            <w:pPr>
              <w:spacing w:before="60" w:after="0"/>
              <w:jc w:val="left"/>
              <w:rPr>
                <w:rFonts w:cs="Calibri"/>
                <w:b/>
                <w:szCs w:val="20"/>
                <w:lang w:val="en-GB" w:eastAsia="en-GB"/>
              </w:rPr>
            </w:pPr>
          </w:p>
        </w:tc>
      </w:tr>
      <w:tr w:rsidR="00263A79" w:rsidRPr="0057545E" w:rsidTr="00F737AD">
        <w:tc>
          <w:tcPr>
            <w:tcW w:w="10632" w:type="dxa"/>
            <w:shd w:val="clear" w:color="auto" w:fill="F2F2F2"/>
          </w:tcPr>
          <w:p w:rsidR="00263A79" w:rsidRPr="00F737AD" w:rsidRDefault="00263A79" w:rsidP="00F737AD">
            <w:pPr>
              <w:spacing w:before="60" w:after="0"/>
              <w:jc w:val="left"/>
              <w:rPr>
                <w:rFonts w:cs="Calibri"/>
                <w:b/>
                <w:szCs w:val="20"/>
                <w:lang w:val="en-GB" w:eastAsia="en-GB"/>
              </w:rPr>
            </w:pPr>
            <w:r w:rsidRPr="00F737AD">
              <w:rPr>
                <w:rFonts w:cs="Calibri"/>
                <w:b/>
                <w:szCs w:val="20"/>
                <w:lang w:val="en-GB" w:eastAsia="en-GB"/>
              </w:rPr>
              <w:t>Environmentally sound management</w:t>
            </w:r>
          </w:p>
        </w:tc>
      </w:tr>
      <w:tr w:rsidR="00263A79" w:rsidRPr="0057545E" w:rsidTr="00F737AD">
        <w:tc>
          <w:tcPr>
            <w:tcW w:w="10632" w:type="dxa"/>
            <w:shd w:val="clear" w:color="auto" w:fill="auto"/>
          </w:tcPr>
          <w:p w:rsidR="00263A79" w:rsidRPr="00F737AD" w:rsidRDefault="00263A79" w:rsidP="00F737AD">
            <w:pPr>
              <w:numPr>
                <w:ilvl w:val="0"/>
                <w:numId w:val="47"/>
              </w:numPr>
              <w:spacing w:after="0"/>
              <w:ind w:left="318" w:hanging="318"/>
              <w:jc w:val="left"/>
              <w:rPr>
                <w:rFonts w:cs="Calibri"/>
                <w:szCs w:val="20"/>
                <w:lang w:val="en-GB" w:eastAsia="en-GB"/>
              </w:rPr>
            </w:pPr>
            <w:r w:rsidRPr="00F737AD">
              <w:rPr>
                <w:rFonts w:cs="Calibri"/>
                <w:i/>
                <w:szCs w:val="20"/>
                <w:lang w:val="en-GB" w:eastAsia="en-GB"/>
              </w:rPr>
              <w:t>Insufficient recycling and waste separation of used lamps</w:t>
            </w:r>
          </w:p>
          <w:p w:rsidR="00263A79" w:rsidRPr="00F737AD" w:rsidRDefault="00263A79" w:rsidP="00FE3ACE">
            <w:pPr>
              <w:rPr>
                <w:rFonts w:cs="Calibri"/>
                <w:szCs w:val="20"/>
                <w:lang w:val="en-GB" w:eastAsia="en-GB"/>
              </w:rPr>
            </w:pPr>
            <w:r w:rsidRPr="00F737AD">
              <w:rPr>
                <w:rFonts w:cs="Calibri"/>
                <w:szCs w:val="20"/>
                <w:lang w:val="en-GB" w:eastAsia="en-GB"/>
              </w:rPr>
              <w:t xml:space="preserve">Most lamps electronic materials and HID and fluorescent lamps contain hazardous materials (mercury). Recovered quantities and types of material </w:t>
            </w:r>
            <w:r w:rsidRPr="00F737AD">
              <w:rPr>
                <w:rFonts w:cs="Calibri"/>
                <w:noProof/>
                <w:szCs w:val="20"/>
                <w:lang w:val="en-GB" w:eastAsia="en-GB"/>
              </w:rPr>
              <w:t>is</w:t>
            </w:r>
            <w:r w:rsidRPr="00F737AD">
              <w:rPr>
                <w:rFonts w:cs="Calibri"/>
                <w:szCs w:val="20"/>
                <w:lang w:val="en-GB" w:eastAsia="en-GB"/>
              </w:rPr>
              <w:t xml:space="preserve"> highly dependent on the market demand, price and industry </w:t>
            </w:r>
            <w:r w:rsidRPr="00F737AD">
              <w:rPr>
                <w:rFonts w:cs="Calibri"/>
                <w:noProof/>
                <w:szCs w:val="20"/>
                <w:lang w:val="en-GB" w:eastAsia="en-GB"/>
              </w:rPr>
              <w:t>organised</w:t>
            </w:r>
            <w:r w:rsidRPr="00F737AD">
              <w:rPr>
                <w:rFonts w:cs="Calibri"/>
                <w:szCs w:val="20"/>
                <w:lang w:val="en-GB" w:eastAsia="en-GB"/>
              </w:rPr>
              <w:t xml:space="preserve"> collection, buy-back, and storage systems. Households may bring to recycle points at retail chains or waste and recycling service providers. </w:t>
            </w:r>
            <w:r w:rsidRPr="00F737AD">
              <w:rPr>
                <w:szCs w:val="20"/>
                <w:lang w:val="en-GB"/>
              </w:rPr>
              <w:t xml:space="preserve"> </w:t>
            </w:r>
            <w:r w:rsidRPr="00F737AD">
              <w:rPr>
                <w:rFonts w:cs="Calibri"/>
                <w:szCs w:val="20"/>
                <w:lang w:val="en-GB" w:eastAsia="en-GB"/>
              </w:rPr>
              <w:t>However, informal sector salvaging, both at the street level, and at the landfill, constitutes the bulk of recycling activities in South Africa.</w:t>
            </w:r>
            <w:r w:rsidRPr="00F737AD">
              <w:rPr>
                <w:szCs w:val="20"/>
                <w:lang w:val="en-GB"/>
              </w:rPr>
              <w:t xml:space="preserve"> Lamps end up with other waste on municipal waste disposal and landfill facilities. M</w:t>
            </w:r>
            <w:r w:rsidRPr="00F737AD">
              <w:rPr>
                <w:rFonts w:cs="Calibri"/>
                <w:szCs w:val="20"/>
                <w:lang w:val="en-GB" w:eastAsia="en-GB"/>
              </w:rPr>
              <w:t xml:space="preserve">any households in low-income or rural areas these often not ‘within walking distance of points of sale or retailers that can serve as a central location for collection. </w:t>
            </w:r>
            <w:proofErr w:type="gramStart"/>
            <w:r w:rsidRPr="00F737AD">
              <w:rPr>
                <w:rFonts w:cs="Calibri"/>
                <w:szCs w:val="20"/>
                <w:lang w:val="en-GB" w:eastAsia="en-GB"/>
              </w:rPr>
              <w:t>As a consequence</w:t>
            </w:r>
            <w:proofErr w:type="gramEnd"/>
            <w:r w:rsidRPr="00F737AD">
              <w:rPr>
                <w:rFonts w:cs="Calibri"/>
                <w:szCs w:val="20"/>
                <w:lang w:val="en-GB" w:eastAsia="en-GB"/>
              </w:rPr>
              <w:t>, waste separation and formal recycling remain a concept foreign to many South African households.</w:t>
            </w:r>
          </w:p>
          <w:p w:rsidR="00646EA3" w:rsidRPr="00F737AD" w:rsidRDefault="00646EA3" w:rsidP="00F737AD">
            <w:pPr>
              <w:pStyle w:val="ListParagraph"/>
              <w:numPr>
                <w:ilvl w:val="0"/>
                <w:numId w:val="47"/>
              </w:numPr>
              <w:spacing w:before="60"/>
              <w:ind w:left="318" w:hanging="284"/>
              <w:rPr>
                <w:rFonts w:ascii="Calibri" w:hAnsi="Calibri" w:cs="Calibri"/>
                <w:i/>
                <w:sz w:val="19"/>
                <w:szCs w:val="19"/>
                <w:lang w:val="en-GB" w:eastAsia="en-GB"/>
              </w:rPr>
            </w:pPr>
            <w:r w:rsidRPr="00F737AD">
              <w:rPr>
                <w:rFonts w:ascii="Calibri" w:hAnsi="Calibri" w:cs="Calibri"/>
                <w:i/>
                <w:sz w:val="19"/>
                <w:szCs w:val="19"/>
                <w:lang w:val="en-GB" w:eastAsia="en-GB"/>
              </w:rPr>
              <w:t>Vegetable oils and transformers</w:t>
            </w:r>
          </w:p>
          <w:p w:rsidR="00263A79" w:rsidRPr="00F737AD" w:rsidRDefault="00263A79" w:rsidP="00F737AD">
            <w:pPr>
              <w:spacing w:after="0"/>
              <w:jc w:val="left"/>
              <w:rPr>
                <w:rFonts w:cs="Calibri"/>
                <w:b/>
                <w:szCs w:val="20"/>
                <w:lang w:val="en-GB" w:eastAsia="en-GB"/>
              </w:rPr>
            </w:pPr>
            <w:r w:rsidRPr="00F737AD">
              <w:rPr>
                <w:rFonts w:eastAsia="Calibri" w:cs="Calibri"/>
                <w:szCs w:val="20"/>
                <w:lang w:val="en-GB"/>
              </w:rPr>
              <w:t xml:space="preserve">Most distribution transformers used in South Africa (about 80%) are of the liquid-immersed type that </w:t>
            </w:r>
            <w:r w:rsidRPr="00F737AD">
              <w:rPr>
                <w:rFonts w:eastAsia="Calibri" w:cs="Calibri"/>
                <w:noProof/>
                <w:szCs w:val="20"/>
                <w:lang w:val="en-GB"/>
              </w:rPr>
              <w:t>use</w:t>
            </w:r>
            <w:r w:rsidR="00E236DA" w:rsidRPr="00F737AD">
              <w:rPr>
                <w:rFonts w:eastAsia="Calibri" w:cs="Calibri"/>
                <w:noProof/>
                <w:szCs w:val="20"/>
                <w:lang w:val="en-GB"/>
              </w:rPr>
              <w:t>s</w:t>
            </w:r>
            <w:r w:rsidRPr="00F737AD">
              <w:rPr>
                <w:rFonts w:eastAsia="Calibri" w:cs="Calibri"/>
                <w:szCs w:val="20"/>
                <w:lang w:val="en-GB"/>
              </w:rPr>
              <w:t xml:space="preserve"> mineral oil for insulation. Vegetable-oil natural esters can be used in distribution transformers as insulating oil instead of mineral oils. Apart from its greenhouse reduction impact as a replacement for mineral oils, vegetable oils have the advantage that the transformer can be loaded at </w:t>
            </w:r>
            <w:r w:rsidR="00E236DA" w:rsidRPr="00F737AD">
              <w:rPr>
                <w:rFonts w:eastAsia="Calibri" w:cs="Calibri"/>
                <w:szCs w:val="20"/>
                <w:lang w:val="en-GB"/>
              </w:rPr>
              <w:t xml:space="preserve">a </w:t>
            </w:r>
            <w:r w:rsidRPr="00F737AD">
              <w:rPr>
                <w:rFonts w:eastAsia="Calibri" w:cs="Calibri"/>
                <w:noProof/>
                <w:szCs w:val="20"/>
                <w:lang w:val="en-GB"/>
              </w:rPr>
              <w:t>higher</w:t>
            </w:r>
            <w:r w:rsidRPr="00F737AD">
              <w:rPr>
                <w:rFonts w:eastAsia="Calibri" w:cs="Calibri"/>
                <w:szCs w:val="20"/>
                <w:lang w:val="en-GB"/>
              </w:rPr>
              <w:t xml:space="preserve"> rating and/or have an extended life. In addition, vegetable oils have </w:t>
            </w:r>
            <w:r w:rsidRPr="00F737AD">
              <w:rPr>
                <w:rFonts w:eastAsia="Calibri" w:cs="Calibri"/>
                <w:noProof/>
                <w:szCs w:val="20"/>
                <w:lang w:val="en-GB"/>
              </w:rPr>
              <w:t>better</w:t>
            </w:r>
            <w:r w:rsidRPr="00F737AD">
              <w:rPr>
                <w:rFonts w:eastAsia="Calibri" w:cs="Calibri"/>
                <w:szCs w:val="20"/>
                <w:lang w:val="en-GB"/>
              </w:rPr>
              <w:t xml:space="preserve"> fire safety and reduced spread in spillage conditions.</w:t>
            </w:r>
            <w:r w:rsidR="00E476B8" w:rsidRPr="00F737AD">
              <w:rPr>
                <w:rFonts w:eastAsia="Calibri" w:cs="Calibri"/>
                <w:szCs w:val="20"/>
                <w:lang w:val="en-GB"/>
              </w:rPr>
              <w:t xml:space="preserve"> However, the use of vegetable oil has been proposed by Eskom, but not implemented.</w:t>
            </w:r>
          </w:p>
        </w:tc>
      </w:tr>
    </w:tbl>
    <w:p w:rsidR="00263A79" w:rsidRPr="0057545E" w:rsidRDefault="00263A79">
      <w:pPr>
        <w:spacing w:after="0"/>
        <w:jc w:val="left"/>
        <w:rPr>
          <w:szCs w:val="20"/>
          <w:lang w:val="en-GB"/>
        </w:rPr>
      </w:pPr>
    </w:p>
    <w:p w:rsidR="003A2690" w:rsidRDefault="003A2690" w:rsidP="003A2690">
      <w:pPr>
        <w:pStyle w:val="Caption"/>
        <w:rPr>
          <w:rFonts w:ascii="Arial" w:hAnsi="Arial" w:cs="Arial"/>
          <w:color w:val="2E74B5"/>
          <w:sz w:val="18"/>
        </w:rPr>
      </w:pPr>
      <w:bookmarkStart w:id="41" w:name="_Ref495689778"/>
      <w:bookmarkStart w:id="42" w:name="_Toc179828"/>
    </w:p>
    <w:p w:rsidR="00CB50B5" w:rsidRDefault="00CB50B5" w:rsidP="00CB50B5"/>
    <w:p w:rsidR="00CB50B5" w:rsidRPr="00CB50B5" w:rsidRDefault="00CB50B5" w:rsidP="00CB50B5"/>
    <w:p w:rsidR="003A2690" w:rsidRDefault="003A2690" w:rsidP="003A2690">
      <w:pPr>
        <w:pStyle w:val="Caption"/>
        <w:rPr>
          <w:rFonts w:ascii="Arial" w:hAnsi="Arial" w:cs="Arial"/>
          <w:color w:val="2E74B5"/>
          <w:sz w:val="18"/>
        </w:rPr>
      </w:pPr>
      <w:r w:rsidRPr="003A2690">
        <w:rPr>
          <w:rFonts w:ascii="Arial" w:hAnsi="Arial" w:cs="Arial"/>
          <w:color w:val="2E74B5"/>
          <w:sz w:val="18"/>
        </w:rPr>
        <w:lastRenderedPageBreak/>
        <w:t xml:space="preserve"> </w:t>
      </w:r>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w:t>
      </w:r>
      <w:r w:rsidRPr="00A21E05">
        <w:rPr>
          <w:rFonts w:ascii="Arial" w:hAnsi="Arial" w:cs="Arial"/>
          <w:color w:val="2E74B5"/>
          <w:sz w:val="18"/>
        </w:rPr>
        <w:fldChar w:fldCharType="end"/>
      </w:r>
      <w:bookmarkEnd w:id="41"/>
      <w:r>
        <w:rPr>
          <w:rFonts w:ascii="Arial" w:hAnsi="Arial" w:cs="Arial"/>
          <w:color w:val="2E74B5"/>
          <w:sz w:val="18"/>
        </w:rPr>
        <w:tab/>
        <w:t>Theory of change: development challenge, causes and expected results</w:t>
      </w:r>
      <w:bookmarkEnd w:id="42"/>
    </w:p>
    <w:p w:rsidR="00497A93" w:rsidRDefault="00497A93">
      <w:pPr>
        <w:spacing w:after="0"/>
        <w:jc w:val="left"/>
        <w:rPr>
          <w:szCs w:val="20"/>
          <w:lang w:val="en-GB"/>
        </w:rPr>
      </w:pPr>
    </w:p>
    <w:p w:rsidR="00CB50B5" w:rsidRPr="00353542" w:rsidRDefault="00CB50B5">
      <w:pPr>
        <w:spacing w:after="0"/>
        <w:jc w:val="left"/>
        <w:rPr>
          <w:szCs w:val="20"/>
          <w:lang w:val="en-GB"/>
        </w:rPr>
      </w:pPr>
      <w:r w:rsidRPr="00CB50B5">
        <w:rPr>
          <w:noProof/>
        </w:rPr>
        <w:drawing>
          <wp:inline distT="0" distB="0" distL="0" distR="0">
            <wp:extent cx="7660259" cy="3972242"/>
            <wp:effectExtent l="0" t="3810" r="0" b="0"/>
            <wp:docPr id="8342" name="Picture 8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rot="16200000">
                      <a:off x="0" y="0"/>
                      <a:ext cx="7669619" cy="3977095"/>
                    </a:xfrm>
                    <a:prstGeom prst="rect">
                      <a:avLst/>
                    </a:prstGeom>
                    <a:noFill/>
                    <a:ln>
                      <a:noFill/>
                    </a:ln>
                  </pic:spPr>
                </pic:pic>
              </a:graphicData>
            </a:graphic>
          </wp:inline>
        </w:drawing>
      </w:r>
    </w:p>
    <w:p w:rsidR="00722017" w:rsidRPr="004722F0" w:rsidRDefault="003A2690" w:rsidP="00C24696">
      <w:pPr>
        <w:spacing w:after="0"/>
        <w:rPr>
          <w:szCs w:val="20"/>
          <w:lang w:val="en-GB"/>
        </w:rPr>
      </w:pPr>
      <w:r>
        <w:rPr>
          <w:szCs w:val="20"/>
          <w:lang w:val="en-GB"/>
        </w:rPr>
        <w:br w:type="page"/>
      </w:r>
    </w:p>
    <w:p w:rsidR="000C3FF2" w:rsidRPr="00666B27" w:rsidRDefault="004C3717" w:rsidP="001E1DBB">
      <w:pPr>
        <w:pStyle w:val="Heading1"/>
        <w:tabs>
          <w:tab w:val="left" w:pos="567"/>
        </w:tabs>
        <w:spacing w:after="0"/>
        <w:ind w:left="709" w:hanging="709"/>
      </w:pPr>
      <w:bookmarkStart w:id="43" w:name="_Toc340756"/>
      <w:bookmarkStart w:id="44" w:name="_Toc207800911"/>
      <w:bookmarkStart w:id="45" w:name="_Toc497848293"/>
      <w:r w:rsidRPr="00666B27">
        <w:lastRenderedPageBreak/>
        <w:t>Strategy</w:t>
      </w:r>
      <w:bookmarkEnd w:id="43"/>
      <w:r w:rsidR="00A25CCB" w:rsidRPr="00666B27">
        <w:t xml:space="preserve"> </w:t>
      </w:r>
      <w:bookmarkEnd w:id="44"/>
      <w:bookmarkEnd w:id="45"/>
    </w:p>
    <w:p w:rsidR="00261EC6" w:rsidRPr="00666B27" w:rsidRDefault="00261EC6" w:rsidP="00261EC6">
      <w:pPr>
        <w:rPr>
          <w:lang w:val="en-GB" w:eastAsia="en-GB"/>
        </w:rPr>
      </w:pPr>
    </w:p>
    <w:p w:rsidR="00633324" w:rsidRPr="00666B27" w:rsidRDefault="00633324" w:rsidP="00633324">
      <w:pPr>
        <w:spacing w:after="0"/>
        <w:rPr>
          <w:u w:val="single"/>
          <w:lang w:val="en-GB" w:eastAsia="en-GB"/>
        </w:rPr>
      </w:pPr>
      <w:r w:rsidRPr="00666B27">
        <w:rPr>
          <w:u w:val="single"/>
          <w:lang w:val="en-GB" w:eastAsia="en-GB"/>
        </w:rPr>
        <w:t>Project objective</w:t>
      </w:r>
    </w:p>
    <w:p w:rsidR="00633324" w:rsidRPr="00666B27" w:rsidRDefault="00633324" w:rsidP="00633324">
      <w:pPr>
        <w:spacing w:after="0"/>
        <w:rPr>
          <w:lang w:val="en-GB" w:eastAsia="en-GB"/>
        </w:rPr>
      </w:pPr>
    </w:p>
    <w:p w:rsidR="00633324" w:rsidRPr="00666B27" w:rsidRDefault="00633324" w:rsidP="00633324">
      <w:pPr>
        <w:spacing w:after="0"/>
        <w:rPr>
          <w:szCs w:val="20"/>
          <w:lang w:val="en-GB"/>
        </w:rPr>
      </w:pPr>
      <w:r w:rsidRPr="00666B27">
        <w:rPr>
          <w:szCs w:val="20"/>
          <w:lang w:val="en-GB"/>
        </w:rPr>
        <w:t xml:space="preserve">The previous Section discussed the linkages between the project objective by addressing the development challenge (and core problem) and its causes (gaps and barriers). The </w:t>
      </w:r>
      <w:r w:rsidRPr="00666B27">
        <w:rPr>
          <w:b/>
          <w:i/>
          <w:szCs w:val="20"/>
          <w:lang w:val="en-GB"/>
        </w:rPr>
        <w:t>core problem</w:t>
      </w:r>
      <w:r w:rsidRPr="00666B27">
        <w:rPr>
          <w:szCs w:val="20"/>
          <w:lang w:val="en-GB"/>
        </w:rPr>
        <w:t xml:space="preserve"> underlying the above-mentioned development challenge and that the Project seeks to address is the </w:t>
      </w:r>
      <w:r w:rsidRPr="00666B27">
        <w:rPr>
          <w:i/>
          <w:szCs w:val="20"/>
          <w:lang w:val="en-GB"/>
        </w:rPr>
        <w:t xml:space="preserve">persistence of barriers and challenges that limit the market penetration of </w:t>
      </w:r>
      <w:r w:rsidRPr="00666B27">
        <w:rPr>
          <w:i/>
          <w:noProof/>
          <w:szCs w:val="20"/>
          <w:lang w:val="en-GB"/>
        </w:rPr>
        <w:t>HE lighting</w:t>
      </w:r>
      <w:r w:rsidRPr="00666B27">
        <w:rPr>
          <w:i/>
          <w:szCs w:val="20"/>
          <w:lang w:val="en-GB"/>
        </w:rPr>
        <w:t xml:space="preserve"> and distribution transformers.</w:t>
      </w:r>
      <w:r w:rsidRPr="00666B27">
        <w:rPr>
          <w:szCs w:val="20"/>
          <w:lang w:val="en-GB"/>
        </w:rPr>
        <w:t xml:space="preserve"> </w:t>
      </w:r>
    </w:p>
    <w:p w:rsidR="00633324" w:rsidRPr="00666B27" w:rsidRDefault="00633324" w:rsidP="00633324">
      <w:pPr>
        <w:spacing w:after="0"/>
        <w:rPr>
          <w:szCs w:val="20"/>
          <w:lang w:val="en-GB"/>
        </w:rPr>
      </w:pPr>
    </w:p>
    <w:p w:rsidR="00633324" w:rsidRPr="00666B27" w:rsidRDefault="00633324" w:rsidP="00633324">
      <w:pPr>
        <w:spacing w:after="0"/>
        <w:rPr>
          <w:i/>
          <w:szCs w:val="20"/>
          <w:lang w:val="en-GB"/>
        </w:rPr>
      </w:pPr>
      <w:r w:rsidRPr="00666B27">
        <w:rPr>
          <w:szCs w:val="20"/>
          <w:lang w:val="en-GB"/>
        </w:rPr>
        <w:t xml:space="preserve">Thus, the </w:t>
      </w:r>
      <w:r w:rsidRPr="00666B27">
        <w:rPr>
          <w:b/>
          <w:szCs w:val="20"/>
          <w:lang w:val="en-GB"/>
        </w:rPr>
        <w:t>project’s objective</w:t>
      </w:r>
      <w:r w:rsidRPr="00666B27">
        <w:rPr>
          <w:szCs w:val="20"/>
          <w:lang w:val="en-GB"/>
        </w:rPr>
        <w:t xml:space="preserve"> is </w:t>
      </w:r>
      <w:r w:rsidRPr="00666B27">
        <w:rPr>
          <w:i/>
          <w:lang w:val="en-GB" w:eastAsia="en-GB"/>
        </w:rPr>
        <w:t>accelerating South Africa’s efforts to transition the economy to energy-efficient products, by a) developing South Africa’s market for LEDs on the electricity demand-side, and b) developing South Africa’s market for high-efficiency distribution transformers on the electricity supply-side, resulting in climate change mitigation, stable power supply and therefore economic development and improved energy access.</w:t>
      </w:r>
      <w:r w:rsidRPr="00666B27">
        <w:rPr>
          <w:i/>
          <w:szCs w:val="20"/>
          <w:lang w:val="en-GB"/>
        </w:rPr>
        <w:t xml:space="preserve"> </w:t>
      </w:r>
    </w:p>
    <w:p w:rsidR="002B734C" w:rsidRPr="00666B27" w:rsidRDefault="002B734C" w:rsidP="002B734C">
      <w:pPr>
        <w:spacing w:after="0"/>
        <w:jc w:val="left"/>
        <w:rPr>
          <w:szCs w:val="20"/>
          <w:lang w:val="en-GB"/>
        </w:rPr>
      </w:pPr>
    </w:p>
    <w:p w:rsidR="002B734C" w:rsidRPr="00666B27" w:rsidRDefault="00151D6E" w:rsidP="005850D2">
      <w:pPr>
        <w:spacing w:after="0"/>
        <w:jc w:val="left"/>
        <w:rPr>
          <w:rStyle w:val="Hyperlink"/>
          <w:color w:val="auto"/>
          <w:szCs w:val="20"/>
          <w:u w:val="none"/>
          <w:lang w:val="en-GB"/>
        </w:rPr>
      </w:pPr>
      <w:r w:rsidRPr="00666B27">
        <w:rPr>
          <w:noProof/>
          <w:szCs w:val="20"/>
          <w:lang w:val="en-GB"/>
        </w:rPr>
        <w:t xml:space="preserve">The project </w:t>
      </w:r>
      <w:r w:rsidR="002B734C" w:rsidRPr="00666B27">
        <w:rPr>
          <w:noProof/>
          <w:szCs w:val="20"/>
          <w:lang w:val="en-GB"/>
        </w:rPr>
        <w:t>seeks to achieve this</w:t>
      </w:r>
      <w:r w:rsidR="00633324" w:rsidRPr="00666B27">
        <w:rPr>
          <w:noProof/>
          <w:szCs w:val="20"/>
          <w:lang w:val="en-GB"/>
        </w:rPr>
        <w:t xml:space="preserve"> objective</w:t>
      </w:r>
      <w:r w:rsidR="002B734C" w:rsidRPr="00666B27">
        <w:rPr>
          <w:noProof/>
          <w:szCs w:val="20"/>
          <w:lang w:val="en-GB"/>
        </w:rPr>
        <w:t xml:space="preserve"> </w:t>
      </w:r>
      <w:r w:rsidRPr="00666B27">
        <w:rPr>
          <w:noProof/>
          <w:szCs w:val="20"/>
          <w:lang w:val="en-GB"/>
        </w:rPr>
        <w:t>through integrated activities targeting these causes and barriers</w:t>
      </w:r>
      <w:r w:rsidR="002B734C" w:rsidRPr="00666B27">
        <w:rPr>
          <w:lang w:val="en-GB"/>
        </w:rPr>
        <w:t xml:space="preserve"> </w:t>
      </w:r>
      <w:r w:rsidR="002B734C" w:rsidRPr="00666B27">
        <w:rPr>
          <w:noProof/>
          <w:szCs w:val="20"/>
          <w:lang w:val="en-GB"/>
        </w:rPr>
        <w:t xml:space="preserve">by achieving the </w:t>
      </w:r>
      <w:r w:rsidR="005850D2" w:rsidRPr="00666B27">
        <w:rPr>
          <w:noProof/>
          <w:szCs w:val="20"/>
          <w:lang w:val="en-GB"/>
        </w:rPr>
        <w:t>following four</w:t>
      </w:r>
      <w:r w:rsidR="002B734C" w:rsidRPr="00666B27">
        <w:rPr>
          <w:rStyle w:val="Hyperlink"/>
          <w:b/>
          <w:color w:val="auto"/>
          <w:szCs w:val="20"/>
          <w:u w:val="none"/>
          <w:lang w:val="en-GB"/>
        </w:rPr>
        <w:t xml:space="preserve"> outcomes</w:t>
      </w:r>
      <w:r w:rsidR="002B734C" w:rsidRPr="00666B27">
        <w:rPr>
          <w:rStyle w:val="Hyperlink"/>
          <w:color w:val="auto"/>
          <w:szCs w:val="20"/>
          <w:u w:val="none"/>
          <w:lang w:val="en-GB"/>
        </w:rPr>
        <w:t xml:space="preserve"> that are grouped </w:t>
      </w:r>
      <w:r w:rsidR="002B734C" w:rsidRPr="00666B27">
        <w:rPr>
          <w:rStyle w:val="Hyperlink"/>
          <w:noProof/>
          <w:color w:val="auto"/>
          <w:szCs w:val="20"/>
          <w:u w:val="none"/>
          <w:lang w:val="en-GB"/>
        </w:rPr>
        <w:t>in</w:t>
      </w:r>
      <w:r w:rsidR="002B734C" w:rsidRPr="00666B27">
        <w:rPr>
          <w:rStyle w:val="Hyperlink"/>
          <w:color w:val="auto"/>
          <w:szCs w:val="20"/>
          <w:u w:val="none"/>
          <w:lang w:val="en-GB"/>
        </w:rPr>
        <w:t xml:space="preserve"> three project </w:t>
      </w:r>
      <w:r w:rsidR="002B734C" w:rsidRPr="00666B27">
        <w:rPr>
          <w:rStyle w:val="Hyperlink"/>
          <w:b/>
          <w:color w:val="auto"/>
          <w:szCs w:val="20"/>
          <w:u w:val="none"/>
          <w:lang w:val="en-GB"/>
        </w:rPr>
        <w:t>components</w:t>
      </w:r>
      <w:r w:rsidR="002B734C" w:rsidRPr="00666B27">
        <w:rPr>
          <w:rStyle w:val="Hyperlink"/>
          <w:color w:val="auto"/>
          <w:szCs w:val="20"/>
          <w:u w:val="none"/>
          <w:lang w:val="en-GB"/>
        </w:rPr>
        <w:t>:</w:t>
      </w:r>
    </w:p>
    <w:p w:rsidR="002B734C" w:rsidRPr="00666B27" w:rsidRDefault="002B734C" w:rsidP="002B734C">
      <w:pPr>
        <w:spacing w:after="0"/>
        <w:rPr>
          <w:rStyle w:val="Hyperlink"/>
          <w:i/>
          <w:color w:val="auto"/>
          <w:szCs w:val="20"/>
          <w:u w:val="none"/>
          <w:lang w:val="en-GB"/>
        </w:rPr>
      </w:pPr>
      <w:bookmarkStart w:id="46" w:name="_Hlk536452924"/>
    </w:p>
    <w:p w:rsidR="002B734C" w:rsidRPr="00F737AD" w:rsidRDefault="002B734C" w:rsidP="002B734C">
      <w:pPr>
        <w:spacing w:after="0"/>
        <w:rPr>
          <w:rStyle w:val="Hyperlink"/>
          <w:rFonts w:cs="Calibri"/>
          <w:i/>
          <w:color w:val="auto"/>
          <w:szCs w:val="20"/>
          <w:u w:val="none"/>
          <w:lang w:val="en-GB"/>
        </w:rPr>
      </w:pPr>
      <w:bookmarkStart w:id="47" w:name="_Hlk495918573"/>
      <w:r w:rsidRPr="00666B27">
        <w:rPr>
          <w:rStyle w:val="Hyperlink"/>
          <w:i/>
          <w:color w:val="auto"/>
          <w:szCs w:val="20"/>
          <w:u w:val="none"/>
          <w:lang w:val="en-GB"/>
        </w:rPr>
        <w:t>Component 1</w:t>
      </w:r>
      <w:r w:rsidRPr="00666B27">
        <w:rPr>
          <w:rStyle w:val="Hyperlink"/>
          <w:i/>
          <w:color w:val="auto"/>
          <w:szCs w:val="20"/>
          <w:u w:val="none"/>
          <w:lang w:val="en-GB"/>
        </w:rPr>
        <w:tab/>
      </w:r>
      <w:bookmarkEnd w:id="47"/>
      <w:r w:rsidRPr="00F737AD">
        <w:rPr>
          <w:rStyle w:val="Hyperlink"/>
          <w:rFonts w:cs="Calibri"/>
          <w:i/>
          <w:color w:val="auto"/>
          <w:szCs w:val="20"/>
          <w:u w:val="none"/>
          <w:lang w:val="en-GB"/>
        </w:rPr>
        <w:t xml:space="preserve">Development of national strategy and regulatory mechanisms </w:t>
      </w:r>
    </w:p>
    <w:p w:rsidR="002B734C" w:rsidRPr="00F737AD" w:rsidRDefault="002B734C" w:rsidP="002B734C">
      <w:pPr>
        <w:pStyle w:val="ListParagraph"/>
        <w:numPr>
          <w:ilvl w:val="0"/>
          <w:numId w:val="43"/>
        </w:numPr>
        <w:rPr>
          <w:rStyle w:val="Hyperlink"/>
          <w:rFonts w:ascii="Calibri" w:hAnsi="Calibri" w:cs="Calibri"/>
          <w:color w:val="auto"/>
          <w:sz w:val="20"/>
          <w:szCs w:val="20"/>
          <w:u w:val="none"/>
          <w:lang w:val="en-GB"/>
        </w:rPr>
      </w:pPr>
      <w:r w:rsidRPr="00F737AD">
        <w:rPr>
          <w:rStyle w:val="Hyperlink"/>
          <w:rFonts w:ascii="Calibri" w:hAnsi="Calibri" w:cs="Calibri"/>
          <w:color w:val="auto"/>
          <w:sz w:val="20"/>
          <w:szCs w:val="20"/>
          <w:u w:val="none"/>
          <w:lang w:val="en-GB"/>
        </w:rPr>
        <w:t>Strengthened government capacity and regulatory frameworks for LEDs and distribution transformers</w:t>
      </w:r>
    </w:p>
    <w:p w:rsidR="002B734C" w:rsidRPr="00666B27" w:rsidRDefault="002B734C" w:rsidP="002B734C">
      <w:pPr>
        <w:spacing w:after="0"/>
        <w:rPr>
          <w:rStyle w:val="Hyperlink"/>
          <w:i/>
          <w:color w:val="auto"/>
          <w:szCs w:val="20"/>
          <w:u w:val="none"/>
          <w:lang w:val="en-GB"/>
        </w:rPr>
      </w:pPr>
    </w:p>
    <w:p w:rsidR="002B734C" w:rsidRPr="00666B27" w:rsidRDefault="002B734C" w:rsidP="002B734C">
      <w:pPr>
        <w:spacing w:after="0"/>
        <w:rPr>
          <w:rStyle w:val="Hyperlink"/>
          <w:i/>
          <w:color w:val="auto"/>
          <w:szCs w:val="20"/>
          <w:u w:val="none"/>
          <w:lang w:val="en-GB"/>
        </w:rPr>
      </w:pPr>
      <w:r w:rsidRPr="00666B27">
        <w:rPr>
          <w:rStyle w:val="Hyperlink"/>
          <w:i/>
          <w:color w:val="auto"/>
          <w:szCs w:val="20"/>
          <w:u w:val="none"/>
          <w:lang w:val="en-GB"/>
        </w:rPr>
        <w:t>Component 2</w:t>
      </w:r>
      <w:r w:rsidRPr="00666B27">
        <w:rPr>
          <w:rStyle w:val="Hyperlink"/>
          <w:i/>
          <w:color w:val="auto"/>
          <w:szCs w:val="20"/>
          <w:u w:val="none"/>
          <w:lang w:val="en-GB"/>
        </w:rPr>
        <w:tab/>
      </w:r>
      <w:r w:rsidR="00772B7D" w:rsidRPr="00666B27">
        <w:rPr>
          <w:rStyle w:val="Hyperlink"/>
          <w:i/>
          <w:color w:val="auto"/>
          <w:szCs w:val="20"/>
          <w:u w:val="none"/>
          <w:lang w:val="en-GB"/>
        </w:rPr>
        <w:t>Support mechanisms to accelerate market penetration of LEDs and HE distribution transformers</w:t>
      </w:r>
    </w:p>
    <w:p w:rsidR="002B734C" w:rsidRPr="00666B27" w:rsidRDefault="002B734C" w:rsidP="002B734C">
      <w:pPr>
        <w:numPr>
          <w:ilvl w:val="0"/>
          <w:numId w:val="28"/>
        </w:numPr>
        <w:spacing w:after="0"/>
        <w:rPr>
          <w:rStyle w:val="Hyperlink"/>
          <w:color w:val="auto"/>
          <w:szCs w:val="20"/>
          <w:u w:val="none"/>
          <w:lang w:val="en-GB"/>
        </w:rPr>
      </w:pPr>
      <w:r w:rsidRPr="00666B27">
        <w:rPr>
          <w:rStyle w:val="Hyperlink"/>
          <w:color w:val="auto"/>
          <w:szCs w:val="20"/>
          <w:u w:val="none"/>
          <w:lang w:val="en-GB"/>
        </w:rPr>
        <w:t xml:space="preserve">Awareness, knowledge </w:t>
      </w:r>
      <w:r w:rsidRPr="00666B27">
        <w:rPr>
          <w:rStyle w:val="Hyperlink"/>
          <w:noProof/>
          <w:color w:val="auto"/>
          <w:szCs w:val="20"/>
          <w:u w:val="none"/>
          <w:lang w:val="en-GB"/>
        </w:rPr>
        <w:t>and</w:t>
      </w:r>
      <w:r w:rsidRPr="00666B27">
        <w:rPr>
          <w:rStyle w:val="Hyperlink"/>
          <w:color w:val="auto"/>
          <w:szCs w:val="20"/>
          <w:u w:val="none"/>
          <w:lang w:val="en-GB"/>
        </w:rPr>
        <w:t xml:space="preserve"> capacity enhanced of end-users, municipalities and private sector </w:t>
      </w:r>
    </w:p>
    <w:p w:rsidR="002B734C" w:rsidRPr="00666B27" w:rsidRDefault="002B734C" w:rsidP="002B734C">
      <w:pPr>
        <w:numPr>
          <w:ilvl w:val="0"/>
          <w:numId w:val="28"/>
        </w:numPr>
        <w:spacing w:after="0"/>
        <w:rPr>
          <w:rStyle w:val="Hyperlink"/>
          <w:color w:val="auto"/>
          <w:szCs w:val="20"/>
          <w:u w:val="none"/>
          <w:lang w:val="en-GB"/>
        </w:rPr>
      </w:pPr>
      <w:r w:rsidRPr="00666B27">
        <w:rPr>
          <w:rStyle w:val="Hyperlink"/>
          <w:color w:val="auto"/>
          <w:szCs w:val="20"/>
          <w:u w:val="none"/>
          <w:lang w:val="en-GB"/>
        </w:rPr>
        <w:t>Financial support programmes designed and operational</w:t>
      </w:r>
    </w:p>
    <w:p w:rsidR="002B734C" w:rsidRPr="00666B27" w:rsidRDefault="002B734C" w:rsidP="002B734C">
      <w:pPr>
        <w:spacing w:after="0"/>
        <w:rPr>
          <w:rStyle w:val="Hyperlink"/>
          <w:color w:val="auto"/>
          <w:szCs w:val="20"/>
          <w:u w:val="none"/>
          <w:lang w:val="en-GB"/>
        </w:rPr>
      </w:pPr>
    </w:p>
    <w:p w:rsidR="002B734C" w:rsidRPr="00666B27" w:rsidRDefault="002B734C" w:rsidP="002B734C">
      <w:pPr>
        <w:spacing w:after="0"/>
        <w:rPr>
          <w:rStyle w:val="Hyperlink"/>
          <w:i/>
          <w:color w:val="auto"/>
          <w:szCs w:val="20"/>
          <w:u w:val="none"/>
          <w:lang w:val="en-GB"/>
        </w:rPr>
      </w:pPr>
      <w:r w:rsidRPr="00666B27">
        <w:rPr>
          <w:rStyle w:val="Hyperlink"/>
          <w:i/>
          <w:color w:val="auto"/>
          <w:szCs w:val="20"/>
          <w:u w:val="none"/>
          <w:lang w:val="en-GB"/>
        </w:rPr>
        <w:t>Component 3</w:t>
      </w:r>
      <w:r w:rsidRPr="00666B27">
        <w:rPr>
          <w:rStyle w:val="Hyperlink"/>
          <w:i/>
          <w:color w:val="auto"/>
          <w:szCs w:val="20"/>
          <w:u w:val="none"/>
          <w:lang w:val="en-GB"/>
        </w:rPr>
        <w:tab/>
        <w:t>Environmentally sound management of lighting products and distribution transformers</w:t>
      </w:r>
    </w:p>
    <w:p w:rsidR="002B734C" w:rsidRPr="00666B27" w:rsidRDefault="002B734C" w:rsidP="002B734C">
      <w:pPr>
        <w:numPr>
          <w:ilvl w:val="0"/>
          <w:numId w:val="35"/>
        </w:numPr>
        <w:spacing w:after="0"/>
        <w:rPr>
          <w:rStyle w:val="Hyperlink"/>
          <w:color w:val="auto"/>
          <w:szCs w:val="20"/>
          <w:u w:val="none"/>
          <w:lang w:val="en-GB"/>
        </w:rPr>
      </w:pPr>
      <w:r w:rsidRPr="00666B27">
        <w:rPr>
          <w:rStyle w:val="Hyperlink"/>
          <w:color w:val="auto"/>
          <w:szCs w:val="20"/>
          <w:u w:val="none"/>
          <w:lang w:val="en-GB"/>
        </w:rPr>
        <w:t>Environmentally sound management and waste disposal practices</w:t>
      </w:r>
    </w:p>
    <w:p w:rsidR="002B734C" w:rsidRPr="00666B27" w:rsidRDefault="002B734C" w:rsidP="00482D5B">
      <w:pPr>
        <w:spacing w:after="0"/>
        <w:jc w:val="left"/>
        <w:rPr>
          <w:szCs w:val="20"/>
          <w:lang w:val="en-GB"/>
        </w:rPr>
      </w:pPr>
    </w:p>
    <w:bookmarkEnd w:id="46"/>
    <w:p w:rsidR="00C87E75" w:rsidRPr="00666B27" w:rsidRDefault="00825E44" w:rsidP="00CF16B6">
      <w:pPr>
        <w:spacing w:after="0"/>
        <w:rPr>
          <w:szCs w:val="20"/>
          <w:lang w:val="en-GB"/>
        </w:rPr>
      </w:pPr>
      <w:r w:rsidRPr="00666B27">
        <w:rPr>
          <w:szCs w:val="20"/>
          <w:lang w:val="en-GB"/>
        </w:rPr>
        <w:t xml:space="preserve">The figure in </w:t>
      </w:r>
      <w:r w:rsidR="00336C31" w:rsidRPr="0057545E">
        <w:rPr>
          <w:szCs w:val="20"/>
          <w:lang w:val="en-GB"/>
        </w:rPr>
        <w:fldChar w:fldCharType="begin"/>
      </w:r>
      <w:r w:rsidR="00336C31" w:rsidRPr="00666B27">
        <w:rPr>
          <w:szCs w:val="20"/>
          <w:lang w:val="en-GB"/>
        </w:rPr>
        <w:instrText xml:space="preserve"> REF _Ref495689778 \h </w:instrText>
      </w:r>
      <w:r w:rsidR="00336C31" w:rsidRPr="0057545E">
        <w:rPr>
          <w:szCs w:val="20"/>
          <w:lang w:val="en-GB"/>
        </w:rPr>
      </w:r>
      <w:r w:rsidR="00336C31" w:rsidRPr="0057545E">
        <w:rPr>
          <w:szCs w:val="20"/>
          <w:lang w:val="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4</w:t>
      </w:r>
      <w:r w:rsidR="00336C31" w:rsidRPr="0057545E">
        <w:rPr>
          <w:szCs w:val="20"/>
          <w:lang w:val="en-GB"/>
        </w:rPr>
        <w:fldChar w:fldCharType="end"/>
      </w:r>
      <w:r w:rsidR="00336C31" w:rsidRPr="0057545E">
        <w:rPr>
          <w:szCs w:val="20"/>
          <w:lang w:val="en-GB"/>
        </w:rPr>
        <w:t xml:space="preserve"> </w:t>
      </w:r>
      <w:r w:rsidR="005850D2" w:rsidRPr="0057545E">
        <w:rPr>
          <w:szCs w:val="20"/>
          <w:lang w:val="en-GB"/>
        </w:rPr>
        <w:t xml:space="preserve">on the previous page </w:t>
      </w:r>
      <w:r w:rsidRPr="0057545E">
        <w:rPr>
          <w:szCs w:val="20"/>
          <w:lang w:val="en-GB"/>
        </w:rPr>
        <w:t xml:space="preserve">summarises the </w:t>
      </w:r>
      <w:r w:rsidRPr="00353542">
        <w:rPr>
          <w:b/>
          <w:szCs w:val="20"/>
          <w:lang w:val="en-GB"/>
        </w:rPr>
        <w:t xml:space="preserve">theory of change </w:t>
      </w:r>
      <w:r w:rsidRPr="003B7D62">
        <w:rPr>
          <w:szCs w:val="20"/>
          <w:lang w:val="en-GB"/>
        </w:rPr>
        <w:t>of the project, showing the development challenge</w:t>
      </w:r>
      <w:r w:rsidR="003B5D0A" w:rsidRPr="008E26A0">
        <w:rPr>
          <w:szCs w:val="20"/>
          <w:lang w:val="en-GB"/>
        </w:rPr>
        <w:t xml:space="preserve"> and u</w:t>
      </w:r>
      <w:r w:rsidR="005B5CF8" w:rsidRPr="008E26A0">
        <w:rPr>
          <w:szCs w:val="20"/>
          <w:lang w:val="en-GB"/>
        </w:rPr>
        <w:t xml:space="preserve">nderlying </w:t>
      </w:r>
      <w:r w:rsidR="005850D2" w:rsidRPr="004722F0">
        <w:rPr>
          <w:szCs w:val="20"/>
          <w:lang w:val="en-GB"/>
        </w:rPr>
        <w:t>barriers and challenge</w:t>
      </w:r>
      <w:r w:rsidR="005B5CF8" w:rsidRPr="0087632B">
        <w:rPr>
          <w:szCs w:val="20"/>
          <w:lang w:val="en-GB"/>
        </w:rPr>
        <w:t>s</w:t>
      </w:r>
      <w:r w:rsidR="005850D2" w:rsidRPr="005431FB">
        <w:rPr>
          <w:szCs w:val="20"/>
          <w:lang w:val="en-GB"/>
        </w:rPr>
        <w:t>. The figure shows the</w:t>
      </w:r>
      <w:r w:rsidRPr="005431FB">
        <w:rPr>
          <w:szCs w:val="20"/>
          <w:lang w:val="en-GB"/>
        </w:rPr>
        <w:t xml:space="preserve"> hierarchy of expected results of the project, fro</w:t>
      </w:r>
      <w:r w:rsidRPr="00666B27">
        <w:rPr>
          <w:szCs w:val="20"/>
          <w:lang w:val="en-GB"/>
        </w:rPr>
        <w:t xml:space="preserve">m </w:t>
      </w:r>
      <w:r w:rsidR="005850D2" w:rsidRPr="00666B27">
        <w:rPr>
          <w:szCs w:val="20"/>
          <w:lang w:val="en-GB"/>
        </w:rPr>
        <w:t xml:space="preserve">overall impacts, the above-mentioned </w:t>
      </w:r>
      <w:r w:rsidRPr="00666B27">
        <w:rPr>
          <w:szCs w:val="20"/>
          <w:lang w:val="en-GB"/>
        </w:rPr>
        <w:t>outcomes</w:t>
      </w:r>
      <w:r w:rsidR="00E236DA" w:rsidRPr="00666B27">
        <w:rPr>
          <w:szCs w:val="20"/>
          <w:lang w:val="en-GB"/>
        </w:rPr>
        <w:t>,</w:t>
      </w:r>
      <w:r w:rsidRPr="00666B27">
        <w:rPr>
          <w:szCs w:val="20"/>
          <w:lang w:val="en-GB"/>
        </w:rPr>
        <w:t xml:space="preserve"> </w:t>
      </w:r>
      <w:r w:rsidR="005850D2" w:rsidRPr="00666B27">
        <w:rPr>
          <w:noProof/>
          <w:szCs w:val="20"/>
          <w:lang w:val="en-GB"/>
        </w:rPr>
        <w:t>and</w:t>
      </w:r>
      <w:r w:rsidR="005850D2" w:rsidRPr="00666B27">
        <w:rPr>
          <w:szCs w:val="20"/>
          <w:lang w:val="en-GB"/>
        </w:rPr>
        <w:t xml:space="preserve"> individual outputs.</w:t>
      </w:r>
      <w:r w:rsidRPr="00666B27">
        <w:rPr>
          <w:szCs w:val="20"/>
          <w:lang w:val="en-GB"/>
        </w:rPr>
        <w:t xml:space="preserve"> </w:t>
      </w:r>
      <w:r w:rsidR="005850D2" w:rsidRPr="0057545E">
        <w:rPr>
          <w:szCs w:val="20"/>
          <w:lang w:val="en-GB"/>
        </w:rPr>
        <w:fldChar w:fldCharType="begin"/>
      </w:r>
      <w:r w:rsidR="005850D2" w:rsidRPr="00666B27">
        <w:rPr>
          <w:szCs w:val="20"/>
          <w:lang w:val="en-GB"/>
        </w:rPr>
        <w:instrText xml:space="preserve"> REF _Ref495690365 \h </w:instrText>
      </w:r>
      <w:r w:rsidR="005850D2" w:rsidRPr="0057545E">
        <w:rPr>
          <w:szCs w:val="20"/>
          <w:lang w:val="en-GB"/>
        </w:rPr>
      </w:r>
      <w:r w:rsidR="005850D2" w:rsidRPr="0057545E">
        <w:rPr>
          <w:szCs w:val="20"/>
          <w:lang w:val="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5</w:t>
      </w:r>
      <w:r w:rsidR="005850D2" w:rsidRPr="0057545E">
        <w:rPr>
          <w:szCs w:val="20"/>
          <w:lang w:val="en-GB"/>
        </w:rPr>
        <w:fldChar w:fldCharType="end"/>
      </w:r>
      <w:r w:rsidR="005850D2" w:rsidRPr="0057545E">
        <w:rPr>
          <w:szCs w:val="20"/>
          <w:lang w:val="en-GB"/>
        </w:rPr>
        <w:t xml:space="preserve"> </w:t>
      </w:r>
      <w:r w:rsidRPr="0057545E">
        <w:rPr>
          <w:szCs w:val="20"/>
          <w:lang w:val="en-GB"/>
        </w:rPr>
        <w:t xml:space="preserve">shows the dynamic aspects of the </w:t>
      </w:r>
      <w:r w:rsidR="005B5CF8" w:rsidRPr="0057545E">
        <w:rPr>
          <w:szCs w:val="20"/>
          <w:lang w:val="en-GB"/>
        </w:rPr>
        <w:t>theory of change</w:t>
      </w:r>
      <w:r w:rsidRPr="00353542">
        <w:rPr>
          <w:szCs w:val="20"/>
          <w:lang w:val="en-GB"/>
        </w:rPr>
        <w:t>, i.e. how the various outcomes are linked and work</w:t>
      </w:r>
      <w:r w:rsidR="00D856AB" w:rsidRPr="003B7D62">
        <w:rPr>
          <w:szCs w:val="20"/>
          <w:lang w:val="en-GB"/>
        </w:rPr>
        <w:t xml:space="preserve"> </w:t>
      </w:r>
      <w:r w:rsidR="00D856AB" w:rsidRPr="008E26A0">
        <w:rPr>
          <w:noProof/>
          <w:szCs w:val="20"/>
          <w:lang w:val="en-GB"/>
        </w:rPr>
        <w:t>over</w:t>
      </w:r>
      <w:r w:rsidR="00E236DA" w:rsidRPr="008E26A0">
        <w:rPr>
          <w:noProof/>
          <w:szCs w:val="20"/>
          <w:lang w:val="en-GB"/>
        </w:rPr>
        <w:t xml:space="preserve"> </w:t>
      </w:r>
      <w:r w:rsidR="00D856AB" w:rsidRPr="004722F0">
        <w:rPr>
          <w:noProof/>
          <w:szCs w:val="20"/>
          <w:lang w:val="en-GB"/>
        </w:rPr>
        <w:t>time</w:t>
      </w:r>
      <w:r w:rsidR="00D856AB" w:rsidRPr="0087632B">
        <w:rPr>
          <w:szCs w:val="20"/>
          <w:lang w:val="en-GB"/>
        </w:rPr>
        <w:t xml:space="preserve"> t</w:t>
      </w:r>
      <w:r w:rsidR="005971E3" w:rsidRPr="005431FB">
        <w:rPr>
          <w:szCs w:val="20"/>
          <w:lang w:val="en-GB"/>
        </w:rPr>
        <w:t xml:space="preserve">o address the challenges in transforming the lighting and distribution markets </w:t>
      </w:r>
      <w:r w:rsidR="005971E3" w:rsidRPr="00666B27">
        <w:rPr>
          <w:szCs w:val="20"/>
          <w:lang w:val="en-GB"/>
        </w:rPr>
        <w:t>to higher efficiency</w:t>
      </w:r>
      <w:r w:rsidR="00D856AB" w:rsidRPr="00666B27">
        <w:rPr>
          <w:szCs w:val="20"/>
          <w:lang w:val="en-GB"/>
        </w:rPr>
        <w:t>. T</w:t>
      </w:r>
      <w:r w:rsidR="005971E3" w:rsidRPr="00666B27">
        <w:rPr>
          <w:szCs w:val="20"/>
          <w:lang w:val="en-GB"/>
        </w:rPr>
        <w:t xml:space="preserve">he </w:t>
      </w:r>
      <w:r w:rsidR="00D856AB" w:rsidRPr="00666B27">
        <w:rPr>
          <w:szCs w:val="20"/>
          <w:lang w:val="en-GB"/>
        </w:rPr>
        <w:t>P</w:t>
      </w:r>
      <w:r w:rsidR="005971E3" w:rsidRPr="00666B27">
        <w:rPr>
          <w:szCs w:val="20"/>
          <w:lang w:val="en-GB"/>
        </w:rPr>
        <w:t>roject envisions an integrated approach that consists of the following main elements:</w:t>
      </w:r>
    </w:p>
    <w:p w:rsidR="00825E44" w:rsidRPr="00666B27" w:rsidRDefault="00825E44" w:rsidP="00731F0C">
      <w:pPr>
        <w:numPr>
          <w:ilvl w:val="0"/>
          <w:numId w:val="26"/>
        </w:numPr>
        <w:tabs>
          <w:tab w:val="left" w:pos="284"/>
        </w:tabs>
        <w:spacing w:before="60" w:after="0"/>
        <w:ind w:left="284" w:hanging="284"/>
        <w:rPr>
          <w:i/>
          <w:szCs w:val="20"/>
          <w:lang w:val="en-GB"/>
        </w:rPr>
      </w:pPr>
      <w:r w:rsidRPr="00666B27">
        <w:rPr>
          <w:i/>
          <w:szCs w:val="20"/>
          <w:lang w:val="en-GB"/>
        </w:rPr>
        <w:t>Regulatory-legal instruments</w:t>
      </w:r>
    </w:p>
    <w:p w:rsidR="00825E44" w:rsidRPr="00666B27" w:rsidRDefault="00825E44" w:rsidP="00825E44">
      <w:pPr>
        <w:tabs>
          <w:tab w:val="left" w:pos="284"/>
        </w:tabs>
        <w:spacing w:after="0"/>
        <w:ind w:left="284" w:hanging="284"/>
        <w:rPr>
          <w:szCs w:val="20"/>
          <w:lang w:val="en-GB"/>
        </w:rPr>
      </w:pPr>
      <w:r w:rsidRPr="00666B27">
        <w:rPr>
          <w:i/>
          <w:szCs w:val="20"/>
          <w:lang w:val="en-GB"/>
        </w:rPr>
        <w:tab/>
        <w:t>Minimum energy performance standards (</w:t>
      </w:r>
      <w:r w:rsidRPr="00666B27">
        <w:rPr>
          <w:i/>
          <w:noProof/>
          <w:szCs w:val="20"/>
          <w:lang w:val="en-GB"/>
        </w:rPr>
        <w:t>MEPS</w:t>
      </w:r>
      <w:r w:rsidRPr="00666B27">
        <w:rPr>
          <w:i/>
          <w:szCs w:val="20"/>
          <w:lang w:val="en-GB"/>
        </w:rPr>
        <w:t>)</w:t>
      </w:r>
      <w:r w:rsidRPr="00666B27">
        <w:rPr>
          <w:szCs w:val="20"/>
          <w:lang w:val="en-GB"/>
        </w:rPr>
        <w:t xml:space="preserve"> cover a collection of requirements defining which products can be sold and those that should be blocked from the market. </w:t>
      </w:r>
      <w:r w:rsidRPr="00666B27">
        <w:rPr>
          <w:i/>
          <w:szCs w:val="20"/>
          <w:lang w:val="en-GB"/>
        </w:rPr>
        <w:t xml:space="preserve">Energy </w:t>
      </w:r>
      <w:r w:rsidRPr="00666B27">
        <w:rPr>
          <w:i/>
          <w:noProof/>
          <w:szCs w:val="20"/>
          <w:lang w:val="en-GB"/>
        </w:rPr>
        <w:t>labelling</w:t>
      </w:r>
      <w:r w:rsidRPr="00666B27">
        <w:rPr>
          <w:szCs w:val="20"/>
          <w:lang w:val="en-GB"/>
        </w:rPr>
        <w:t xml:space="preserve"> provides information on the energy </w:t>
      </w:r>
      <w:r w:rsidR="00D856AB" w:rsidRPr="00666B27">
        <w:rPr>
          <w:szCs w:val="20"/>
          <w:lang w:val="en-GB"/>
        </w:rPr>
        <w:t>(</w:t>
      </w:r>
      <w:r w:rsidRPr="00666B27">
        <w:rPr>
          <w:szCs w:val="20"/>
          <w:lang w:val="en-GB"/>
        </w:rPr>
        <w:t>efficiency</w:t>
      </w:r>
      <w:r w:rsidR="00D856AB" w:rsidRPr="00666B27">
        <w:rPr>
          <w:szCs w:val="20"/>
          <w:lang w:val="en-GB"/>
        </w:rPr>
        <w:t>)</w:t>
      </w:r>
      <w:r w:rsidRPr="00666B27">
        <w:rPr>
          <w:szCs w:val="20"/>
          <w:lang w:val="en-GB"/>
        </w:rPr>
        <w:t xml:space="preserve"> rating. MEPS and labels help to transform the market in concert; </w:t>
      </w:r>
      <w:r w:rsidRPr="00666B27">
        <w:rPr>
          <w:noProof/>
          <w:szCs w:val="20"/>
          <w:lang w:val="en-GB"/>
        </w:rPr>
        <w:t>MEPS</w:t>
      </w:r>
      <w:r w:rsidRPr="00666B27">
        <w:rPr>
          <w:szCs w:val="20"/>
          <w:lang w:val="en-GB"/>
        </w:rPr>
        <w:t xml:space="preserve"> define a new floor, pushing the entire market of products towards higher energy efficiency, while labels define a new performance target, pulling the market towards increased innovation. The mandatory implementation of standards and </w:t>
      </w:r>
      <w:r w:rsidRPr="00666B27">
        <w:rPr>
          <w:noProof/>
          <w:szCs w:val="20"/>
          <w:lang w:val="en-GB"/>
        </w:rPr>
        <w:t>labelling</w:t>
      </w:r>
      <w:r w:rsidRPr="00666B27">
        <w:rPr>
          <w:szCs w:val="20"/>
          <w:lang w:val="en-GB"/>
        </w:rPr>
        <w:t xml:space="preserve"> (S&amp;L) depends on effective </w:t>
      </w:r>
      <w:r w:rsidRPr="00666B27">
        <w:rPr>
          <w:i/>
          <w:szCs w:val="20"/>
          <w:lang w:val="en-GB"/>
        </w:rPr>
        <w:t>MVE,</w:t>
      </w:r>
      <w:r w:rsidRPr="00666B27">
        <w:rPr>
          <w:szCs w:val="20"/>
          <w:lang w:val="en-GB"/>
        </w:rPr>
        <w:t xml:space="preserve"> monitoring (i.e. check product efficiency), verification (i.e. check declarations of performance), and enforcement (i.e. actions taken against non-compliant suppliers), including testing on the energy performance.</w:t>
      </w:r>
    </w:p>
    <w:p w:rsidR="00825E44" w:rsidRPr="00666B27" w:rsidRDefault="00825E44" w:rsidP="00731F0C">
      <w:pPr>
        <w:numPr>
          <w:ilvl w:val="0"/>
          <w:numId w:val="26"/>
        </w:numPr>
        <w:tabs>
          <w:tab w:val="left" w:pos="284"/>
        </w:tabs>
        <w:spacing w:before="60" w:after="0"/>
        <w:ind w:left="284" w:hanging="284"/>
        <w:rPr>
          <w:i/>
          <w:szCs w:val="20"/>
          <w:lang w:val="en-GB"/>
        </w:rPr>
      </w:pPr>
      <w:r w:rsidRPr="00666B27">
        <w:rPr>
          <w:i/>
          <w:szCs w:val="20"/>
          <w:lang w:val="en-GB"/>
        </w:rPr>
        <w:t>Financial and support programmes</w:t>
      </w:r>
    </w:p>
    <w:p w:rsidR="00825E44" w:rsidRPr="00666B27" w:rsidRDefault="00825E44" w:rsidP="00825E44">
      <w:pPr>
        <w:tabs>
          <w:tab w:val="left" w:pos="284"/>
        </w:tabs>
        <w:spacing w:after="0"/>
        <w:ind w:left="284" w:hanging="284"/>
        <w:rPr>
          <w:szCs w:val="20"/>
          <w:lang w:val="en-GB"/>
        </w:rPr>
      </w:pPr>
      <w:r w:rsidRPr="00666B27">
        <w:rPr>
          <w:szCs w:val="20"/>
          <w:lang w:val="en-GB"/>
        </w:rPr>
        <w:tab/>
        <w:t>These are necessary to ensure a smoother implementation of standards and regulations, and to achieve a broad acceptance amongst users and suppliers. Supporting programme</w:t>
      </w:r>
      <w:r w:rsidR="00773D9D">
        <w:rPr>
          <w:szCs w:val="20"/>
          <w:lang w:val="en-GB"/>
        </w:rPr>
        <w:t>s</w:t>
      </w:r>
      <w:r w:rsidRPr="00666B27">
        <w:rPr>
          <w:szCs w:val="20"/>
          <w:lang w:val="en-GB"/>
        </w:rPr>
        <w:t xml:space="preserve"> include skills enhancement programmes, information and awareness campaigns that inform users, suppliers and intermediaries (finance, training, consulting) to change or modify their </w:t>
      </w:r>
      <w:r w:rsidRPr="00666B27">
        <w:rPr>
          <w:noProof/>
          <w:szCs w:val="20"/>
          <w:lang w:val="en-GB"/>
        </w:rPr>
        <w:t>behaviour</w:t>
      </w:r>
      <w:r w:rsidRPr="00666B27">
        <w:rPr>
          <w:szCs w:val="20"/>
          <w:lang w:val="en-GB"/>
        </w:rPr>
        <w:t>. Financial (and fiscal incentives) may help to address first-cost challenges in manufacturing and purchase of energy-efficient products. Financ</w:t>
      </w:r>
      <w:r w:rsidR="00D856AB" w:rsidRPr="00666B27">
        <w:rPr>
          <w:szCs w:val="20"/>
          <w:lang w:val="en-GB"/>
        </w:rPr>
        <w:t>ing may</w:t>
      </w:r>
      <w:r w:rsidRPr="00666B27">
        <w:rPr>
          <w:szCs w:val="20"/>
          <w:lang w:val="en-GB"/>
        </w:rPr>
        <w:t xml:space="preserve"> help address the initial cost by offering dedicated (government) funding </w:t>
      </w:r>
      <w:r w:rsidR="00D856AB" w:rsidRPr="00666B27">
        <w:rPr>
          <w:szCs w:val="20"/>
          <w:lang w:val="en-GB"/>
        </w:rPr>
        <w:t xml:space="preserve">and debt finance, accompanied with innovative modalities (e.g. </w:t>
      </w:r>
      <w:r w:rsidR="009D4090" w:rsidRPr="00666B27">
        <w:rPr>
          <w:szCs w:val="20"/>
          <w:lang w:val="en-GB"/>
        </w:rPr>
        <w:t>s</w:t>
      </w:r>
      <w:r w:rsidRPr="00666B27">
        <w:rPr>
          <w:szCs w:val="20"/>
          <w:lang w:val="en-GB"/>
        </w:rPr>
        <w:t>hared-savings transactions through energy service companies</w:t>
      </w:r>
      <w:r w:rsidR="00D856AB" w:rsidRPr="00666B27">
        <w:rPr>
          <w:szCs w:val="20"/>
          <w:lang w:val="en-GB"/>
        </w:rPr>
        <w:t xml:space="preserve">, </w:t>
      </w:r>
      <w:r w:rsidRPr="00666B27">
        <w:rPr>
          <w:szCs w:val="20"/>
          <w:lang w:val="en-GB"/>
        </w:rPr>
        <w:t>ESCOs).</w:t>
      </w:r>
    </w:p>
    <w:p w:rsidR="004D4137" w:rsidRPr="00666B27" w:rsidRDefault="00CF16B6" w:rsidP="00731F0C">
      <w:pPr>
        <w:numPr>
          <w:ilvl w:val="0"/>
          <w:numId w:val="26"/>
        </w:numPr>
        <w:tabs>
          <w:tab w:val="left" w:pos="284"/>
        </w:tabs>
        <w:spacing w:before="60" w:after="0"/>
        <w:ind w:left="284" w:hanging="284"/>
        <w:rPr>
          <w:szCs w:val="20"/>
          <w:lang w:val="en-GB"/>
        </w:rPr>
      </w:pPr>
      <w:r w:rsidRPr="00666B27">
        <w:rPr>
          <w:i/>
          <w:szCs w:val="20"/>
          <w:lang w:val="en-GB"/>
        </w:rPr>
        <w:t>Environmentally sound management of lamps and transformers</w:t>
      </w:r>
    </w:p>
    <w:p w:rsidR="00CF16B6" w:rsidRPr="00666B27" w:rsidRDefault="00CF16B6" w:rsidP="007B0FE7">
      <w:pPr>
        <w:tabs>
          <w:tab w:val="left" w:pos="284"/>
        </w:tabs>
        <w:spacing w:after="0"/>
        <w:ind w:left="284"/>
        <w:rPr>
          <w:szCs w:val="20"/>
          <w:lang w:val="en-GB"/>
        </w:rPr>
      </w:pPr>
      <w:r w:rsidRPr="00666B27">
        <w:rPr>
          <w:szCs w:val="20"/>
          <w:lang w:val="en-GB"/>
        </w:rPr>
        <w:lastRenderedPageBreak/>
        <w:t xml:space="preserve">Transformers already enjoy a high level of recycling due to the scrap metal value, but care should be taken </w:t>
      </w:r>
      <w:r w:rsidR="005A74C7" w:rsidRPr="00666B27">
        <w:rPr>
          <w:szCs w:val="20"/>
          <w:lang w:val="en-GB"/>
        </w:rPr>
        <w:t xml:space="preserve">to </w:t>
      </w:r>
      <w:r w:rsidR="007B0FE7" w:rsidRPr="00666B27">
        <w:rPr>
          <w:szCs w:val="20"/>
          <w:lang w:val="en-GB"/>
        </w:rPr>
        <w:t>clean these</w:t>
      </w:r>
      <w:r w:rsidR="005A74C7" w:rsidRPr="00666B27">
        <w:rPr>
          <w:szCs w:val="20"/>
          <w:lang w:val="en-GB"/>
        </w:rPr>
        <w:t xml:space="preserve"> if these contain polychlorinated biphenyls (PCBs) that are a hazardous substance. Fluorescent lamps contain small amounts of mercury (another hazardous substance). In general, the handling, collection of electric and electronic waste (e-waste) should be in accordance with global best practices (</w:t>
      </w:r>
      <w:proofErr w:type="gramStart"/>
      <w:r w:rsidR="005A74C7" w:rsidRPr="00666B27">
        <w:rPr>
          <w:szCs w:val="20"/>
          <w:lang w:val="en-GB"/>
        </w:rPr>
        <w:t>in particular when</w:t>
      </w:r>
      <w:proofErr w:type="gramEnd"/>
      <w:r w:rsidR="005A74C7" w:rsidRPr="00666B27">
        <w:rPr>
          <w:szCs w:val="20"/>
          <w:lang w:val="en-GB"/>
        </w:rPr>
        <w:t xml:space="preserve"> containing such hazardous substances).</w:t>
      </w:r>
    </w:p>
    <w:p w:rsidR="005A74C7" w:rsidRPr="00666B27" w:rsidRDefault="005A74C7" w:rsidP="007B0FE7">
      <w:pPr>
        <w:tabs>
          <w:tab w:val="left" w:pos="284"/>
        </w:tabs>
        <w:spacing w:after="0"/>
        <w:ind w:left="284"/>
        <w:rPr>
          <w:szCs w:val="20"/>
          <w:lang w:val="en-GB"/>
        </w:rPr>
      </w:pPr>
    </w:p>
    <w:p w:rsidR="00890113" w:rsidRPr="008E26A0" w:rsidRDefault="00890113" w:rsidP="0052505F">
      <w:pPr>
        <w:spacing w:after="0"/>
        <w:rPr>
          <w:rFonts w:ascii="Arial" w:hAnsi="Arial" w:cs="Arial"/>
          <w:sz w:val="18"/>
          <w:lang w:val="en-GB"/>
        </w:rPr>
      </w:pPr>
      <w:r w:rsidRPr="00666B27">
        <w:rPr>
          <w:szCs w:val="20"/>
          <w:lang w:val="en-GB"/>
        </w:rPr>
        <w:t xml:space="preserve">The project has been designed to address specific underlying </w:t>
      </w:r>
      <w:r w:rsidR="00D856AB" w:rsidRPr="00666B27">
        <w:rPr>
          <w:szCs w:val="20"/>
          <w:lang w:val="en-GB"/>
        </w:rPr>
        <w:t>causes (barriers)</w:t>
      </w:r>
      <w:r w:rsidRPr="00666B27">
        <w:rPr>
          <w:szCs w:val="20"/>
          <w:lang w:val="en-GB"/>
        </w:rPr>
        <w:t xml:space="preserve"> of the development challenge, as articulated in the theory of </w:t>
      </w:r>
      <w:r w:rsidRPr="00666B27">
        <w:rPr>
          <w:noProof/>
          <w:szCs w:val="20"/>
          <w:lang w:val="en-GB"/>
        </w:rPr>
        <w:t>change</w:t>
      </w:r>
      <w:r w:rsidRPr="00666B27">
        <w:rPr>
          <w:szCs w:val="20"/>
          <w:lang w:val="en-GB"/>
        </w:rPr>
        <w:t xml:space="preserve"> while reflecting both proven international practice and </w:t>
      </w:r>
      <w:r w:rsidR="0052505F" w:rsidRPr="00666B27">
        <w:rPr>
          <w:szCs w:val="20"/>
          <w:lang w:val="en-GB"/>
        </w:rPr>
        <w:t xml:space="preserve">the baseline situation regarding energy efficiency policy implementation and baseline situation regarding energy efficiency and standards and </w:t>
      </w:r>
      <w:r w:rsidR="0052505F" w:rsidRPr="00666B27">
        <w:rPr>
          <w:noProof/>
          <w:szCs w:val="20"/>
          <w:lang w:val="en-GB"/>
        </w:rPr>
        <w:t>labelling</w:t>
      </w:r>
      <w:r w:rsidR="0052505F" w:rsidRPr="00666B27">
        <w:rPr>
          <w:szCs w:val="20"/>
          <w:lang w:val="en-GB"/>
        </w:rPr>
        <w:t xml:space="preserve"> in South Africa.</w:t>
      </w:r>
      <w:r w:rsidR="00CC6E56" w:rsidRPr="00666B27">
        <w:rPr>
          <w:szCs w:val="20"/>
          <w:lang w:val="en-GB"/>
        </w:rPr>
        <w:t xml:space="preserve"> </w:t>
      </w:r>
      <w:r w:rsidR="005850D2" w:rsidRPr="00666B27">
        <w:rPr>
          <w:szCs w:val="20"/>
          <w:lang w:val="en-GB"/>
        </w:rPr>
        <w:t xml:space="preserve"> The baseline situation is described </w:t>
      </w:r>
      <w:r w:rsidR="0087426E" w:rsidRPr="00666B27">
        <w:rPr>
          <w:szCs w:val="20"/>
          <w:lang w:val="en-GB"/>
        </w:rPr>
        <w:t xml:space="preserve">in detail </w:t>
      </w:r>
      <w:r w:rsidR="005850D2" w:rsidRPr="00666B27">
        <w:rPr>
          <w:szCs w:val="20"/>
          <w:lang w:val="en-GB"/>
        </w:rPr>
        <w:t xml:space="preserve">in Annex E. </w:t>
      </w:r>
      <w:r w:rsidR="00CC6E56" w:rsidRPr="00666B27">
        <w:rPr>
          <w:szCs w:val="20"/>
          <w:lang w:val="en-GB"/>
        </w:rPr>
        <w:t xml:space="preserve">For a discussion on gender-aspects in the theory of change, the reader is referred to </w:t>
      </w:r>
      <w:r w:rsidR="00CC6E56" w:rsidRPr="0057545E">
        <w:rPr>
          <w:szCs w:val="20"/>
          <w:lang w:val="en-GB"/>
        </w:rPr>
        <w:fldChar w:fldCharType="begin"/>
      </w:r>
      <w:r w:rsidR="00CC6E56" w:rsidRPr="00666B27">
        <w:rPr>
          <w:szCs w:val="20"/>
          <w:lang w:val="en-GB"/>
        </w:rPr>
        <w:instrText xml:space="preserve"> REF _Ref497916290 \h </w:instrText>
      </w:r>
      <w:r w:rsidR="00133637" w:rsidRPr="00666B27">
        <w:rPr>
          <w:szCs w:val="20"/>
          <w:lang w:val="en-GB"/>
        </w:rPr>
        <w:instrText xml:space="preserve"> \* MERGEFORMAT </w:instrText>
      </w:r>
      <w:r w:rsidR="00CC6E56" w:rsidRPr="0057545E">
        <w:rPr>
          <w:szCs w:val="20"/>
          <w:lang w:val="en-GB"/>
        </w:rPr>
      </w:r>
      <w:r w:rsidR="00CC6E56" w:rsidRPr="0057545E">
        <w:rPr>
          <w:szCs w:val="20"/>
          <w:lang w:val="en-GB"/>
        </w:rPr>
        <w:fldChar w:fldCharType="separate"/>
      </w:r>
      <w:r w:rsidR="0087426E" w:rsidRPr="0057545E">
        <w:rPr>
          <w:rFonts w:ascii="Arial" w:hAnsi="Arial" w:cs="Arial"/>
          <w:sz w:val="18"/>
          <w:lang w:val="en-GB"/>
        </w:rPr>
        <w:t>Box</w:t>
      </w:r>
      <w:r w:rsidR="0087426E" w:rsidRPr="0057545E">
        <w:rPr>
          <w:rFonts w:ascii="Arial" w:hAnsi="Arial" w:cs="Arial"/>
          <w:noProof/>
          <w:sz w:val="18"/>
          <w:lang w:val="en-GB"/>
        </w:rPr>
        <w:t xml:space="preserve"> </w:t>
      </w:r>
      <w:r w:rsidR="0087426E" w:rsidRPr="00353542">
        <w:rPr>
          <w:rFonts w:ascii="Arial" w:hAnsi="Arial" w:cs="Arial"/>
          <w:b/>
          <w:noProof/>
          <w:color w:val="2E74B5"/>
          <w:sz w:val="18"/>
          <w:lang w:val="en-GB"/>
        </w:rPr>
        <w:t>17</w:t>
      </w:r>
      <w:r w:rsidR="00CC6E56" w:rsidRPr="0057545E">
        <w:rPr>
          <w:szCs w:val="20"/>
          <w:lang w:val="en-GB"/>
        </w:rPr>
        <w:fldChar w:fldCharType="end"/>
      </w:r>
      <w:r w:rsidR="00CC6E56" w:rsidRPr="0057545E">
        <w:rPr>
          <w:szCs w:val="20"/>
          <w:lang w:val="en-GB"/>
        </w:rPr>
        <w:t xml:space="preserve"> in Annex</w:t>
      </w:r>
      <w:r w:rsidR="00133637" w:rsidRPr="0057545E">
        <w:rPr>
          <w:szCs w:val="20"/>
          <w:lang w:val="en-GB"/>
        </w:rPr>
        <w:t xml:space="preserve"> D</w:t>
      </w:r>
      <w:r w:rsidR="005850D2" w:rsidRPr="0057545E">
        <w:rPr>
          <w:szCs w:val="20"/>
          <w:lang w:val="en-GB"/>
        </w:rPr>
        <w:t xml:space="preserve"> and to the discussion on genders aspects in Se</w:t>
      </w:r>
      <w:r w:rsidR="00352F6E" w:rsidRPr="00353542">
        <w:rPr>
          <w:szCs w:val="20"/>
          <w:lang w:val="en-GB"/>
        </w:rPr>
        <w:t>ction 4.</w:t>
      </w:r>
      <w:r w:rsidR="0087426E" w:rsidRPr="003B7D62">
        <w:rPr>
          <w:szCs w:val="20"/>
          <w:lang w:val="en-GB"/>
        </w:rPr>
        <w:t>6</w:t>
      </w:r>
      <w:r w:rsidR="00352F6E" w:rsidRPr="008E26A0">
        <w:rPr>
          <w:szCs w:val="20"/>
          <w:lang w:val="en-GB"/>
        </w:rPr>
        <w:t>.</w:t>
      </w:r>
    </w:p>
    <w:p w:rsidR="00982046" w:rsidRPr="004722F0" w:rsidRDefault="00982046" w:rsidP="0052505F">
      <w:pPr>
        <w:spacing w:after="0"/>
        <w:rPr>
          <w:rFonts w:cs="Segoe UI"/>
          <w:color w:val="000000"/>
          <w:szCs w:val="20"/>
          <w:lang w:val="en-GB"/>
        </w:rPr>
      </w:pPr>
    </w:p>
    <w:p w:rsidR="00890113" w:rsidRPr="00666B27" w:rsidRDefault="00890113" w:rsidP="00983093">
      <w:pPr>
        <w:spacing w:after="0"/>
        <w:rPr>
          <w:szCs w:val="20"/>
          <w:lang w:val="en-GB"/>
        </w:rPr>
      </w:pPr>
      <w:r w:rsidRPr="0087632B">
        <w:rPr>
          <w:szCs w:val="20"/>
          <w:lang w:val="en-GB"/>
        </w:rPr>
        <w:t xml:space="preserve">To </w:t>
      </w:r>
      <w:r w:rsidRPr="005431FB">
        <w:rPr>
          <w:szCs w:val="20"/>
          <w:lang w:val="en-GB"/>
        </w:rPr>
        <w:t xml:space="preserve">address the </w:t>
      </w:r>
      <w:r w:rsidR="005850D2" w:rsidRPr="00666B27">
        <w:rPr>
          <w:szCs w:val="20"/>
          <w:lang w:val="en-GB"/>
        </w:rPr>
        <w:t xml:space="preserve">barriers regarding </w:t>
      </w:r>
      <w:r w:rsidRPr="00666B27">
        <w:rPr>
          <w:szCs w:val="20"/>
          <w:lang w:val="en-GB"/>
        </w:rPr>
        <w:t xml:space="preserve">lack of </w:t>
      </w:r>
      <w:r w:rsidR="00B506AB" w:rsidRPr="00666B27">
        <w:rPr>
          <w:szCs w:val="20"/>
          <w:lang w:val="en-GB"/>
        </w:rPr>
        <w:t>strategy,</w:t>
      </w:r>
      <w:r w:rsidRPr="00666B27">
        <w:rPr>
          <w:szCs w:val="20"/>
          <w:lang w:val="en-GB"/>
        </w:rPr>
        <w:t xml:space="preserve"> as well as the problem of </w:t>
      </w:r>
      <w:r w:rsidR="0057545E" w:rsidRPr="00666B27">
        <w:rPr>
          <w:szCs w:val="20"/>
          <w:lang w:val="en-GB"/>
        </w:rPr>
        <w:t>i</w:t>
      </w:r>
      <w:r w:rsidR="00722D29" w:rsidRPr="00666B27">
        <w:rPr>
          <w:szCs w:val="20"/>
          <w:lang w:val="en-GB"/>
        </w:rPr>
        <w:t xml:space="preserve">nsufficient knowledge, </w:t>
      </w:r>
      <w:r w:rsidR="00983093" w:rsidRPr="00666B27">
        <w:rPr>
          <w:szCs w:val="20"/>
          <w:lang w:val="en-GB"/>
        </w:rPr>
        <w:t>market information and</w:t>
      </w:r>
      <w:r w:rsidR="00722D29" w:rsidRPr="00666B27">
        <w:rPr>
          <w:szCs w:val="20"/>
          <w:lang w:val="en-GB"/>
        </w:rPr>
        <w:t xml:space="preserve"> awaren</w:t>
      </w:r>
      <w:r w:rsidR="00983093" w:rsidRPr="00666B27">
        <w:rPr>
          <w:szCs w:val="20"/>
          <w:lang w:val="en-GB"/>
        </w:rPr>
        <w:t xml:space="preserve">ess amongst decision-makers in </w:t>
      </w:r>
      <w:r w:rsidR="00722D29" w:rsidRPr="00666B27">
        <w:rPr>
          <w:szCs w:val="20"/>
          <w:lang w:val="en-GB"/>
        </w:rPr>
        <w:t>decision-makers in national and local government and private sector and exposure to best practice, the Project will support</w:t>
      </w:r>
      <w:r w:rsidR="00D856AB" w:rsidRPr="00666B27">
        <w:rPr>
          <w:szCs w:val="20"/>
          <w:lang w:val="en-GB"/>
        </w:rPr>
        <w:t>:</w:t>
      </w:r>
    </w:p>
    <w:p w:rsidR="00983093" w:rsidRPr="00666B27" w:rsidRDefault="00B506AB" w:rsidP="00731F0C">
      <w:pPr>
        <w:numPr>
          <w:ilvl w:val="0"/>
          <w:numId w:val="27"/>
        </w:numPr>
        <w:tabs>
          <w:tab w:val="left" w:pos="284"/>
        </w:tabs>
        <w:spacing w:after="0"/>
        <w:ind w:left="284" w:hanging="284"/>
        <w:rPr>
          <w:rFonts w:eastAsia="Times New Roman"/>
          <w:noProof/>
          <w:szCs w:val="20"/>
          <w:lang w:val="en-GB"/>
        </w:rPr>
      </w:pPr>
      <w:r w:rsidRPr="00666B27">
        <w:rPr>
          <w:rFonts w:eastAsia="Times New Roman"/>
          <w:noProof/>
          <w:szCs w:val="20"/>
          <w:lang w:val="en-GB"/>
        </w:rPr>
        <w:t>C</w:t>
      </w:r>
      <w:r w:rsidR="00983093" w:rsidRPr="00666B27">
        <w:rPr>
          <w:rFonts w:eastAsia="Times New Roman"/>
          <w:noProof/>
          <w:szCs w:val="20"/>
          <w:lang w:val="en-GB"/>
        </w:rPr>
        <w:t xml:space="preserve">apacity needs assessment of local manufacturers and suppliers and the needs assessment of </w:t>
      </w:r>
      <w:r w:rsidRPr="00666B27">
        <w:rPr>
          <w:rFonts w:eastAsia="Times New Roman"/>
          <w:noProof/>
          <w:szCs w:val="20"/>
          <w:lang w:val="en-GB"/>
        </w:rPr>
        <w:t>institutions involved in the MVE system, including the capacity for photometric testing;</w:t>
      </w:r>
    </w:p>
    <w:p w:rsidR="00722D29" w:rsidRPr="00666B27" w:rsidRDefault="00722D29" w:rsidP="00731F0C">
      <w:pPr>
        <w:numPr>
          <w:ilvl w:val="0"/>
          <w:numId w:val="27"/>
        </w:numPr>
        <w:tabs>
          <w:tab w:val="left" w:pos="284"/>
        </w:tabs>
        <w:spacing w:after="0"/>
        <w:ind w:left="284" w:hanging="284"/>
        <w:rPr>
          <w:rFonts w:eastAsia="Times New Roman"/>
          <w:noProof/>
          <w:szCs w:val="20"/>
          <w:lang w:val="en-GB"/>
        </w:rPr>
      </w:pPr>
      <w:r w:rsidRPr="00666B27">
        <w:rPr>
          <w:rFonts w:eastAsia="Times New Roman"/>
          <w:noProof/>
          <w:szCs w:val="20"/>
          <w:lang w:val="en-GB"/>
        </w:rPr>
        <w:t xml:space="preserve">Establishment of </w:t>
      </w:r>
      <w:r w:rsidR="0087426E" w:rsidRPr="00666B27">
        <w:rPr>
          <w:rFonts w:eastAsia="Times New Roman"/>
          <w:noProof/>
          <w:szCs w:val="20"/>
          <w:lang w:val="en-GB"/>
        </w:rPr>
        <w:t>w</w:t>
      </w:r>
      <w:r w:rsidRPr="00666B27">
        <w:rPr>
          <w:rFonts w:eastAsia="Times New Roman"/>
          <w:noProof/>
          <w:szCs w:val="20"/>
          <w:lang w:val="en-GB"/>
        </w:rPr>
        <w:t>orking groups of policy-makers, private sector</w:t>
      </w:r>
      <w:r w:rsidR="00E236DA" w:rsidRPr="00666B27">
        <w:rPr>
          <w:rFonts w:eastAsia="Times New Roman"/>
          <w:noProof/>
          <w:szCs w:val="20"/>
          <w:lang w:val="en-GB"/>
        </w:rPr>
        <w:t xml:space="preserve"> representatives,</w:t>
      </w:r>
      <w:r w:rsidRPr="00666B27">
        <w:rPr>
          <w:rFonts w:eastAsia="Times New Roman"/>
          <w:noProof/>
          <w:szCs w:val="20"/>
          <w:lang w:val="en-GB"/>
        </w:rPr>
        <w:t xml:space="preserve"> and other stakeholders;</w:t>
      </w:r>
    </w:p>
    <w:p w:rsidR="00B506AB" w:rsidRPr="00666B27" w:rsidRDefault="00983093" w:rsidP="00731F0C">
      <w:pPr>
        <w:numPr>
          <w:ilvl w:val="0"/>
          <w:numId w:val="27"/>
        </w:numPr>
        <w:tabs>
          <w:tab w:val="left" w:pos="284"/>
        </w:tabs>
        <w:spacing w:after="0"/>
        <w:ind w:left="284" w:hanging="284"/>
        <w:rPr>
          <w:rFonts w:eastAsia="Times New Roman"/>
          <w:noProof/>
          <w:szCs w:val="20"/>
          <w:lang w:val="en-GB"/>
        </w:rPr>
      </w:pPr>
      <w:r w:rsidRPr="00666B27">
        <w:rPr>
          <w:rFonts w:eastAsia="Times New Roman"/>
          <w:noProof/>
          <w:szCs w:val="20"/>
          <w:lang w:val="en-GB"/>
        </w:rPr>
        <w:t>Formulation of action plans developed with goals, strategy, work</w:t>
      </w:r>
      <w:r w:rsidR="00E236DA" w:rsidRPr="00666B27">
        <w:rPr>
          <w:rFonts w:eastAsia="Times New Roman"/>
          <w:noProof/>
          <w:szCs w:val="20"/>
          <w:lang w:val="en-GB"/>
        </w:rPr>
        <w:t xml:space="preserve"> </w:t>
      </w:r>
      <w:r w:rsidRPr="00666B27">
        <w:rPr>
          <w:rFonts w:eastAsia="Times New Roman"/>
          <w:noProof/>
          <w:szCs w:val="20"/>
          <w:lang w:val="en-GB"/>
        </w:rPr>
        <w:t>plan and key tasks of institutions involved;</w:t>
      </w:r>
    </w:p>
    <w:p w:rsidR="00983093" w:rsidRPr="00666B27" w:rsidRDefault="00B506AB" w:rsidP="00731F0C">
      <w:pPr>
        <w:numPr>
          <w:ilvl w:val="0"/>
          <w:numId w:val="27"/>
        </w:numPr>
        <w:tabs>
          <w:tab w:val="left" w:pos="284"/>
        </w:tabs>
        <w:spacing w:after="0"/>
        <w:ind w:left="284" w:hanging="284"/>
        <w:rPr>
          <w:rFonts w:eastAsia="Times New Roman"/>
          <w:noProof/>
          <w:szCs w:val="20"/>
          <w:lang w:val="en-GB"/>
        </w:rPr>
      </w:pPr>
      <w:r w:rsidRPr="00666B27">
        <w:rPr>
          <w:rFonts w:eastAsia="Times New Roman"/>
          <w:noProof/>
          <w:szCs w:val="20"/>
          <w:lang w:val="en-GB"/>
        </w:rPr>
        <w:t>Deliver information on international best practice (in conjunction with U4E) and lessons learned (incl</w:t>
      </w:r>
      <w:r w:rsidR="00E236DA" w:rsidRPr="00666B27">
        <w:rPr>
          <w:rFonts w:eastAsia="Times New Roman"/>
          <w:noProof/>
          <w:szCs w:val="20"/>
          <w:lang w:val="en-GB"/>
        </w:rPr>
        <w:t>ud</w:t>
      </w:r>
      <w:r w:rsidRPr="00666B27">
        <w:rPr>
          <w:rFonts w:eastAsia="Times New Roman"/>
          <w:noProof/>
          <w:szCs w:val="20"/>
          <w:lang w:val="en-GB"/>
        </w:rPr>
        <w:t>ing from analogous GEF-supported projects on lighting and transformers)</w:t>
      </w:r>
    </w:p>
    <w:p w:rsidR="00B506AB" w:rsidRPr="00666B27" w:rsidRDefault="00B506AB" w:rsidP="00B506AB">
      <w:pPr>
        <w:spacing w:after="0"/>
        <w:rPr>
          <w:szCs w:val="20"/>
          <w:lang w:val="en-GB"/>
        </w:rPr>
      </w:pPr>
    </w:p>
    <w:p w:rsidR="00B506AB" w:rsidRPr="00666B27" w:rsidRDefault="00B506AB" w:rsidP="00B506AB">
      <w:pPr>
        <w:spacing w:after="0"/>
        <w:rPr>
          <w:szCs w:val="20"/>
          <w:lang w:val="en-GB"/>
        </w:rPr>
      </w:pPr>
      <w:r w:rsidRPr="00666B27">
        <w:rPr>
          <w:szCs w:val="20"/>
          <w:lang w:val="en-GB"/>
        </w:rPr>
        <w:t xml:space="preserve">To address the </w:t>
      </w:r>
      <w:r w:rsidR="005850D2" w:rsidRPr="00666B27">
        <w:rPr>
          <w:szCs w:val="20"/>
          <w:lang w:val="en-GB"/>
        </w:rPr>
        <w:t>barrier of</w:t>
      </w:r>
      <w:r w:rsidRPr="00666B27">
        <w:rPr>
          <w:szCs w:val="20"/>
          <w:lang w:val="en-GB"/>
        </w:rPr>
        <w:t xml:space="preserve"> lack of regulations (MEPS and/or labels</w:t>
      </w:r>
      <w:r w:rsidR="005850D2" w:rsidRPr="00666B27">
        <w:rPr>
          <w:szCs w:val="20"/>
          <w:lang w:val="en-GB"/>
        </w:rPr>
        <w:t>; procurement guidelines</w:t>
      </w:r>
      <w:r w:rsidRPr="00666B27">
        <w:rPr>
          <w:szCs w:val="20"/>
          <w:lang w:val="en-GB"/>
        </w:rPr>
        <w:t>) the project will:</w:t>
      </w:r>
    </w:p>
    <w:p w:rsidR="00890113" w:rsidRPr="00666B27" w:rsidRDefault="00890113" w:rsidP="00731F0C">
      <w:pPr>
        <w:numPr>
          <w:ilvl w:val="0"/>
          <w:numId w:val="27"/>
        </w:numPr>
        <w:spacing w:after="0"/>
        <w:ind w:left="284" w:right="4" w:hanging="284"/>
        <w:contextualSpacing/>
        <w:rPr>
          <w:rFonts w:eastAsia="Times New Roman"/>
          <w:noProof/>
          <w:szCs w:val="20"/>
          <w:lang w:val="en-GB"/>
        </w:rPr>
      </w:pPr>
      <w:r w:rsidRPr="00666B27">
        <w:rPr>
          <w:rFonts w:eastAsia="Times New Roman"/>
          <w:noProof/>
          <w:szCs w:val="20"/>
          <w:lang w:val="en-GB"/>
        </w:rPr>
        <w:t xml:space="preserve">Deliver technical assistance </w:t>
      </w:r>
      <w:r w:rsidR="00983093" w:rsidRPr="00666B27">
        <w:rPr>
          <w:rFonts w:eastAsia="Times New Roman"/>
          <w:noProof/>
          <w:szCs w:val="20"/>
          <w:lang w:val="en-GB"/>
        </w:rPr>
        <w:t>for the formulation of appropriate MEPS for lighting products and t</w:t>
      </w:r>
      <w:r w:rsidR="00E236DA" w:rsidRPr="00666B27">
        <w:rPr>
          <w:rFonts w:eastAsia="Times New Roman"/>
          <w:noProof/>
          <w:szCs w:val="20"/>
          <w:lang w:val="en-GB"/>
        </w:rPr>
        <w:t>ra</w:t>
      </w:r>
      <w:r w:rsidR="00983093" w:rsidRPr="00666B27">
        <w:rPr>
          <w:rFonts w:eastAsia="Times New Roman"/>
          <w:noProof/>
          <w:szCs w:val="20"/>
          <w:lang w:val="en-GB"/>
        </w:rPr>
        <w:t>nsformers and definit</w:t>
      </w:r>
      <w:r w:rsidR="00E236DA" w:rsidRPr="00666B27">
        <w:rPr>
          <w:rFonts w:eastAsia="Times New Roman"/>
          <w:noProof/>
          <w:szCs w:val="20"/>
          <w:lang w:val="en-GB"/>
        </w:rPr>
        <w:t>i</w:t>
      </w:r>
      <w:r w:rsidR="00B506AB" w:rsidRPr="00666B27">
        <w:rPr>
          <w:rFonts w:eastAsia="Times New Roman"/>
          <w:noProof/>
          <w:szCs w:val="20"/>
          <w:lang w:val="en-GB"/>
        </w:rPr>
        <w:t>on of ene</w:t>
      </w:r>
      <w:r w:rsidR="00983093" w:rsidRPr="00666B27">
        <w:rPr>
          <w:rFonts w:eastAsia="Times New Roman"/>
          <w:noProof/>
          <w:szCs w:val="20"/>
          <w:lang w:val="en-GB"/>
        </w:rPr>
        <w:t>rgy performance categories for lamps, based on the existing EE label format;</w:t>
      </w:r>
    </w:p>
    <w:p w:rsidR="00983093" w:rsidRPr="00666B27" w:rsidRDefault="00983093" w:rsidP="00731F0C">
      <w:pPr>
        <w:numPr>
          <w:ilvl w:val="0"/>
          <w:numId w:val="27"/>
        </w:numPr>
        <w:spacing w:after="0"/>
        <w:ind w:left="284" w:right="4" w:hanging="284"/>
        <w:contextualSpacing/>
        <w:rPr>
          <w:rFonts w:eastAsia="Times New Roman"/>
          <w:noProof/>
          <w:szCs w:val="20"/>
          <w:lang w:val="en-GB"/>
        </w:rPr>
      </w:pPr>
      <w:r w:rsidRPr="00666B27">
        <w:rPr>
          <w:rFonts w:eastAsia="Times New Roman"/>
          <w:noProof/>
          <w:szCs w:val="20"/>
          <w:lang w:val="en-GB"/>
        </w:rPr>
        <w:t>Support the strengthening of the existing MVE system linked with appli</w:t>
      </w:r>
      <w:r w:rsidR="00E236DA" w:rsidRPr="00666B27">
        <w:rPr>
          <w:rFonts w:eastAsia="Times New Roman"/>
          <w:noProof/>
          <w:szCs w:val="20"/>
          <w:lang w:val="en-GB"/>
        </w:rPr>
        <w:t>an</w:t>
      </w:r>
      <w:r w:rsidRPr="00666B27">
        <w:rPr>
          <w:rFonts w:eastAsia="Times New Roman"/>
          <w:noProof/>
          <w:szCs w:val="20"/>
          <w:lang w:val="en-GB"/>
        </w:rPr>
        <w:t xml:space="preserve">ce standards and </w:t>
      </w:r>
      <w:r w:rsidR="005850D2" w:rsidRPr="00666B27">
        <w:rPr>
          <w:rFonts w:eastAsia="Times New Roman"/>
          <w:noProof/>
          <w:szCs w:val="20"/>
          <w:lang w:val="en-GB"/>
        </w:rPr>
        <w:t>la</w:t>
      </w:r>
      <w:r w:rsidRPr="00666B27">
        <w:rPr>
          <w:rFonts w:eastAsia="Times New Roman"/>
          <w:noProof/>
          <w:szCs w:val="20"/>
          <w:lang w:val="en-GB"/>
        </w:rPr>
        <w:t>belling to incorpo</w:t>
      </w:r>
      <w:r w:rsidR="00E236DA" w:rsidRPr="00666B27">
        <w:rPr>
          <w:rFonts w:eastAsia="Times New Roman"/>
          <w:noProof/>
          <w:szCs w:val="20"/>
          <w:lang w:val="en-GB"/>
        </w:rPr>
        <w:t>ra</w:t>
      </w:r>
      <w:r w:rsidRPr="00666B27">
        <w:rPr>
          <w:rFonts w:eastAsia="Times New Roman"/>
          <w:noProof/>
          <w:szCs w:val="20"/>
          <w:lang w:val="en-GB"/>
        </w:rPr>
        <w:t>te lighting technology and distribution transformers, incl</w:t>
      </w:r>
      <w:r w:rsidR="00E236DA" w:rsidRPr="00666B27">
        <w:rPr>
          <w:rFonts w:eastAsia="Times New Roman"/>
          <w:noProof/>
          <w:szCs w:val="20"/>
          <w:lang w:val="en-GB"/>
        </w:rPr>
        <w:t>ud</w:t>
      </w:r>
      <w:r w:rsidRPr="00666B27">
        <w:rPr>
          <w:rFonts w:eastAsia="Times New Roman"/>
          <w:noProof/>
          <w:szCs w:val="20"/>
          <w:lang w:val="en-GB"/>
        </w:rPr>
        <w:t xml:space="preserve">ing guidance to certification laboratories and organise their accreditation, and provide technical (and </w:t>
      </w:r>
      <w:r w:rsidR="00B506AB" w:rsidRPr="00666B27">
        <w:rPr>
          <w:rFonts w:eastAsia="Times New Roman"/>
          <w:noProof/>
          <w:szCs w:val="20"/>
          <w:lang w:val="en-GB"/>
        </w:rPr>
        <w:t>as needed, financial) support to properly equip test laboratories;</w:t>
      </w:r>
    </w:p>
    <w:p w:rsidR="00982046" w:rsidRPr="00666B27" w:rsidRDefault="00982046" w:rsidP="00983093">
      <w:pPr>
        <w:spacing w:after="0"/>
        <w:rPr>
          <w:szCs w:val="20"/>
          <w:lang w:val="en-GB"/>
        </w:rPr>
      </w:pPr>
    </w:p>
    <w:p w:rsidR="00890113" w:rsidRPr="00666B27" w:rsidRDefault="00890113" w:rsidP="00983093">
      <w:pPr>
        <w:spacing w:after="0"/>
        <w:rPr>
          <w:szCs w:val="20"/>
          <w:lang w:val="en-GB"/>
        </w:rPr>
      </w:pPr>
      <w:r w:rsidRPr="00666B27">
        <w:rPr>
          <w:szCs w:val="20"/>
          <w:lang w:val="en-GB"/>
        </w:rPr>
        <w:t xml:space="preserve">To address the </w:t>
      </w:r>
      <w:r w:rsidR="005850D2" w:rsidRPr="00666B27">
        <w:rPr>
          <w:szCs w:val="20"/>
          <w:lang w:val="en-GB"/>
        </w:rPr>
        <w:t>challenge posed by</w:t>
      </w:r>
      <w:r w:rsidRPr="00666B27">
        <w:rPr>
          <w:szCs w:val="20"/>
          <w:lang w:val="en-GB"/>
        </w:rPr>
        <w:t xml:space="preserve"> insufficient information about th</w:t>
      </w:r>
      <w:r w:rsidR="00622AFA" w:rsidRPr="00666B27">
        <w:rPr>
          <w:szCs w:val="20"/>
          <w:lang w:val="en-GB"/>
        </w:rPr>
        <w:t xml:space="preserve">e lighting and transformers </w:t>
      </w:r>
      <w:r w:rsidRPr="00666B27">
        <w:rPr>
          <w:szCs w:val="20"/>
          <w:lang w:val="en-GB"/>
        </w:rPr>
        <w:t>market, the project will:</w:t>
      </w:r>
    </w:p>
    <w:p w:rsidR="00890113" w:rsidRPr="00666B27" w:rsidRDefault="005850D2" w:rsidP="00731F0C">
      <w:pPr>
        <w:numPr>
          <w:ilvl w:val="0"/>
          <w:numId w:val="27"/>
        </w:numPr>
        <w:spacing w:after="0"/>
        <w:ind w:left="284" w:right="4" w:hanging="284"/>
        <w:contextualSpacing/>
        <w:rPr>
          <w:rFonts w:eastAsia="Times New Roman"/>
          <w:noProof/>
          <w:szCs w:val="20"/>
          <w:lang w:val="en-GB"/>
        </w:rPr>
      </w:pPr>
      <w:r w:rsidRPr="00666B27">
        <w:rPr>
          <w:rFonts w:eastAsia="Times New Roman"/>
          <w:noProof/>
          <w:szCs w:val="20"/>
          <w:lang w:val="en-GB"/>
        </w:rPr>
        <w:t>Carry out a m</w:t>
      </w:r>
      <w:r w:rsidR="00B506AB" w:rsidRPr="00666B27">
        <w:rPr>
          <w:rFonts w:eastAsia="Times New Roman"/>
          <w:noProof/>
          <w:szCs w:val="20"/>
          <w:lang w:val="en-GB"/>
        </w:rPr>
        <w:t xml:space="preserve">arket assessment on demand and supply of lighting products in the various sectors and on distribution transformers, </w:t>
      </w:r>
      <w:r w:rsidR="0087426E" w:rsidRPr="00666B27">
        <w:rPr>
          <w:rFonts w:eastAsia="Times New Roman"/>
          <w:noProof/>
          <w:szCs w:val="20"/>
          <w:lang w:val="en-GB"/>
        </w:rPr>
        <w:t>including</w:t>
      </w:r>
      <w:r w:rsidR="00B506AB" w:rsidRPr="00666B27">
        <w:rPr>
          <w:rFonts w:eastAsia="Times New Roman"/>
          <w:noProof/>
          <w:szCs w:val="20"/>
          <w:lang w:val="en-GB"/>
        </w:rPr>
        <w:t xml:space="preserve"> co</w:t>
      </w:r>
      <w:r w:rsidR="00E236DA" w:rsidRPr="00666B27">
        <w:rPr>
          <w:rFonts w:eastAsia="Times New Roman"/>
          <w:noProof/>
          <w:szCs w:val="20"/>
          <w:lang w:val="en-GB"/>
        </w:rPr>
        <w:t>n</w:t>
      </w:r>
      <w:r w:rsidR="00B506AB" w:rsidRPr="00666B27">
        <w:rPr>
          <w:rFonts w:eastAsia="Times New Roman"/>
          <w:noProof/>
          <w:szCs w:val="20"/>
          <w:lang w:val="en-GB"/>
        </w:rPr>
        <w:t>sumer awareness and preferences and on current practices in municipalities (public buildings, public lighting, distribution system)</w:t>
      </w:r>
      <w:r w:rsidR="00622AFA" w:rsidRPr="00666B27">
        <w:rPr>
          <w:rFonts w:eastAsia="Times New Roman"/>
          <w:noProof/>
          <w:szCs w:val="20"/>
          <w:lang w:val="en-GB"/>
        </w:rPr>
        <w:t>;</w:t>
      </w:r>
    </w:p>
    <w:p w:rsidR="00622AFA" w:rsidRPr="00666B27" w:rsidRDefault="00622AFA" w:rsidP="00731F0C">
      <w:pPr>
        <w:numPr>
          <w:ilvl w:val="0"/>
          <w:numId w:val="27"/>
        </w:numPr>
        <w:spacing w:after="0"/>
        <w:ind w:left="284" w:right="4" w:hanging="284"/>
        <w:contextualSpacing/>
        <w:rPr>
          <w:rFonts w:eastAsia="Times New Roman"/>
          <w:noProof/>
          <w:szCs w:val="20"/>
          <w:lang w:val="en-GB"/>
        </w:rPr>
      </w:pPr>
      <w:r w:rsidRPr="00666B27">
        <w:rPr>
          <w:rFonts w:eastAsia="Times New Roman"/>
          <w:noProof/>
          <w:szCs w:val="20"/>
          <w:lang w:val="en-GB"/>
        </w:rPr>
        <w:t>Assess current practices</w:t>
      </w:r>
      <w:r w:rsidR="0087426E" w:rsidRPr="00666B27">
        <w:rPr>
          <w:rFonts w:eastAsia="Times New Roman"/>
          <w:noProof/>
          <w:szCs w:val="20"/>
          <w:lang w:val="en-GB"/>
        </w:rPr>
        <w:t xml:space="preserve"> and provide recommendations</w:t>
      </w:r>
      <w:r w:rsidRPr="00666B27">
        <w:rPr>
          <w:rFonts w:eastAsia="Times New Roman"/>
          <w:noProof/>
          <w:szCs w:val="20"/>
          <w:lang w:val="en-GB"/>
        </w:rPr>
        <w:t xml:space="preserve"> regarding collection, disposal</w:t>
      </w:r>
      <w:r w:rsidR="00E236DA" w:rsidRPr="00666B27">
        <w:rPr>
          <w:rFonts w:eastAsia="Times New Roman"/>
          <w:noProof/>
          <w:szCs w:val="20"/>
          <w:lang w:val="en-GB"/>
        </w:rPr>
        <w:t>,</w:t>
      </w:r>
      <w:r w:rsidRPr="00666B27">
        <w:rPr>
          <w:rFonts w:eastAsia="Times New Roman"/>
          <w:noProof/>
          <w:szCs w:val="20"/>
          <w:lang w:val="en-GB"/>
        </w:rPr>
        <w:t xml:space="preserve"> and recycling of distribution transformers and lighting products</w:t>
      </w:r>
    </w:p>
    <w:p w:rsidR="00B506AB" w:rsidRPr="00666B27" w:rsidRDefault="00B506AB" w:rsidP="00983093">
      <w:pPr>
        <w:tabs>
          <w:tab w:val="left" w:pos="0"/>
        </w:tabs>
        <w:spacing w:after="0"/>
        <w:rPr>
          <w:szCs w:val="20"/>
          <w:lang w:val="en-GB"/>
        </w:rPr>
      </w:pPr>
    </w:p>
    <w:p w:rsidR="00982046" w:rsidRPr="00666B27" w:rsidRDefault="00982046" w:rsidP="00983093">
      <w:pPr>
        <w:tabs>
          <w:tab w:val="left" w:pos="0"/>
        </w:tabs>
        <w:spacing w:after="0"/>
        <w:rPr>
          <w:szCs w:val="20"/>
          <w:lang w:val="en-GB"/>
        </w:rPr>
      </w:pPr>
      <w:r w:rsidRPr="00666B27">
        <w:rPr>
          <w:szCs w:val="20"/>
          <w:lang w:val="en-GB"/>
        </w:rPr>
        <w:t>To address the problem of lack of consumer awareness of energy performance of appliances</w:t>
      </w:r>
      <w:r w:rsidR="00B506AB" w:rsidRPr="00666B27">
        <w:rPr>
          <w:szCs w:val="20"/>
          <w:lang w:val="en-GB"/>
        </w:rPr>
        <w:t xml:space="preserve"> and the issue </w:t>
      </w:r>
      <w:r w:rsidR="003C5C6E" w:rsidRPr="00666B27">
        <w:rPr>
          <w:szCs w:val="20"/>
          <w:lang w:val="en-GB"/>
        </w:rPr>
        <w:t xml:space="preserve">of first-cost bias and weak market signals about the lifecycle value of EE lighting and transformers </w:t>
      </w:r>
      <w:r w:rsidR="00622AFA" w:rsidRPr="00666B27">
        <w:rPr>
          <w:szCs w:val="20"/>
          <w:lang w:val="en-GB"/>
        </w:rPr>
        <w:t>the P</w:t>
      </w:r>
      <w:r w:rsidRPr="00666B27">
        <w:rPr>
          <w:szCs w:val="20"/>
          <w:lang w:val="en-GB"/>
        </w:rPr>
        <w:t>roject will:</w:t>
      </w:r>
    </w:p>
    <w:p w:rsidR="00622AFA" w:rsidRPr="00666B27" w:rsidRDefault="00982046" w:rsidP="00731F0C">
      <w:pPr>
        <w:numPr>
          <w:ilvl w:val="0"/>
          <w:numId w:val="26"/>
        </w:numPr>
        <w:tabs>
          <w:tab w:val="left" w:pos="0"/>
        </w:tabs>
        <w:spacing w:after="0"/>
        <w:ind w:left="284" w:hanging="284"/>
        <w:rPr>
          <w:szCs w:val="20"/>
          <w:lang w:val="en-GB"/>
        </w:rPr>
      </w:pPr>
      <w:r w:rsidRPr="00666B27">
        <w:rPr>
          <w:szCs w:val="20"/>
          <w:lang w:val="en-GB"/>
        </w:rPr>
        <w:t xml:space="preserve">Conduct public-relations outreach to </w:t>
      </w:r>
      <w:r w:rsidR="00622AFA" w:rsidRPr="00666B27">
        <w:rPr>
          <w:szCs w:val="20"/>
          <w:lang w:val="en-GB"/>
        </w:rPr>
        <w:t xml:space="preserve">residential and professional-commercial </w:t>
      </w:r>
      <w:r w:rsidRPr="00666B27">
        <w:rPr>
          <w:szCs w:val="20"/>
          <w:lang w:val="en-GB"/>
        </w:rPr>
        <w:t xml:space="preserve">consumers about </w:t>
      </w:r>
      <w:r w:rsidR="00E236DA" w:rsidRPr="00666B27">
        <w:rPr>
          <w:szCs w:val="20"/>
          <w:lang w:val="en-GB"/>
        </w:rPr>
        <w:t xml:space="preserve">the </w:t>
      </w:r>
      <w:r w:rsidRPr="00666B27">
        <w:rPr>
          <w:noProof/>
          <w:szCs w:val="20"/>
          <w:lang w:val="en-GB"/>
        </w:rPr>
        <w:t>energy</w:t>
      </w:r>
      <w:r w:rsidRPr="00666B27">
        <w:rPr>
          <w:szCs w:val="20"/>
          <w:lang w:val="en-GB"/>
        </w:rPr>
        <w:t xml:space="preserve"> performance of </w:t>
      </w:r>
      <w:r w:rsidR="00B506AB" w:rsidRPr="00666B27">
        <w:rPr>
          <w:szCs w:val="20"/>
          <w:lang w:val="en-GB"/>
        </w:rPr>
        <w:t>l</w:t>
      </w:r>
      <w:r w:rsidR="00622AFA" w:rsidRPr="00666B27">
        <w:rPr>
          <w:szCs w:val="20"/>
          <w:lang w:val="en-GB"/>
        </w:rPr>
        <w:t>ighting and information campaign to municipal authorities</w:t>
      </w:r>
      <w:r w:rsidRPr="00666B27">
        <w:rPr>
          <w:szCs w:val="20"/>
          <w:lang w:val="en-GB"/>
        </w:rPr>
        <w:t>.</w:t>
      </w:r>
    </w:p>
    <w:p w:rsidR="00622AFA" w:rsidRPr="00666B27" w:rsidRDefault="0087426E" w:rsidP="00731F0C">
      <w:pPr>
        <w:numPr>
          <w:ilvl w:val="0"/>
          <w:numId w:val="26"/>
        </w:numPr>
        <w:tabs>
          <w:tab w:val="left" w:pos="0"/>
        </w:tabs>
        <w:spacing w:after="0"/>
        <w:ind w:left="284" w:hanging="284"/>
        <w:rPr>
          <w:szCs w:val="20"/>
          <w:lang w:val="en-GB"/>
        </w:rPr>
      </w:pPr>
      <w:r w:rsidRPr="00666B27">
        <w:rPr>
          <w:szCs w:val="20"/>
          <w:lang w:val="en-GB"/>
        </w:rPr>
        <w:t>Build on and cooperate with</w:t>
      </w:r>
      <w:r w:rsidR="00622AFA" w:rsidRPr="00666B27">
        <w:rPr>
          <w:szCs w:val="20"/>
          <w:lang w:val="en-GB"/>
        </w:rPr>
        <w:t xml:space="preserve"> ongoing initiatives</w:t>
      </w:r>
      <w:r w:rsidRPr="00666B27">
        <w:rPr>
          <w:szCs w:val="20"/>
          <w:lang w:val="en-GB"/>
        </w:rPr>
        <w:t xml:space="preserve"> undertaken </w:t>
      </w:r>
      <w:r w:rsidR="00622AFA" w:rsidRPr="00666B27">
        <w:rPr>
          <w:szCs w:val="20"/>
          <w:lang w:val="en-GB"/>
        </w:rPr>
        <w:t>by the Government (DoE’</w:t>
      </w:r>
      <w:r w:rsidRPr="00666B27">
        <w:rPr>
          <w:szCs w:val="20"/>
          <w:lang w:val="en-GB"/>
        </w:rPr>
        <w:t>s MEEDSM</w:t>
      </w:r>
      <w:r w:rsidR="00622AFA" w:rsidRPr="00666B27">
        <w:rPr>
          <w:szCs w:val="20"/>
          <w:lang w:val="en-GB"/>
        </w:rPr>
        <w:t xml:space="preserve"> </w:t>
      </w:r>
      <w:r w:rsidRPr="00666B27">
        <w:rPr>
          <w:szCs w:val="20"/>
          <w:lang w:val="en-GB"/>
        </w:rPr>
        <w:t xml:space="preserve">and support for </w:t>
      </w:r>
      <w:r w:rsidR="00622AFA" w:rsidRPr="00666B27">
        <w:rPr>
          <w:szCs w:val="20"/>
          <w:lang w:val="en-GB"/>
        </w:rPr>
        <w:t>municipal</w:t>
      </w:r>
      <w:r w:rsidRPr="00666B27">
        <w:rPr>
          <w:szCs w:val="20"/>
          <w:lang w:val="en-GB"/>
        </w:rPr>
        <w:t xml:space="preserve"> power</w:t>
      </w:r>
      <w:r w:rsidR="00622AFA" w:rsidRPr="00666B27">
        <w:rPr>
          <w:szCs w:val="20"/>
          <w:lang w:val="en-GB"/>
        </w:rPr>
        <w:t xml:space="preserve"> distribution; Eskom’s activities on integrated demand management and upgrading power distribution)</w:t>
      </w:r>
    </w:p>
    <w:p w:rsidR="005A74C7" w:rsidRPr="00666B27" w:rsidRDefault="00982046" w:rsidP="00731F0C">
      <w:pPr>
        <w:numPr>
          <w:ilvl w:val="0"/>
          <w:numId w:val="26"/>
        </w:numPr>
        <w:tabs>
          <w:tab w:val="left" w:pos="0"/>
        </w:tabs>
        <w:spacing w:after="0"/>
        <w:ind w:left="284" w:hanging="284"/>
        <w:rPr>
          <w:szCs w:val="20"/>
          <w:lang w:val="en-GB"/>
        </w:rPr>
      </w:pPr>
      <w:r w:rsidRPr="00666B27">
        <w:rPr>
          <w:szCs w:val="20"/>
          <w:lang w:val="en-GB"/>
        </w:rPr>
        <w:t xml:space="preserve">Support </w:t>
      </w:r>
      <w:r w:rsidR="00622AFA" w:rsidRPr="00666B27">
        <w:rPr>
          <w:szCs w:val="20"/>
          <w:lang w:val="en-GB"/>
        </w:rPr>
        <w:t>lighting product (lamps, luminaires) suppliers and transformer manufacturers in</w:t>
      </w:r>
      <w:r w:rsidRPr="00666B27">
        <w:rPr>
          <w:szCs w:val="20"/>
          <w:lang w:val="en-GB"/>
        </w:rPr>
        <w:t xml:space="preserve"> preparing bankable proposals for </w:t>
      </w:r>
      <w:r w:rsidR="00E236DA" w:rsidRPr="00666B27">
        <w:rPr>
          <w:szCs w:val="20"/>
          <w:lang w:val="en-GB"/>
        </w:rPr>
        <w:t xml:space="preserve">the </w:t>
      </w:r>
      <w:r w:rsidRPr="00666B27">
        <w:rPr>
          <w:noProof/>
          <w:szCs w:val="20"/>
          <w:lang w:val="en-GB"/>
        </w:rPr>
        <w:t>financing</w:t>
      </w:r>
      <w:r w:rsidRPr="00666B27">
        <w:rPr>
          <w:szCs w:val="20"/>
          <w:lang w:val="en-GB"/>
        </w:rPr>
        <w:t xml:space="preserve"> </w:t>
      </w:r>
      <w:r w:rsidR="00622AFA" w:rsidRPr="00666B27">
        <w:rPr>
          <w:szCs w:val="20"/>
          <w:lang w:val="en-GB"/>
        </w:rPr>
        <w:t>of upgrading or setting up production lines, as well as support local authorities and commercial building owners in formulating bankable proposals to the above-mentioned DoE and Eskom grant funds as well as for financing by development and other banks;</w:t>
      </w:r>
    </w:p>
    <w:p w:rsidR="00622AFA" w:rsidRPr="00666B27" w:rsidRDefault="0087426E" w:rsidP="00731F0C">
      <w:pPr>
        <w:numPr>
          <w:ilvl w:val="0"/>
          <w:numId w:val="26"/>
        </w:numPr>
        <w:tabs>
          <w:tab w:val="left" w:pos="0"/>
        </w:tabs>
        <w:spacing w:after="0"/>
        <w:ind w:left="284" w:hanging="284"/>
        <w:rPr>
          <w:szCs w:val="20"/>
          <w:lang w:val="en-GB"/>
        </w:rPr>
      </w:pPr>
      <w:r w:rsidRPr="00666B27">
        <w:rPr>
          <w:szCs w:val="20"/>
          <w:lang w:val="en-GB"/>
        </w:rPr>
        <w:t>S</w:t>
      </w:r>
      <w:r w:rsidR="005850D2" w:rsidRPr="00666B27">
        <w:rPr>
          <w:szCs w:val="20"/>
          <w:lang w:val="en-GB"/>
        </w:rPr>
        <w:t>et up a</w:t>
      </w:r>
      <w:r w:rsidRPr="00666B27">
        <w:rPr>
          <w:szCs w:val="20"/>
          <w:lang w:val="en-GB"/>
        </w:rPr>
        <w:t>n</w:t>
      </w:r>
      <w:r w:rsidR="005850D2" w:rsidRPr="00666B27">
        <w:rPr>
          <w:szCs w:val="20"/>
          <w:lang w:val="en-GB"/>
        </w:rPr>
        <w:t xml:space="preserve"> </w:t>
      </w:r>
      <w:r w:rsidR="00DA3BB0" w:rsidRPr="00666B27">
        <w:rPr>
          <w:szCs w:val="20"/>
          <w:lang w:val="en-GB"/>
        </w:rPr>
        <w:t>Energy Efficiency Financial Instrument (EEFI)</w:t>
      </w:r>
      <w:r w:rsidR="008926FB" w:rsidRPr="00666B27">
        <w:rPr>
          <w:szCs w:val="20"/>
          <w:lang w:val="en-GB"/>
        </w:rPr>
        <w:t xml:space="preserve"> </w:t>
      </w:r>
      <w:r w:rsidR="00DA3BB0" w:rsidRPr="00666B27">
        <w:rPr>
          <w:szCs w:val="20"/>
          <w:lang w:val="en-GB"/>
        </w:rPr>
        <w:t xml:space="preserve">to provide </w:t>
      </w:r>
      <w:r w:rsidR="002238F0" w:rsidRPr="00666B27">
        <w:rPr>
          <w:szCs w:val="20"/>
          <w:lang w:val="en-GB"/>
        </w:rPr>
        <w:t xml:space="preserve">partial grant </w:t>
      </w:r>
      <w:r w:rsidR="00DA3BB0" w:rsidRPr="00666B27">
        <w:rPr>
          <w:szCs w:val="20"/>
          <w:lang w:val="en-GB"/>
        </w:rPr>
        <w:t>financing and support new modalities for municipalities and energy service providers (</w:t>
      </w:r>
      <w:r w:rsidR="00C046DD">
        <w:rPr>
          <w:szCs w:val="20"/>
          <w:lang w:val="en-GB"/>
        </w:rPr>
        <w:t xml:space="preserve">credit guarantees for loans to </w:t>
      </w:r>
      <w:r w:rsidR="00DA3BB0" w:rsidRPr="00666B27">
        <w:rPr>
          <w:szCs w:val="20"/>
          <w:lang w:val="en-GB"/>
        </w:rPr>
        <w:t>ESCOs) and investment in EE production.</w:t>
      </w:r>
    </w:p>
    <w:p w:rsidR="00982046" w:rsidRPr="00666B27" w:rsidRDefault="00982046" w:rsidP="00983093">
      <w:pPr>
        <w:tabs>
          <w:tab w:val="left" w:pos="0"/>
        </w:tabs>
        <w:spacing w:after="0"/>
        <w:rPr>
          <w:szCs w:val="20"/>
          <w:lang w:val="en-GB"/>
        </w:rPr>
      </w:pPr>
    </w:p>
    <w:p w:rsidR="00890113" w:rsidRPr="00666B27" w:rsidRDefault="008926FB" w:rsidP="007B0FE7">
      <w:pPr>
        <w:tabs>
          <w:tab w:val="left" w:pos="0"/>
        </w:tabs>
        <w:spacing w:after="0"/>
        <w:rPr>
          <w:szCs w:val="20"/>
          <w:lang w:val="en-GB"/>
        </w:rPr>
      </w:pPr>
      <w:r w:rsidRPr="00666B27">
        <w:rPr>
          <w:szCs w:val="20"/>
          <w:lang w:val="en-GB"/>
        </w:rPr>
        <w:t>This all is</w:t>
      </w:r>
      <w:r w:rsidR="00982046" w:rsidRPr="00666B27">
        <w:rPr>
          <w:szCs w:val="20"/>
          <w:lang w:val="en-GB"/>
        </w:rPr>
        <w:t xml:space="preserve"> envisioned to lead to a change of market </w:t>
      </w:r>
      <w:r w:rsidRPr="00666B27">
        <w:rPr>
          <w:szCs w:val="20"/>
          <w:lang w:val="en-GB"/>
        </w:rPr>
        <w:t xml:space="preserve">and enabling framework </w:t>
      </w:r>
      <w:r w:rsidR="00982046" w:rsidRPr="00666B27">
        <w:rPr>
          <w:szCs w:val="20"/>
          <w:lang w:val="en-GB"/>
        </w:rPr>
        <w:t>conditions to create a m</w:t>
      </w:r>
      <w:r w:rsidRPr="00666B27">
        <w:rPr>
          <w:szCs w:val="20"/>
          <w:lang w:val="en-GB"/>
        </w:rPr>
        <w:t>arket pull for energy-efficient lighting</w:t>
      </w:r>
      <w:r w:rsidR="00982046" w:rsidRPr="00666B27">
        <w:rPr>
          <w:szCs w:val="20"/>
          <w:lang w:val="en-GB"/>
        </w:rPr>
        <w:t xml:space="preserve"> </w:t>
      </w:r>
      <w:r w:rsidRPr="00666B27">
        <w:rPr>
          <w:szCs w:val="20"/>
          <w:lang w:val="en-GB"/>
        </w:rPr>
        <w:t>in the residential, commercial</w:t>
      </w:r>
      <w:r w:rsidR="00982046" w:rsidRPr="00666B27">
        <w:rPr>
          <w:szCs w:val="20"/>
          <w:lang w:val="en-GB"/>
        </w:rPr>
        <w:t xml:space="preserve"> </w:t>
      </w:r>
      <w:r w:rsidRPr="00666B27">
        <w:rPr>
          <w:szCs w:val="20"/>
          <w:lang w:val="en-GB"/>
        </w:rPr>
        <w:t xml:space="preserve">and public </w:t>
      </w:r>
      <w:r w:rsidR="00982046" w:rsidRPr="00666B27">
        <w:rPr>
          <w:szCs w:val="20"/>
          <w:lang w:val="en-GB"/>
        </w:rPr>
        <w:t>building sector</w:t>
      </w:r>
      <w:r w:rsidRPr="00666B27">
        <w:rPr>
          <w:szCs w:val="20"/>
          <w:lang w:val="en-GB"/>
        </w:rPr>
        <w:t xml:space="preserve"> and in public infrastructure. </w:t>
      </w:r>
      <w:r w:rsidR="000E1653" w:rsidRPr="00666B27">
        <w:rPr>
          <w:szCs w:val="20"/>
          <w:lang w:val="en-GB"/>
        </w:rPr>
        <w:t>The</w:t>
      </w:r>
      <w:r w:rsidR="00982046" w:rsidRPr="00666B27">
        <w:rPr>
          <w:szCs w:val="20"/>
          <w:lang w:val="en-GB"/>
        </w:rPr>
        <w:t xml:space="preserve"> policy/regulatory provisions are supposed to </w:t>
      </w:r>
      <w:r w:rsidRPr="00666B27">
        <w:rPr>
          <w:szCs w:val="20"/>
          <w:lang w:val="en-GB"/>
        </w:rPr>
        <w:t>push the market towards a situation with low-</w:t>
      </w:r>
      <w:r w:rsidR="00982046" w:rsidRPr="00666B27">
        <w:rPr>
          <w:szCs w:val="20"/>
          <w:lang w:val="en-GB"/>
        </w:rPr>
        <w:t xml:space="preserve">entry barriers </w:t>
      </w:r>
      <w:r w:rsidRPr="00666B27">
        <w:rPr>
          <w:szCs w:val="20"/>
          <w:lang w:val="en-GB"/>
        </w:rPr>
        <w:t>for</w:t>
      </w:r>
      <w:r w:rsidR="00982046" w:rsidRPr="00666B27">
        <w:rPr>
          <w:szCs w:val="20"/>
          <w:lang w:val="en-GB"/>
        </w:rPr>
        <w:t xml:space="preserve"> energy efficient</w:t>
      </w:r>
      <w:r w:rsidRPr="00666B27">
        <w:rPr>
          <w:szCs w:val="20"/>
          <w:lang w:val="en-GB"/>
        </w:rPr>
        <w:t xml:space="preserve"> lighting and high-efficiency transformers</w:t>
      </w:r>
      <w:r w:rsidR="00982046" w:rsidRPr="00666B27">
        <w:rPr>
          <w:szCs w:val="20"/>
          <w:lang w:val="en-GB"/>
        </w:rPr>
        <w:t xml:space="preserve">. The desired </w:t>
      </w:r>
      <w:r w:rsidRPr="00666B27">
        <w:rPr>
          <w:noProof/>
          <w:szCs w:val="20"/>
          <w:lang w:val="en-GB"/>
        </w:rPr>
        <w:t>behavioural</w:t>
      </w:r>
      <w:r w:rsidR="00982046" w:rsidRPr="00666B27">
        <w:rPr>
          <w:szCs w:val="20"/>
          <w:lang w:val="en-GB"/>
        </w:rPr>
        <w:t xml:space="preserve"> change induced by this changed market situation includes increased </w:t>
      </w:r>
      <w:r w:rsidR="00982046" w:rsidRPr="00666B27">
        <w:rPr>
          <w:szCs w:val="20"/>
          <w:lang w:val="en-GB"/>
        </w:rPr>
        <w:lastRenderedPageBreak/>
        <w:t>mobilization of investments</w:t>
      </w:r>
      <w:r w:rsidRPr="00666B27">
        <w:rPr>
          <w:szCs w:val="20"/>
          <w:lang w:val="en-GB"/>
        </w:rPr>
        <w:t xml:space="preserve"> and </w:t>
      </w:r>
      <w:r w:rsidRPr="00666B27">
        <w:rPr>
          <w:noProof/>
          <w:szCs w:val="20"/>
          <w:lang w:val="en-GB"/>
        </w:rPr>
        <w:t>finance</w:t>
      </w:r>
      <w:r w:rsidR="00E236DA" w:rsidRPr="00666B27">
        <w:rPr>
          <w:noProof/>
          <w:szCs w:val="20"/>
          <w:shd w:val="clear" w:color="auto" w:fill="FECEBF"/>
          <w:lang w:val="en-GB"/>
        </w:rPr>
        <w:t>d</w:t>
      </w:r>
      <w:r w:rsidRPr="00666B27">
        <w:rPr>
          <w:szCs w:val="20"/>
          <w:lang w:val="en-GB"/>
        </w:rPr>
        <w:t xml:space="preserve"> by the</w:t>
      </w:r>
      <w:r w:rsidR="00982046" w:rsidRPr="00666B27">
        <w:rPr>
          <w:szCs w:val="20"/>
          <w:lang w:val="en-GB"/>
        </w:rPr>
        <w:t xml:space="preserve"> private sector</w:t>
      </w:r>
      <w:r w:rsidRPr="00666B27">
        <w:rPr>
          <w:szCs w:val="20"/>
          <w:lang w:val="en-GB"/>
        </w:rPr>
        <w:t xml:space="preserve"> (suppliers, finance)</w:t>
      </w:r>
      <w:r w:rsidR="00982046" w:rsidRPr="00666B27">
        <w:rPr>
          <w:szCs w:val="20"/>
          <w:lang w:val="en-GB"/>
        </w:rPr>
        <w:t xml:space="preserve"> as well as intensifying use of </w:t>
      </w:r>
      <w:r w:rsidRPr="00666B27">
        <w:rPr>
          <w:szCs w:val="20"/>
          <w:lang w:val="en-GB"/>
        </w:rPr>
        <w:t xml:space="preserve">efficient lighting by </w:t>
      </w:r>
      <w:r w:rsidR="00982046" w:rsidRPr="00666B27">
        <w:rPr>
          <w:szCs w:val="20"/>
          <w:lang w:val="en-GB"/>
        </w:rPr>
        <w:t>consumers</w:t>
      </w:r>
      <w:r w:rsidRPr="00666B27">
        <w:rPr>
          <w:szCs w:val="20"/>
          <w:lang w:val="en-GB"/>
        </w:rPr>
        <w:t xml:space="preserve"> and energy-efficient public infrastructure (lighting, power distribution)</w:t>
      </w:r>
      <w:r w:rsidR="00982046" w:rsidRPr="00666B27">
        <w:rPr>
          <w:szCs w:val="20"/>
          <w:lang w:val="en-GB"/>
        </w:rPr>
        <w:t xml:space="preserve">. </w:t>
      </w:r>
    </w:p>
    <w:p w:rsidR="00DA3BB0" w:rsidRPr="00666B27" w:rsidRDefault="00DA3BB0" w:rsidP="007B0FE7">
      <w:pPr>
        <w:tabs>
          <w:tab w:val="left" w:pos="0"/>
        </w:tabs>
        <w:spacing w:after="0"/>
        <w:rPr>
          <w:szCs w:val="20"/>
          <w:lang w:val="en-GB"/>
        </w:rPr>
      </w:pPr>
    </w:p>
    <w:p w:rsidR="00BF31B5" w:rsidRPr="00F737AD" w:rsidRDefault="00BF31B5" w:rsidP="00BF31B5">
      <w:pPr>
        <w:spacing w:after="0"/>
        <w:rPr>
          <w:rFonts w:cs="Calibri"/>
          <w:szCs w:val="20"/>
          <w:lang w:val="en-GB" w:eastAsia="en-GB"/>
        </w:rPr>
      </w:pPr>
      <w:r w:rsidRPr="00666B27">
        <w:rPr>
          <w:szCs w:val="20"/>
          <w:lang w:val="en-GB"/>
        </w:rPr>
        <w:t xml:space="preserve">Various baseline activities are undertaken by </w:t>
      </w:r>
      <w:r w:rsidRPr="00666B27">
        <w:rPr>
          <w:noProof/>
          <w:szCs w:val="20"/>
          <w:lang w:val="en-GB"/>
        </w:rPr>
        <w:t>South</w:t>
      </w:r>
      <w:r w:rsidRPr="00666B27">
        <w:rPr>
          <w:szCs w:val="20"/>
          <w:lang w:val="en-GB"/>
        </w:rPr>
        <w:t xml:space="preserve"> African government and private sector, supported by multilateral and bilateral </w:t>
      </w:r>
      <w:r w:rsidRPr="00666B27">
        <w:rPr>
          <w:noProof/>
          <w:szCs w:val="20"/>
          <w:lang w:val="en-GB"/>
        </w:rPr>
        <w:t>organisations</w:t>
      </w:r>
      <w:r w:rsidRPr="00666B27">
        <w:rPr>
          <w:szCs w:val="20"/>
          <w:lang w:val="en-GB"/>
        </w:rPr>
        <w:t xml:space="preserve"> and donors that address the barriers and problems identified in the previous Chapter 2. The Project aims to build on past activities and closely cooperate with ongoing or planned baseline actions</w:t>
      </w:r>
      <w:r w:rsidR="00D856AB" w:rsidRPr="00666B27">
        <w:rPr>
          <w:szCs w:val="20"/>
          <w:lang w:val="en-GB"/>
        </w:rPr>
        <w:t xml:space="preserve"> and only applies for GEF funding for </w:t>
      </w:r>
      <w:r w:rsidRPr="00666B27">
        <w:rPr>
          <w:i/>
          <w:szCs w:val="20"/>
          <w:lang w:val="en-GB"/>
        </w:rPr>
        <w:t>incremental activities</w:t>
      </w:r>
      <w:r w:rsidR="00D856AB" w:rsidRPr="00666B27">
        <w:rPr>
          <w:i/>
          <w:szCs w:val="20"/>
          <w:lang w:val="en-GB"/>
        </w:rPr>
        <w:t xml:space="preserve">. </w:t>
      </w:r>
      <w:r w:rsidRPr="00666B27">
        <w:rPr>
          <w:szCs w:val="20"/>
          <w:lang w:val="en-GB"/>
        </w:rPr>
        <w:t xml:space="preserve">A detailed description of the baseline situation is given in Annex E. The reader can find </w:t>
      </w:r>
      <w:r w:rsidR="00336C31" w:rsidRPr="00666B27">
        <w:rPr>
          <w:szCs w:val="20"/>
          <w:lang w:val="en-GB"/>
        </w:rPr>
        <w:t xml:space="preserve">in </w:t>
      </w:r>
      <w:r w:rsidR="00336C31" w:rsidRPr="0057545E">
        <w:rPr>
          <w:szCs w:val="20"/>
          <w:lang w:val="en-GB"/>
        </w:rPr>
        <w:fldChar w:fldCharType="begin"/>
      </w:r>
      <w:r w:rsidR="00336C31" w:rsidRPr="00666B27">
        <w:rPr>
          <w:szCs w:val="20"/>
          <w:lang w:val="en-GB"/>
        </w:rPr>
        <w:instrText xml:space="preserve"> REF _Ref536691834 \h </w:instrText>
      </w:r>
      <w:r w:rsidR="00336C31" w:rsidRPr="0057545E">
        <w:rPr>
          <w:szCs w:val="20"/>
          <w:lang w:val="en-GB"/>
        </w:rPr>
      </w:r>
      <w:r w:rsidR="00336C31" w:rsidRPr="0057545E">
        <w:rPr>
          <w:szCs w:val="20"/>
          <w:lang w:val="en-GB"/>
        </w:rPr>
        <w:fldChar w:fldCharType="separate"/>
      </w:r>
      <w:r w:rsidR="00BB1E93" w:rsidRPr="0057545E">
        <w:rPr>
          <w:rFonts w:ascii="Arial" w:hAnsi="Arial" w:cs="Arial"/>
          <w:b/>
          <w:color w:val="2E74B5"/>
          <w:sz w:val="18"/>
          <w:lang w:val="en-GB"/>
        </w:rPr>
        <w:t xml:space="preserve">Box </w:t>
      </w:r>
      <w:r w:rsidR="00BB1E93" w:rsidRPr="0057545E">
        <w:rPr>
          <w:rFonts w:ascii="Arial" w:hAnsi="Arial" w:cs="Arial"/>
          <w:b/>
          <w:noProof/>
          <w:color w:val="2E74B5"/>
          <w:sz w:val="18"/>
          <w:lang w:val="en-GB"/>
        </w:rPr>
        <w:t>6</w:t>
      </w:r>
      <w:r w:rsidR="00336C31" w:rsidRPr="0057545E">
        <w:rPr>
          <w:szCs w:val="20"/>
          <w:lang w:val="en-GB"/>
        </w:rPr>
        <w:fldChar w:fldCharType="end"/>
      </w:r>
      <w:r w:rsidR="00336C31" w:rsidRPr="0057545E">
        <w:rPr>
          <w:szCs w:val="20"/>
          <w:lang w:val="en-GB"/>
        </w:rPr>
        <w:t xml:space="preserve"> </w:t>
      </w:r>
      <w:r w:rsidRPr="0057545E">
        <w:rPr>
          <w:szCs w:val="20"/>
          <w:lang w:val="en-GB"/>
        </w:rPr>
        <w:t xml:space="preserve">a summary of the baseline activities and </w:t>
      </w:r>
      <w:r w:rsidR="00336C31" w:rsidRPr="0057545E">
        <w:rPr>
          <w:szCs w:val="20"/>
          <w:lang w:val="en-GB"/>
        </w:rPr>
        <w:t>how these, together with p</w:t>
      </w:r>
      <w:r w:rsidR="00336C31" w:rsidRPr="00353542">
        <w:rPr>
          <w:szCs w:val="20"/>
          <w:lang w:val="en-GB"/>
        </w:rPr>
        <w:t xml:space="preserve">roposed incremental activities, address the barriers discussed in the previous Section (see </w:t>
      </w:r>
      <w:r w:rsidR="00336C31" w:rsidRPr="0057545E">
        <w:rPr>
          <w:szCs w:val="20"/>
          <w:lang w:val="en-GB"/>
        </w:rPr>
        <w:fldChar w:fldCharType="begin"/>
      </w:r>
      <w:r w:rsidR="00336C31" w:rsidRPr="00666B27">
        <w:rPr>
          <w:szCs w:val="20"/>
          <w:lang w:val="en-GB"/>
        </w:rPr>
        <w:instrText xml:space="preserve"> REF _Ref536691457 \h </w:instrText>
      </w:r>
      <w:r w:rsidR="00336C31" w:rsidRPr="0057545E">
        <w:rPr>
          <w:szCs w:val="20"/>
          <w:lang w:val="en-GB"/>
        </w:rPr>
      </w:r>
      <w:r w:rsidR="00336C31" w:rsidRPr="0057545E">
        <w:rPr>
          <w:szCs w:val="20"/>
          <w:lang w:val="en-GB"/>
        </w:rPr>
        <w:fldChar w:fldCharType="separate"/>
      </w:r>
      <w:r w:rsidR="00336C31" w:rsidRPr="0057545E">
        <w:rPr>
          <w:rFonts w:ascii="Arial" w:hAnsi="Arial" w:cs="Arial"/>
          <w:b/>
          <w:color w:val="2E74B5"/>
          <w:sz w:val="18"/>
          <w:lang w:val="en-GB"/>
        </w:rPr>
        <w:t xml:space="preserve">Box </w:t>
      </w:r>
      <w:r w:rsidR="00336C31" w:rsidRPr="0057545E">
        <w:rPr>
          <w:rFonts w:ascii="Arial" w:hAnsi="Arial" w:cs="Arial"/>
          <w:b/>
          <w:noProof/>
          <w:color w:val="2E74B5"/>
          <w:sz w:val="18"/>
          <w:lang w:val="en-GB"/>
        </w:rPr>
        <w:t>4</w:t>
      </w:r>
      <w:r w:rsidR="00336C31" w:rsidRPr="0057545E">
        <w:rPr>
          <w:szCs w:val="20"/>
          <w:lang w:val="en-GB"/>
        </w:rPr>
        <w:fldChar w:fldCharType="end"/>
      </w:r>
      <w:r w:rsidR="00336C31" w:rsidRPr="0057545E">
        <w:rPr>
          <w:szCs w:val="20"/>
          <w:lang w:val="en-GB"/>
        </w:rPr>
        <w:t>). The incremental reasoning forms the basis for the definition of the Project’s outcomes and outputs that are presented in the next Section.</w:t>
      </w:r>
    </w:p>
    <w:p w:rsidR="00BF31B5" w:rsidRPr="003B7D62" w:rsidRDefault="00BF31B5" w:rsidP="00633324">
      <w:pPr>
        <w:spacing w:after="0"/>
        <w:rPr>
          <w:rStyle w:val="Hyperlink"/>
          <w:color w:val="auto"/>
          <w:szCs w:val="20"/>
          <w:u w:val="none"/>
          <w:lang w:val="en-GB"/>
        </w:rPr>
      </w:pPr>
    </w:p>
    <w:p w:rsidR="00DA3BB0" w:rsidRPr="0057545E" w:rsidRDefault="003A2690">
      <w:pPr>
        <w:spacing w:after="0"/>
        <w:jc w:val="left"/>
        <w:rPr>
          <w:szCs w:val="20"/>
          <w:lang w:val="en-GB"/>
        </w:rPr>
      </w:pPr>
      <w:r>
        <w:rPr>
          <w:noProof/>
        </w:rPr>
        <mc:AlternateContent>
          <mc:Choice Requires="wps">
            <w:drawing>
              <wp:anchor distT="45720" distB="45720" distL="114300" distR="114300" simplePos="0" relativeHeight="251656192" behindDoc="0" locked="0" layoutInCell="1" allowOverlap="1">
                <wp:simplePos x="0" y="0"/>
                <wp:positionH relativeFrom="margin">
                  <wp:align>center</wp:align>
                </wp:positionH>
                <wp:positionV relativeFrom="page">
                  <wp:posOffset>3322320</wp:posOffset>
                </wp:positionV>
                <wp:extent cx="6972300" cy="5506720"/>
                <wp:effectExtent l="0" t="0" r="0" b="0"/>
                <wp:wrapTopAndBottom/>
                <wp:docPr id="8339"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72300" cy="55067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40FEA" w:rsidRDefault="00540FEA" w:rsidP="00DA3BB0">
                            <w:pPr>
                              <w:pStyle w:val="Caption"/>
                              <w:rPr>
                                <w:rFonts w:ascii="Arial" w:hAnsi="Arial" w:cs="Arial"/>
                                <w:color w:val="2E74B5"/>
                                <w:sz w:val="18"/>
                              </w:rPr>
                            </w:pPr>
                            <w:bookmarkStart w:id="48" w:name="_Ref495690365"/>
                            <w:bookmarkStart w:id="49" w:name="_Hlk536689929"/>
                            <w:bookmarkStart w:id="50" w:name="_Toc17982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5</w:t>
                            </w:r>
                            <w:r w:rsidRPr="00A21E05">
                              <w:rPr>
                                <w:rFonts w:ascii="Arial" w:hAnsi="Arial" w:cs="Arial"/>
                                <w:color w:val="2E74B5"/>
                                <w:sz w:val="18"/>
                              </w:rPr>
                              <w:fldChar w:fldCharType="end"/>
                            </w:r>
                            <w:bookmarkEnd w:id="48"/>
                            <w:r>
                              <w:rPr>
                                <w:rFonts w:ascii="Arial" w:hAnsi="Arial" w:cs="Arial"/>
                                <w:color w:val="2E74B5"/>
                                <w:sz w:val="18"/>
                              </w:rPr>
                              <w:tab/>
                              <w:t xml:space="preserve">Theory </w:t>
                            </w:r>
                            <w:bookmarkEnd w:id="49"/>
                            <w:r>
                              <w:rPr>
                                <w:rFonts w:ascii="Arial" w:hAnsi="Arial" w:cs="Arial"/>
                                <w:color w:val="2E74B5"/>
                                <w:sz w:val="18"/>
                              </w:rPr>
                              <w:t>of change: pathway from outcomes to impacts</w:t>
                            </w:r>
                            <w:bookmarkEnd w:id="50"/>
                          </w:p>
                          <w:p w:rsidR="00540FEA" w:rsidRPr="00DA3BB0" w:rsidRDefault="00540FEA" w:rsidP="00DA3BB0"/>
                          <w:p w:rsidR="00540FEA" w:rsidRDefault="00540FEA" w:rsidP="00DA3BB0">
                            <w:r>
                              <w:object w:dxaOrig="12433" w:dyaOrig="81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533.4pt;height:351.15pt" o:ole="">
                                  <v:imagedata r:id="rId54" o:title=""/>
                                </v:shape>
                                <o:OLEObject Type="Embed" ProgID="Visio.Drawing.15" ShapeID="_x0000_i1026" DrawAspect="Content" ObjectID="_1641123697" r:id="rId55"/>
                              </w:object>
                            </w:r>
                          </w:p>
                          <w:p w:rsidR="00540FEA" w:rsidRDefault="00540FEA" w:rsidP="00DA3BB0">
                            <w:pPr>
                              <w:tabs>
                                <w:tab w:val="left" w:pos="851"/>
                                <w:tab w:val="left" w:pos="3261"/>
                                <w:tab w:val="left" w:pos="5103"/>
                                <w:tab w:val="left" w:pos="7371"/>
                              </w:tabs>
                              <w:rPr>
                                <w:noProof/>
                                <w:sz w:val="18"/>
                              </w:rPr>
                            </w:pPr>
                            <w:r>
                              <w:rPr>
                                <w:noProof/>
                              </w:rPr>
                              <w:tab/>
                            </w:r>
                            <w:r w:rsidRPr="00BB7D7B">
                              <w:rPr>
                                <w:noProof/>
                                <w:sz w:val="18"/>
                              </w:rPr>
                              <w:t>challenge/cause/barrier</w:t>
                            </w:r>
                            <w:r w:rsidRPr="00BB7D7B">
                              <w:rPr>
                                <w:noProof/>
                                <w:sz w:val="18"/>
                              </w:rPr>
                              <w:tab/>
                              <w:t xml:space="preserve">GEF project result </w:t>
                            </w:r>
                            <w:r>
                              <w:rPr>
                                <w:noProof/>
                                <w:sz w:val="18"/>
                              </w:rPr>
                              <w:tab/>
                            </w:r>
                            <w:r w:rsidRPr="00BB7D7B">
                              <w:rPr>
                                <w:noProof/>
                                <w:sz w:val="18"/>
                              </w:rPr>
                              <w:t>progress towards impact</w:t>
                            </w:r>
                            <w:r>
                              <w:rPr>
                                <w:noProof/>
                                <w:sz w:val="18"/>
                              </w:rPr>
                              <w:tab/>
                              <w:t>impact</w:t>
                            </w:r>
                            <w:r>
                              <w:rPr>
                                <w:noProof/>
                                <w:sz w:val="18"/>
                              </w:rPr>
                              <w:tab/>
                            </w:r>
                            <w:r>
                              <w:rPr>
                                <w:noProof/>
                                <w:sz w:val="18"/>
                              </w:rPr>
                              <w:tab/>
                              <w:t>influence/link</w:t>
                            </w:r>
                          </w:p>
                          <w:p w:rsidR="00540FEA" w:rsidRPr="00BB7D7B" w:rsidRDefault="00540FEA" w:rsidP="00633324">
                            <w:pPr>
                              <w:tabs>
                                <w:tab w:val="left" w:pos="851"/>
                                <w:tab w:val="left" w:pos="3261"/>
                                <w:tab w:val="left" w:pos="5103"/>
                                <w:tab w:val="left" w:pos="7371"/>
                              </w:tabs>
                              <w:ind w:left="1418"/>
                              <w:rPr>
                                <w:noProof/>
                                <w:sz w:val="18"/>
                              </w:rPr>
                            </w:pPr>
                            <w:r w:rsidRPr="00F737AD">
                              <w:rPr>
                                <w:noProof/>
                                <w:sz w:val="18"/>
                              </w:rPr>
                              <w:drawing>
                                <wp:inline distT="0" distB="0" distL="0" distR="0">
                                  <wp:extent cx="5140960" cy="264160"/>
                                  <wp:effectExtent l="0" t="0" r="0" b="0"/>
                                  <wp:docPr id="1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140960" cy="26416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6" o:spid="_x0000_s1027" type="#_x0000_t202" style="position:absolute;margin-left:0;margin-top:261.6pt;width:549pt;height:433.6pt;z-index:251656192;visibility:visible;mso-wrap-style:square;mso-width-percent:0;mso-height-percent:0;mso-wrap-distance-left:9pt;mso-wrap-distance-top:3.6pt;mso-wrap-distance-right:9pt;mso-wrap-distance-bottom:3.6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6pQjiQIAABs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" stroked="f">
                <v:textbox>
                  <w:txbxContent>
                    <w:p w:rsidR="00540FEA" w:rsidRDefault="00540FEA" w:rsidP="00DA3BB0">
                      <w:pPr>
                        <w:pStyle w:val="Caption"/>
                        <w:rPr>
                          <w:rFonts w:ascii="Arial" w:hAnsi="Arial" w:cs="Arial"/>
                          <w:color w:val="2E74B5"/>
                          <w:sz w:val="18"/>
                        </w:rPr>
                      </w:pPr>
                      <w:bookmarkStart w:id="50" w:name="_Ref495690365"/>
                      <w:bookmarkStart w:id="51" w:name="_Hlk536689929"/>
                      <w:bookmarkStart w:id="52" w:name="_Toc17982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5</w:t>
                      </w:r>
                      <w:r w:rsidRPr="00A21E05">
                        <w:rPr>
                          <w:rFonts w:ascii="Arial" w:hAnsi="Arial" w:cs="Arial"/>
                          <w:color w:val="2E74B5"/>
                          <w:sz w:val="18"/>
                        </w:rPr>
                        <w:fldChar w:fldCharType="end"/>
                      </w:r>
                      <w:bookmarkEnd w:id="50"/>
                      <w:r>
                        <w:rPr>
                          <w:rFonts w:ascii="Arial" w:hAnsi="Arial" w:cs="Arial"/>
                          <w:color w:val="2E74B5"/>
                          <w:sz w:val="18"/>
                        </w:rPr>
                        <w:tab/>
                        <w:t xml:space="preserve">Theory </w:t>
                      </w:r>
                      <w:bookmarkEnd w:id="51"/>
                      <w:r>
                        <w:rPr>
                          <w:rFonts w:ascii="Arial" w:hAnsi="Arial" w:cs="Arial"/>
                          <w:color w:val="2E74B5"/>
                          <w:sz w:val="18"/>
                        </w:rPr>
                        <w:t>of change: pathway from outcomes to impacts</w:t>
                      </w:r>
                      <w:bookmarkEnd w:id="52"/>
                    </w:p>
                    <w:p w:rsidR="00540FEA" w:rsidRPr="00DA3BB0" w:rsidRDefault="00540FEA" w:rsidP="00DA3BB0"/>
                    <w:p w:rsidR="00540FEA" w:rsidRDefault="00540FEA" w:rsidP="00DA3BB0">
                      <w:r>
                        <w:object w:dxaOrig="12433" w:dyaOrig="8185">
                          <v:shape id="_x0000_i1026" type="#_x0000_t75" style="width:533.4pt;height:351.15pt" o:ole="">
                            <v:imagedata r:id="rId57" o:title=""/>
                          </v:shape>
                          <o:OLEObject Type="Embed" ProgID="Visio.Drawing.15" ShapeID="_x0000_i1026" DrawAspect="Content" ObjectID="_1637756602" r:id="rId58"/>
                        </w:object>
                      </w:r>
                    </w:p>
                    <w:p w:rsidR="00540FEA" w:rsidRDefault="00540FEA" w:rsidP="00DA3BB0">
                      <w:pPr>
                        <w:tabs>
                          <w:tab w:val="left" w:pos="851"/>
                          <w:tab w:val="left" w:pos="3261"/>
                          <w:tab w:val="left" w:pos="5103"/>
                          <w:tab w:val="left" w:pos="7371"/>
                        </w:tabs>
                        <w:rPr>
                          <w:noProof/>
                          <w:sz w:val="18"/>
                        </w:rPr>
                      </w:pPr>
                      <w:r>
                        <w:rPr>
                          <w:noProof/>
                        </w:rPr>
                        <w:tab/>
                      </w:r>
                      <w:r w:rsidRPr="00BB7D7B">
                        <w:rPr>
                          <w:noProof/>
                          <w:sz w:val="18"/>
                        </w:rPr>
                        <w:t>challenge/cause/barrier</w:t>
                      </w:r>
                      <w:r w:rsidRPr="00BB7D7B">
                        <w:rPr>
                          <w:noProof/>
                          <w:sz w:val="18"/>
                        </w:rPr>
                        <w:tab/>
                        <w:t xml:space="preserve">GEF project result </w:t>
                      </w:r>
                      <w:r>
                        <w:rPr>
                          <w:noProof/>
                          <w:sz w:val="18"/>
                        </w:rPr>
                        <w:tab/>
                      </w:r>
                      <w:r w:rsidRPr="00BB7D7B">
                        <w:rPr>
                          <w:noProof/>
                          <w:sz w:val="18"/>
                        </w:rPr>
                        <w:t>progress towards impact</w:t>
                      </w:r>
                      <w:r>
                        <w:rPr>
                          <w:noProof/>
                          <w:sz w:val="18"/>
                        </w:rPr>
                        <w:tab/>
                        <w:t>impact</w:t>
                      </w:r>
                      <w:r>
                        <w:rPr>
                          <w:noProof/>
                          <w:sz w:val="18"/>
                        </w:rPr>
                        <w:tab/>
                      </w:r>
                      <w:r>
                        <w:rPr>
                          <w:noProof/>
                          <w:sz w:val="18"/>
                        </w:rPr>
                        <w:tab/>
                        <w:t>influence/link</w:t>
                      </w:r>
                    </w:p>
                    <w:p w:rsidR="00540FEA" w:rsidRPr="00BB7D7B" w:rsidRDefault="00540FEA" w:rsidP="00633324">
                      <w:pPr>
                        <w:tabs>
                          <w:tab w:val="left" w:pos="851"/>
                          <w:tab w:val="left" w:pos="3261"/>
                          <w:tab w:val="left" w:pos="5103"/>
                          <w:tab w:val="left" w:pos="7371"/>
                        </w:tabs>
                        <w:ind w:left="1418"/>
                        <w:rPr>
                          <w:noProof/>
                          <w:sz w:val="18"/>
                        </w:rPr>
                      </w:pPr>
                      <w:r w:rsidRPr="00F737AD">
                        <w:rPr>
                          <w:noProof/>
                          <w:sz w:val="18"/>
                        </w:rPr>
                        <w:drawing>
                          <wp:inline distT="0" distB="0" distL="0" distR="0">
                            <wp:extent cx="5140960" cy="264160"/>
                            <wp:effectExtent l="0" t="0" r="0" b="0"/>
                            <wp:docPr id="1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140960" cy="264160"/>
                                    </a:xfrm>
                                    <a:prstGeom prst="rect">
                                      <a:avLst/>
                                    </a:prstGeom>
                                    <a:noFill/>
                                    <a:ln>
                                      <a:noFill/>
                                    </a:ln>
                                  </pic:spPr>
                                </pic:pic>
                              </a:graphicData>
                            </a:graphic>
                          </wp:inline>
                        </w:drawing>
                      </w:r>
                    </w:p>
                  </w:txbxContent>
                </v:textbox>
                <w10:wrap type="topAndBottom" anchorx="margin" anchory="page"/>
              </v:shape>
            </w:pict>
          </mc:Fallback>
        </mc:AlternateContent>
      </w:r>
      <w:r w:rsidR="00DA3BB0" w:rsidRPr="0057545E">
        <w:rPr>
          <w:szCs w:val="20"/>
          <w:lang w:val="en-GB"/>
        </w:rPr>
        <w:br w:type="page"/>
      </w:r>
    </w:p>
    <w:p w:rsidR="00DA3BB0" w:rsidRPr="0057545E" w:rsidRDefault="00633324" w:rsidP="007B0FE7">
      <w:pPr>
        <w:tabs>
          <w:tab w:val="left" w:pos="0"/>
        </w:tabs>
        <w:spacing w:after="0"/>
        <w:rPr>
          <w:rFonts w:ascii="Arial" w:hAnsi="Arial" w:cs="Arial"/>
          <w:b/>
          <w:color w:val="2E74B5"/>
          <w:sz w:val="18"/>
          <w:lang w:val="en-GB"/>
        </w:rPr>
      </w:pPr>
      <w:bookmarkStart w:id="51" w:name="_Ref536691834"/>
      <w:bookmarkStart w:id="52" w:name="_Toc179830"/>
      <w:bookmarkStart w:id="53" w:name="_Hlk379857"/>
      <w:r w:rsidRPr="0057545E">
        <w:rPr>
          <w:rFonts w:ascii="Arial" w:hAnsi="Arial" w:cs="Arial"/>
          <w:b/>
          <w:color w:val="2E74B5"/>
          <w:sz w:val="18"/>
          <w:lang w:val="en-GB"/>
        </w:rPr>
        <w:lastRenderedPageBreak/>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00BF31B5" w:rsidRPr="0057545E">
        <w:rPr>
          <w:rFonts w:ascii="Arial" w:hAnsi="Arial" w:cs="Arial"/>
          <w:b/>
          <w:noProof/>
          <w:color w:val="2E74B5"/>
          <w:sz w:val="18"/>
          <w:lang w:val="en-GB"/>
        </w:rPr>
        <w:t>6</w:t>
      </w:r>
      <w:r w:rsidRPr="0057545E">
        <w:rPr>
          <w:rFonts w:ascii="Arial" w:hAnsi="Arial" w:cs="Arial"/>
          <w:b/>
          <w:color w:val="2E74B5"/>
          <w:sz w:val="18"/>
          <w:lang w:val="en-GB"/>
        </w:rPr>
        <w:fldChar w:fldCharType="end"/>
      </w:r>
      <w:bookmarkEnd w:id="51"/>
      <w:r w:rsidRPr="0057545E">
        <w:rPr>
          <w:rFonts w:ascii="Arial" w:hAnsi="Arial" w:cs="Arial"/>
          <w:b/>
          <w:color w:val="2E74B5"/>
          <w:sz w:val="18"/>
          <w:lang w:val="en-GB"/>
        </w:rPr>
        <w:tab/>
      </w:r>
      <w:r w:rsidR="001A2BD5" w:rsidRPr="0057545E">
        <w:rPr>
          <w:rFonts w:ascii="Arial" w:hAnsi="Arial" w:cs="Arial"/>
          <w:b/>
          <w:color w:val="2E74B5"/>
          <w:sz w:val="18"/>
          <w:lang w:val="en-GB"/>
        </w:rPr>
        <w:t>Proposed incremental activities that address barriers while supplementing baseline activities</w:t>
      </w:r>
      <w:bookmarkEnd w:id="52"/>
    </w:p>
    <w:bookmarkEnd w:id="53"/>
    <w:p w:rsidR="001A2BD5" w:rsidRPr="00353542" w:rsidRDefault="001A2BD5" w:rsidP="007B0FE7">
      <w:pPr>
        <w:tabs>
          <w:tab w:val="left" w:pos="0"/>
        </w:tabs>
        <w:spacing w:after="0"/>
        <w:rPr>
          <w:b/>
          <w:szCs w:val="20"/>
          <w:lang w:val="en-GB"/>
        </w:rPr>
      </w:pPr>
    </w:p>
    <w:p w:rsidR="001A2BD5" w:rsidRPr="008E26A0" w:rsidRDefault="001A2BD5" w:rsidP="007B0FE7">
      <w:pPr>
        <w:tabs>
          <w:tab w:val="left" w:pos="0"/>
        </w:tabs>
        <w:spacing w:after="0"/>
        <w:rPr>
          <w:b/>
          <w:szCs w:val="20"/>
          <w:lang w:val="en-GB"/>
        </w:rPr>
      </w:pPr>
      <w:r w:rsidRPr="003B7D62">
        <w:rPr>
          <w:b/>
          <w:szCs w:val="20"/>
          <w:lang w:val="en-GB"/>
        </w:rPr>
        <w:t>Planning and regulations</w:t>
      </w:r>
    </w:p>
    <w:p w:rsidR="001A2BD5" w:rsidRPr="004722F0" w:rsidRDefault="001A2BD5" w:rsidP="007B0FE7">
      <w:pPr>
        <w:tabs>
          <w:tab w:val="left" w:pos="0"/>
        </w:tabs>
        <w:spacing w:after="0"/>
        <w:rPr>
          <w:b/>
          <w:szCs w:val="20"/>
          <w:lang w:val="en-GB"/>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62"/>
        <w:gridCol w:w="5147"/>
      </w:tblGrid>
      <w:tr w:rsidR="001A2BD5" w:rsidRPr="0057545E" w:rsidTr="00F737AD">
        <w:tc>
          <w:tcPr>
            <w:tcW w:w="10109" w:type="dxa"/>
            <w:gridSpan w:val="2"/>
            <w:shd w:val="clear" w:color="auto" w:fill="auto"/>
          </w:tcPr>
          <w:p w:rsidR="001A2BD5" w:rsidRPr="00F737AD" w:rsidRDefault="001A2BD5" w:rsidP="00F737AD">
            <w:pPr>
              <w:spacing w:after="0"/>
              <w:jc w:val="left"/>
              <w:rPr>
                <w:rFonts w:cs="Calibri"/>
                <w:b/>
                <w:sz w:val="19"/>
                <w:szCs w:val="19"/>
                <w:lang w:val="en-GB" w:eastAsia="en-GB"/>
              </w:rPr>
            </w:pPr>
            <w:r w:rsidRPr="00F737AD">
              <w:rPr>
                <w:rFonts w:cs="Calibri"/>
                <w:b/>
                <w:sz w:val="19"/>
                <w:szCs w:val="19"/>
                <w:lang w:val="en-GB" w:eastAsia="en-GB"/>
              </w:rPr>
              <w:t>Barriers</w:t>
            </w:r>
          </w:p>
          <w:p w:rsidR="001A2BD5" w:rsidRPr="00F737AD" w:rsidRDefault="001A2BD5" w:rsidP="00F737AD">
            <w:pPr>
              <w:pStyle w:val="ListParagraph"/>
              <w:numPr>
                <w:ilvl w:val="0"/>
                <w:numId w:val="47"/>
              </w:numPr>
              <w:ind w:left="314" w:hanging="314"/>
              <w:rPr>
                <w:rFonts w:ascii="Calibri" w:hAnsi="Calibri" w:cs="Calibri"/>
                <w:sz w:val="19"/>
                <w:szCs w:val="19"/>
                <w:lang w:val="en-GB" w:eastAsia="en-GB"/>
              </w:rPr>
            </w:pPr>
            <w:r w:rsidRPr="00F737AD">
              <w:rPr>
                <w:rFonts w:ascii="Calibri" w:hAnsi="Calibri" w:cs="Calibri"/>
                <w:sz w:val="19"/>
                <w:szCs w:val="19"/>
                <w:lang w:val="en-GB" w:eastAsia="en-GB"/>
              </w:rPr>
              <w:t>Lack of coherent and comprehensive data on energy performance and characteristics of lighting products (lamps) and distribution transformers</w:t>
            </w:r>
          </w:p>
          <w:p w:rsidR="001A2BD5" w:rsidRPr="00F737AD" w:rsidRDefault="001A2BD5" w:rsidP="00F737AD">
            <w:pPr>
              <w:tabs>
                <w:tab w:val="left" w:pos="318"/>
              </w:tabs>
              <w:spacing w:after="0"/>
              <w:ind w:left="318" w:hanging="318"/>
              <w:jc w:val="left"/>
              <w:rPr>
                <w:rFonts w:cs="Calibri"/>
                <w:sz w:val="19"/>
                <w:szCs w:val="19"/>
                <w:lang w:val="en-GB" w:eastAsia="en-GB"/>
              </w:rPr>
            </w:pPr>
            <w:r w:rsidRPr="00F737AD">
              <w:rPr>
                <w:rFonts w:cs="Calibri"/>
                <w:sz w:val="19"/>
                <w:szCs w:val="19"/>
                <w:lang w:val="en-GB" w:eastAsia="en-GB"/>
              </w:rPr>
              <w:t>•</w:t>
            </w:r>
            <w:r w:rsidRPr="00F737AD">
              <w:rPr>
                <w:rFonts w:cs="Calibri"/>
                <w:sz w:val="19"/>
                <w:szCs w:val="19"/>
                <w:lang w:val="en-GB" w:eastAsia="en-GB"/>
              </w:rPr>
              <w:tab/>
              <w:t xml:space="preserve">Limited planning and regulatory instruments (S&amp;L, and (mandatory) standards and/or </w:t>
            </w:r>
            <w:r w:rsidRPr="00F737AD">
              <w:rPr>
                <w:rFonts w:cs="Calibri"/>
                <w:noProof/>
                <w:sz w:val="19"/>
                <w:szCs w:val="19"/>
                <w:lang w:val="en-GB" w:eastAsia="en-GB"/>
              </w:rPr>
              <w:t>labelling</w:t>
            </w:r>
            <w:r w:rsidRPr="00F737AD">
              <w:rPr>
                <w:rFonts w:cs="Calibri"/>
                <w:sz w:val="19"/>
                <w:szCs w:val="19"/>
                <w:lang w:val="en-GB" w:eastAsia="en-GB"/>
              </w:rPr>
              <w:t xml:space="preserve"> system in particular</w:t>
            </w:r>
          </w:p>
        </w:tc>
      </w:tr>
      <w:tr w:rsidR="001A2BD5" w:rsidRPr="0057545E" w:rsidTr="00F737AD">
        <w:tc>
          <w:tcPr>
            <w:tcW w:w="4962" w:type="dxa"/>
            <w:shd w:val="clear" w:color="auto" w:fill="auto"/>
          </w:tcPr>
          <w:p w:rsidR="001A2BD5" w:rsidRPr="00F737AD" w:rsidRDefault="001A2BD5" w:rsidP="00F737AD">
            <w:pPr>
              <w:spacing w:after="0"/>
              <w:jc w:val="left"/>
              <w:rPr>
                <w:rFonts w:eastAsia="Calibri" w:cs="Calibri"/>
                <w:b/>
                <w:sz w:val="19"/>
                <w:szCs w:val="19"/>
                <w:lang w:val="en-GB"/>
              </w:rPr>
            </w:pPr>
            <w:r w:rsidRPr="00F737AD">
              <w:rPr>
                <w:rFonts w:eastAsia="Calibri" w:cs="Calibri"/>
                <w:b/>
                <w:sz w:val="19"/>
                <w:szCs w:val="19"/>
                <w:lang w:val="en-GB"/>
              </w:rPr>
              <w:t>Baseline activities</w:t>
            </w:r>
          </w:p>
          <w:p w:rsidR="001A2BD5" w:rsidRPr="00F737AD" w:rsidRDefault="00773D9D" w:rsidP="00F737AD">
            <w:pPr>
              <w:numPr>
                <w:ilvl w:val="0"/>
                <w:numId w:val="46"/>
              </w:numPr>
              <w:spacing w:after="0"/>
              <w:ind w:left="314" w:hanging="284"/>
              <w:jc w:val="left"/>
              <w:rPr>
                <w:rFonts w:cs="Calibri"/>
                <w:sz w:val="19"/>
                <w:szCs w:val="19"/>
                <w:lang w:val="en-GB" w:eastAsia="en-GB"/>
              </w:rPr>
            </w:pPr>
            <w:r w:rsidRPr="00F737AD">
              <w:rPr>
                <w:rFonts w:eastAsia="Calibri" w:cs="Calibri"/>
                <w:sz w:val="19"/>
                <w:szCs w:val="19"/>
                <w:lang w:val="en-GB"/>
              </w:rPr>
              <w:t xml:space="preserve">The UNDP/GEF project on energy efficiency standards and labelling (EE S&amp;L) in South Africa is developing a mandatory product registration database for appliances which must comply with MEPS (VC 9006 and 9008) to be managed by the NRCS. </w:t>
            </w:r>
            <w:r w:rsidR="001A2BD5" w:rsidRPr="00F737AD">
              <w:rPr>
                <w:rFonts w:eastAsia="Calibri" w:cs="Calibri"/>
                <w:sz w:val="19"/>
                <w:szCs w:val="19"/>
                <w:lang w:val="en-GB"/>
              </w:rPr>
              <w:t>The Project will build on this activity and work together to expand the database with information on lighting products and distribution transformers</w:t>
            </w:r>
          </w:p>
          <w:p w:rsidR="001A2BD5" w:rsidRPr="00F737AD" w:rsidRDefault="001A2BD5"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For household appliances, mandatory </w:t>
            </w:r>
            <w:r w:rsidRPr="00F737AD">
              <w:rPr>
                <w:rFonts w:cs="Calibri"/>
                <w:noProof/>
                <w:sz w:val="19"/>
                <w:szCs w:val="19"/>
                <w:lang w:val="en-GB" w:eastAsia="en-GB"/>
              </w:rPr>
              <w:t>labelling</w:t>
            </w:r>
            <w:r w:rsidRPr="00F737AD">
              <w:rPr>
                <w:rFonts w:cs="Calibri"/>
                <w:sz w:val="19"/>
                <w:szCs w:val="19"/>
                <w:lang w:val="en-GB" w:eastAsia="en-GB"/>
              </w:rPr>
              <w:t xml:space="preserve"> is already in place, and minimum energy performance standards (MEPS) have been introduced or are proposed for most of the major categories of appliances, as described in detail in the baseline report of Annex E.  DTI/DoE have published </w:t>
            </w:r>
            <w:r w:rsidRPr="00F737AD">
              <w:rPr>
                <w:rFonts w:cs="Calibri"/>
                <w:i/>
                <w:sz w:val="19"/>
                <w:szCs w:val="19"/>
                <w:lang w:val="en-GB" w:eastAsia="en-GB"/>
              </w:rPr>
              <w:t>A guide for energy efficiency labelling</w:t>
            </w:r>
            <w:r w:rsidRPr="00F737AD">
              <w:rPr>
                <w:rFonts w:cs="Calibri"/>
                <w:sz w:val="19"/>
                <w:szCs w:val="19"/>
                <w:lang w:val="en-GB" w:eastAsia="en-GB"/>
              </w:rPr>
              <w:t>, that provides the basis for the voluntary labelling system in South Africa of electric appliances.</w:t>
            </w:r>
          </w:p>
          <w:p w:rsidR="001A2BD5" w:rsidRPr="00F737AD" w:rsidRDefault="001A2BD5"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The UNDP/GEF EE S&amp;L Project is supporting DOE to undertake the following activities during 2018-19:</w:t>
            </w:r>
          </w:p>
          <w:p w:rsidR="001A2BD5" w:rsidRPr="00F737AD" w:rsidRDefault="001A2BD5" w:rsidP="00F737AD">
            <w:pPr>
              <w:numPr>
                <w:ilvl w:val="0"/>
                <w:numId w:val="50"/>
              </w:numPr>
              <w:spacing w:after="0"/>
              <w:ind w:left="594" w:hanging="284"/>
              <w:jc w:val="left"/>
              <w:rPr>
                <w:rFonts w:cs="Calibri"/>
                <w:sz w:val="19"/>
                <w:szCs w:val="19"/>
                <w:lang w:val="en-GB" w:eastAsia="en-GB"/>
              </w:rPr>
            </w:pPr>
            <w:r w:rsidRPr="00F737AD">
              <w:rPr>
                <w:rFonts w:cs="Calibri"/>
                <w:noProof/>
                <w:sz w:val="19"/>
                <w:szCs w:val="19"/>
                <w:lang w:val="en-GB" w:eastAsia="en-GB"/>
              </w:rPr>
              <w:t>Currently</w:t>
            </w:r>
            <w:r w:rsidR="00E236DA" w:rsidRPr="00F737AD">
              <w:rPr>
                <w:rFonts w:cs="Calibri"/>
                <w:noProof/>
                <w:sz w:val="19"/>
                <w:szCs w:val="19"/>
                <w:lang w:val="en-GB" w:eastAsia="en-GB"/>
              </w:rPr>
              <w:t>,</w:t>
            </w:r>
            <w:r w:rsidRPr="00F737AD">
              <w:rPr>
                <w:rFonts w:cs="Calibri"/>
                <w:sz w:val="19"/>
                <w:szCs w:val="19"/>
                <w:lang w:val="en-GB" w:eastAsia="en-GB"/>
              </w:rPr>
              <w:t xml:space="preserve"> there are two voluntary standards (safety and performance) in place for self-ballasted </w:t>
            </w:r>
            <w:proofErr w:type="gramStart"/>
            <w:r w:rsidRPr="00F737AD">
              <w:rPr>
                <w:rFonts w:cs="Calibri"/>
                <w:sz w:val="19"/>
                <w:szCs w:val="19"/>
                <w:lang w:val="en-GB" w:eastAsia="en-GB"/>
              </w:rPr>
              <w:t>LEDs.</w:t>
            </w:r>
            <w:r w:rsidR="00704E1C" w:rsidRPr="00F737AD">
              <w:rPr>
                <w:rFonts w:cs="Calibri"/>
                <w:sz w:val="19"/>
                <w:szCs w:val="19"/>
                <w:lang w:val="en-GB" w:eastAsia="en-GB"/>
              </w:rPr>
              <w:t>.</w:t>
            </w:r>
            <w:proofErr w:type="gramEnd"/>
            <w:r w:rsidR="00704E1C" w:rsidRPr="00F737AD">
              <w:rPr>
                <w:rFonts w:cs="Calibri"/>
                <w:sz w:val="19"/>
                <w:szCs w:val="19"/>
                <w:lang w:val="en-GB" w:eastAsia="en-GB"/>
              </w:rPr>
              <w:t xml:space="preserve"> </w:t>
            </w:r>
            <w:r w:rsidRPr="00F737AD">
              <w:rPr>
                <w:rFonts w:cs="Calibri"/>
                <w:sz w:val="19"/>
                <w:szCs w:val="19"/>
                <w:lang w:val="en-GB" w:eastAsia="en-GB"/>
              </w:rPr>
              <w:t>Neither cover energy performance requirements</w:t>
            </w:r>
            <w:r w:rsidR="00704E1C" w:rsidRPr="00F737AD">
              <w:rPr>
                <w:rFonts w:cs="Calibri"/>
                <w:sz w:val="19"/>
                <w:szCs w:val="19"/>
                <w:lang w:val="en-GB" w:eastAsia="en-GB"/>
              </w:rPr>
              <w:t>.</w:t>
            </w:r>
          </w:p>
          <w:p w:rsidR="001A2BD5" w:rsidRPr="00F737AD" w:rsidRDefault="001A2BD5" w:rsidP="00F737AD">
            <w:pPr>
              <w:numPr>
                <w:ilvl w:val="0"/>
                <w:numId w:val="50"/>
              </w:numPr>
              <w:spacing w:after="0"/>
              <w:ind w:left="594" w:hanging="284"/>
              <w:jc w:val="left"/>
              <w:rPr>
                <w:rFonts w:cs="Calibri"/>
                <w:sz w:val="19"/>
                <w:szCs w:val="19"/>
                <w:lang w:val="en-GB" w:eastAsia="en-GB"/>
              </w:rPr>
            </w:pPr>
            <w:r w:rsidRPr="00F737AD">
              <w:rPr>
                <w:rFonts w:cs="Calibri"/>
                <w:sz w:val="19"/>
                <w:szCs w:val="19"/>
                <w:lang w:val="en-GB" w:eastAsia="en-GB"/>
              </w:rPr>
              <w:t xml:space="preserve">Introduction of </w:t>
            </w:r>
            <w:r w:rsidRPr="00F737AD">
              <w:rPr>
                <w:rFonts w:cs="Calibri"/>
                <w:noProof/>
                <w:sz w:val="19"/>
                <w:szCs w:val="19"/>
                <w:lang w:val="en-GB" w:eastAsia="en-GB"/>
              </w:rPr>
              <w:t>information</w:t>
            </w:r>
            <w:r w:rsidRPr="00F737AD">
              <w:rPr>
                <w:rFonts w:cs="Calibri"/>
                <w:sz w:val="19"/>
                <w:szCs w:val="19"/>
                <w:lang w:val="en-GB" w:eastAsia="en-GB"/>
              </w:rPr>
              <w:t xml:space="preserve"> and/or endorsement label as additional info to the customer alongside the existing energy label</w:t>
            </w:r>
          </w:p>
          <w:p w:rsidR="001A2BD5" w:rsidRPr="00F737AD" w:rsidRDefault="001A2BD5" w:rsidP="00F737AD">
            <w:pPr>
              <w:numPr>
                <w:ilvl w:val="0"/>
                <w:numId w:val="50"/>
              </w:numPr>
              <w:spacing w:after="0"/>
              <w:ind w:left="594" w:hanging="284"/>
              <w:jc w:val="left"/>
              <w:rPr>
                <w:rFonts w:cs="Calibri"/>
                <w:sz w:val="19"/>
                <w:szCs w:val="19"/>
                <w:lang w:val="en-GB" w:eastAsia="en-GB"/>
              </w:rPr>
            </w:pPr>
            <w:r w:rsidRPr="00F737AD">
              <w:rPr>
                <w:rFonts w:cs="Calibri"/>
                <w:sz w:val="19"/>
                <w:szCs w:val="19"/>
                <w:lang w:val="en-GB" w:eastAsia="en-GB"/>
              </w:rPr>
              <w:t>Info support (</w:t>
            </w:r>
            <w:r w:rsidR="00773D9D" w:rsidRPr="00F737AD">
              <w:rPr>
                <w:rFonts w:cs="Calibri"/>
                <w:sz w:val="19"/>
                <w:szCs w:val="19"/>
                <w:lang w:val="en-GB" w:eastAsia="en-GB"/>
              </w:rPr>
              <w:t>national aw</w:t>
            </w:r>
            <w:r w:rsidR="00704E1C" w:rsidRPr="00F737AD">
              <w:rPr>
                <w:rFonts w:cs="Calibri"/>
                <w:sz w:val="19"/>
                <w:szCs w:val="19"/>
                <w:lang w:val="en-GB" w:eastAsia="en-GB"/>
              </w:rPr>
              <w:t>areness w</w:t>
            </w:r>
            <w:r w:rsidRPr="00F737AD">
              <w:rPr>
                <w:rFonts w:cs="Calibri"/>
                <w:sz w:val="19"/>
                <w:szCs w:val="19"/>
                <w:lang w:val="en-GB" w:eastAsia="en-GB"/>
              </w:rPr>
              <w:t>ebsite; guideline and training material)</w:t>
            </w:r>
          </w:p>
          <w:p w:rsidR="001A2BD5" w:rsidRPr="00F737AD" w:rsidRDefault="001A2BD5" w:rsidP="00F737AD">
            <w:pPr>
              <w:numPr>
                <w:ilvl w:val="0"/>
                <w:numId w:val="48"/>
              </w:numPr>
              <w:spacing w:after="0"/>
              <w:ind w:left="310" w:hanging="283"/>
              <w:jc w:val="left"/>
              <w:rPr>
                <w:rFonts w:cs="Calibri"/>
                <w:sz w:val="19"/>
                <w:szCs w:val="19"/>
                <w:lang w:val="en-GB" w:eastAsia="en-GB"/>
              </w:rPr>
            </w:pPr>
            <w:r w:rsidRPr="00F737AD">
              <w:rPr>
                <w:rFonts w:cs="Calibri"/>
                <w:sz w:val="19"/>
                <w:szCs w:val="19"/>
                <w:lang w:val="en-GB" w:eastAsia="en-GB"/>
              </w:rPr>
              <w:t>The UNDP/GEF S&amp;L project is supporting the capacity enhancement for appliance energy performance testing of selected laboratories as part of the MVE system. A few labs have obtained SANAS accreditation as a photometric test facility.</w:t>
            </w:r>
          </w:p>
          <w:p w:rsidR="001A2BD5" w:rsidRPr="00F737AD" w:rsidRDefault="001A2BD5" w:rsidP="00F737AD">
            <w:pPr>
              <w:spacing w:after="0"/>
              <w:jc w:val="left"/>
              <w:rPr>
                <w:sz w:val="19"/>
                <w:szCs w:val="19"/>
                <w:lang w:val="en-GB"/>
              </w:rPr>
            </w:pPr>
          </w:p>
        </w:tc>
        <w:tc>
          <w:tcPr>
            <w:tcW w:w="5147" w:type="dxa"/>
            <w:shd w:val="clear" w:color="auto" w:fill="auto"/>
          </w:tcPr>
          <w:p w:rsidR="001A2BD5" w:rsidRPr="00F737AD" w:rsidRDefault="001A2BD5" w:rsidP="00F737AD">
            <w:pPr>
              <w:spacing w:after="0"/>
              <w:jc w:val="left"/>
              <w:rPr>
                <w:rFonts w:eastAsia="Calibri" w:cs="Calibri"/>
                <w:b/>
                <w:sz w:val="19"/>
                <w:szCs w:val="19"/>
                <w:lang w:val="en-GB"/>
              </w:rPr>
            </w:pPr>
            <w:r w:rsidRPr="00F737AD">
              <w:rPr>
                <w:rFonts w:eastAsia="Calibri" w:cs="Calibri"/>
                <w:b/>
                <w:sz w:val="19"/>
                <w:szCs w:val="19"/>
                <w:lang w:val="en-GB"/>
              </w:rPr>
              <w:t>Incremental reasoning:</w:t>
            </w:r>
          </w:p>
          <w:p w:rsidR="001A2BD5" w:rsidRPr="00F737AD" w:rsidRDefault="001A2BD5" w:rsidP="00F737AD">
            <w:pPr>
              <w:numPr>
                <w:ilvl w:val="0"/>
                <w:numId w:val="49"/>
              </w:numPr>
              <w:spacing w:after="0"/>
              <w:ind w:left="310" w:hanging="283"/>
              <w:jc w:val="left"/>
              <w:rPr>
                <w:rFonts w:cs="Calibri"/>
                <w:sz w:val="19"/>
                <w:szCs w:val="19"/>
                <w:lang w:val="en-GB" w:eastAsia="en-GB"/>
              </w:rPr>
            </w:pPr>
            <w:r w:rsidRPr="00F737AD">
              <w:rPr>
                <w:rFonts w:eastAsia="Calibri" w:cs="Calibri"/>
                <w:sz w:val="19"/>
                <w:szCs w:val="19"/>
                <w:lang w:val="en-GB"/>
              </w:rPr>
              <w:t>A comprehensive national-level market baseline across the various lighting subsectors (residential buildings, public buildings, commercial and industrial; street lighting) will provide a snapshot of the products and their suppliers available in a market at a given point in time. This helps policy-makers to have a proper understanding of product availability, performance, pricing and other important factors influencing policy development. The same comprehensive baseline study to distribution transformers (</w:t>
            </w:r>
            <w:r w:rsidRPr="00F737AD">
              <w:rPr>
                <w:rFonts w:eastAsia="Calibri" w:cs="Calibri"/>
                <w:noProof/>
                <w:sz w:val="19"/>
                <w:szCs w:val="19"/>
                <w:lang w:val="en-GB"/>
              </w:rPr>
              <w:t>type</w:t>
            </w:r>
            <w:r w:rsidRPr="00F737AD">
              <w:rPr>
                <w:rFonts w:eastAsia="Calibri" w:cs="Calibri"/>
                <w:sz w:val="19"/>
                <w:szCs w:val="19"/>
                <w:lang w:val="en-GB"/>
              </w:rPr>
              <w:t xml:space="preserve"> of transformer, size in kVA; numbers and capacity installed in Eskom and municipal networks; costs; suppliers)</w:t>
            </w:r>
            <w:r w:rsidRPr="00F737AD">
              <w:rPr>
                <w:rFonts w:cs="Calibri"/>
                <w:sz w:val="19"/>
                <w:szCs w:val="19"/>
                <w:lang w:val="en-GB" w:eastAsia="en-GB"/>
              </w:rPr>
              <w:t xml:space="preserve"> </w:t>
            </w:r>
          </w:p>
          <w:p w:rsidR="001A2BD5" w:rsidRPr="00F737AD" w:rsidRDefault="001A2BD5" w:rsidP="00F737AD">
            <w:pPr>
              <w:numPr>
                <w:ilvl w:val="0"/>
                <w:numId w:val="49"/>
              </w:numPr>
              <w:spacing w:after="0"/>
              <w:ind w:left="310" w:hanging="283"/>
              <w:jc w:val="left"/>
              <w:rPr>
                <w:rFonts w:cs="Calibri"/>
                <w:sz w:val="19"/>
                <w:szCs w:val="19"/>
                <w:lang w:val="en-GB" w:eastAsia="en-GB"/>
              </w:rPr>
            </w:pPr>
            <w:r w:rsidRPr="00F737AD">
              <w:rPr>
                <w:rFonts w:cs="Calibri"/>
                <w:sz w:val="19"/>
                <w:szCs w:val="19"/>
                <w:lang w:val="en-GB" w:eastAsia="en-GB"/>
              </w:rPr>
              <w:t xml:space="preserve">There is </w:t>
            </w:r>
            <w:r w:rsidR="00E236DA" w:rsidRPr="00F737AD">
              <w:rPr>
                <w:rFonts w:cs="Calibri"/>
                <w:sz w:val="19"/>
                <w:szCs w:val="19"/>
                <w:lang w:val="en-GB" w:eastAsia="en-GB"/>
              </w:rPr>
              <w:t xml:space="preserve">a </w:t>
            </w:r>
            <w:r w:rsidRPr="00F737AD">
              <w:rPr>
                <w:rFonts w:cs="Calibri"/>
                <w:noProof/>
                <w:sz w:val="19"/>
                <w:szCs w:val="19"/>
                <w:lang w:val="en-GB" w:eastAsia="en-GB"/>
              </w:rPr>
              <w:t>need</w:t>
            </w:r>
            <w:r w:rsidRPr="00F737AD">
              <w:rPr>
                <w:rFonts w:cs="Calibri"/>
                <w:sz w:val="19"/>
                <w:szCs w:val="19"/>
                <w:lang w:val="en-GB" w:eastAsia="en-GB"/>
              </w:rPr>
              <w:t xml:space="preserve"> to develop and obtain industry agreement on a transparent, easy-to-understand LED </w:t>
            </w:r>
            <w:r w:rsidRPr="00F737AD">
              <w:rPr>
                <w:rFonts w:cs="Calibri"/>
                <w:noProof/>
                <w:sz w:val="19"/>
                <w:szCs w:val="19"/>
                <w:lang w:val="en-GB" w:eastAsia="en-GB"/>
              </w:rPr>
              <w:t>labelling</w:t>
            </w:r>
            <w:r w:rsidRPr="00F737AD">
              <w:rPr>
                <w:rFonts w:cs="Calibri"/>
                <w:sz w:val="19"/>
                <w:szCs w:val="19"/>
                <w:lang w:val="en-GB" w:eastAsia="en-GB"/>
              </w:rPr>
              <w:t xml:space="preserve"> and mandatory MEPS for LED lamps as well.</w:t>
            </w:r>
            <w:r w:rsidRPr="00F737AD">
              <w:rPr>
                <w:rFonts w:cs="Calibri"/>
                <w:sz w:val="19"/>
                <w:szCs w:val="19"/>
                <w:lang w:val="en-GB"/>
              </w:rPr>
              <w:t xml:space="preserve"> Expansion of MEPS to LEDs is greatly needed in order to ensure that consumers remain confident in the large savings potential that they offer. </w:t>
            </w:r>
            <w:r w:rsidRPr="00F737AD">
              <w:rPr>
                <w:rFonts w:cs="Calibri"/>
                <w:sz w:val="19"/>
                <w:szCs w:val="19"/>
                <w:lang w:val="en-GB" w:eastAsia="en-GB"/>
              </w:rPr>
              <w:t xml:space="preserve">If MEPS and clear </w:t>
            </w:r>
            <w:r w:rsidRPr="00F737AD">
              <w:rPr>
                <w:rFonts w:cs="Calibri"/>
                <w:noProof/>
                <w:sz w:val="19"/>
                <w:szCs w:val="19"/>
                <w:lang w:val="en-GB" w:eastAsia="en-GB"/>
              </w:rPr>
              <w:t>labelling</w:t>
            </w:r>
            <w:r w:rsidRPr="00F737AD">
              <w:rPr>
                <w:rFonts w:cs="Calibri"/>
                <w:sz w:val="19"/>
                <w:szCs w:val="19"/>
                <w:lang w:val="en-GB" w:eastAsia="en-GB"/>
              </w:rPr>
              <w:t xml:space="preserve"> are not implemented for LEDs, it is likely that poorly-performing products will continue to enter the market, while without labels consumers will continue to be misinformed on price-performance-energy consumption</w:t>
            </w:r>
          </w:p>
          <w:p w:rsidR="001A2BD5" w:rsidRPr="00F737AD" w:rsidRDefault="001A2BD5"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Although the government has initiated the process towards S&amp;L of LEDs, it </w:t>
            </w:r>
            <w:r w:rsidR="00D856AB" w:rsidRPr="00F737AD">
              <w:rPr>
                <w:rFonts w:cs="Calibri"/>
                <w:sz w:val="19"/>
                <w:szCs w:val="19"/>
                <w:lang w:val="en-GB" w:eastAsia="en-GB"/>
              </w:rPr>
              <w:t>may take</w:t>
            </w:r>
            <w:r w:rsidRPr="00F737AD">
              <w:rPr>
                <w:rFonts w:cs="Calibri"/>
                <w:sz w:val="19"/>
                <w:szCs w:val="19"/>
                <w:lang w:val="en-GB" w:eastAsia="en-GB"/>
              </w:rPr>
              <w:t xml:space="preserve"> a long time to get agreement and to implement legislation and S&amp;L for LEDs</w:t>
            </w:r>
            <w:r w:rsidR="00D856AB" w:rsidRPr="00F737AD">
              <w:rPr>
                <w:rFonts w:cs="Calibri"/>
                <w:sz w:val="19"/>
                <w:szCs w:val="19"/>
                <w:lang w:val="en-GB" w:eastAsia="en-GB"/>
              </w:rPr>
              <w:t>. S</w:t>
            </w:r>
            <w:r w:rsidRPr="00F737AD">
              <w:rPr>
                <w:rFonts w:cs="Calibri"/>
                <w:sz w:val="19"/>
                <w:szCs w:val="19"/>
                <w:lang w:val="en-GB" w:eastAsia="en-GB"/>
              </w:rPr>
              <w:t>upport by the proposed Project will speed up the process (</w:t>
            </w:r>
            <w:r w:rsidR="00D856AB" w:rsidRPr="00F737AD">
              <w:rPr>
                <w:rFonts w:cs="Calibri"/>
                <w:sz w:val="19"/>
                <w:szCs w:val="19"/>
                <w:lang w:val="en-GB" w:eastAsia="en-GB"/>
              </w:rPr>
              <w:t xml:space="preserve">e.g., through </w:t>
            </w:r>
            <w:r w:rsidRPr="00F737AD">
              <w:rPr>
                <w:rFonts w:cs="Calibri"/>
                <w:sz w:val="19"/>
                <w:szCs w:val="19"/>
                <w:lang w:val="en-GB" w:eastAsia="en-GB"/>
              </w:rPr>
              <w:t>information dissemination, public-private sector meetings, workshops, technical studies</w:t>
            </w:r>
            <w:r w:rsidR="00D856AB" w:rsidRPr="00F737AD">
              <w:rPr>
                <w:rFonts w:cs="Calibri"/>
                <w:sz w:val="19"/>
                <w:szCs w:val="19"/>
                <w:lang w:val="en-GB" w:eastAsia="en-GB"/>
              </w:rPr>
              <w:t>, coordination meetings</w:t>
            </w:r>
            <w:r w:rsidRPr="00F737AD">
              <w:rPr>
                <w:rFonts w:cs="Calibri"/>
                <w:sz w:val="19"/>
                <w:szCs w:val="19"/>
                <w:lang w:val="en-GB" w:eastAsia="en-GB"/>
              </w:rPr>
              <w:t>).</w:t>
            </w:r>
          </w:p>
          <w:p w:rsidR="001A2BD5" w:rsidRPr="00F737AD" w:rsidRDefault="001A2BD5" w:rsidP="00F737AD">
            <w:pPr>
              <w:numPr>
                <w:ilvl w:val="0"/>
                <w:numId w:val="46"/>
              </w:numPr>
              <w:spacing w:after="0"/>
              <w:ind w:left="310" w:hanging="283"/>
              <w:jc w:val="left"/>
              <w:rPr>
                <w:rFonts w:cs="Calibri"/>
                <w:sz w:val="19"/>
                <w:szCs w:val="19"/>
                <w:lang w:val="en-GB" w:eastAsia="en-GB"/>
              </w:rPr>
            </w:pPr>
            <w:r w:rsidRPr="00F737AD">
              <w:rPr>
                <w:rFonts w:cs="Calibri"/>
                <w:sz w:val="19"/>
                <w:szCs w:val="19"/>
                <w:lang w:val="en-GB" w:eastAsia="en-GB"/>
              </w:rPr>
              <w:t xml:space="preserve">Expanding SANS 780 with international-level no-load and load loss specifications and adherence to the improved standard will help the country in reducing energy losses in its power distribution system. </w:t>
            </w:r>
          </w:p>
          <w:p w:rsidR="001A2BD5" w:rsidRPr="00F737AD" w:rsidRDefault="001A2BD5"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Having a well-functioning MVE system is crucial for the effectiveness of a mandatory MEPS or labels regime for lighting and transformers.  Elements of such </w:t>
            </w:r>
            <w:r w:rsidRPr="00F737AD">
              <w:rPr>
                <w:rFonts w:cs="Calibri"/>
                <w:noProof/>
                <w:sz w:val="19"/>
                <w:szCs w:val="19"/>
                <w:lang w:val="en-GB" w:eastAsia="en-GB"/>
              </w:rPr>
              <w:t>a MVE</w:t>
            </w:r>
            <w:r w:rsidRPr="00F737AD">
              <w:rPr>
                <w:rFonts w:cs="Calibri"/>
                <w:sz w:val="19"/>
                <w:szCs w:val="19"/>
                <w:lang w:val="en-GB" w:eastAsia="en-GB"/>
              </w:rPr>
              <w:t xml:space="preserve"> system are a) pre-certification and product registry systems, b) verification and testing), c) market monitoring, and d) enforcement.  </w:t>
            </w:r>
          </w:p>
          <w:p w:rsidR="001A2BD5" w:rsidRPr="00F737AD" w:rsidRDefault="001A2BD5"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Public procurement for infrastructure and buildings </w:t>
            </w:r>
            <w:proofErr w:type="gramStart"/>
            <w:r w:rsidRPr="00F737AD">
              <w:rPr>
                <w:rFonts w:cs="Calibri"/>
                <w:sz w:val="19"/>
                <w:szCs w:val="19"/>
                <w:lang w:val="en-GB" w:eastAsia="en-GB"/>
              </w:rPr>
              <w:t>has to</w:t>
            </w:r>
            <w:proofErr w:type="gramEnd"/>
            <w:r w:rsidRPr="00F737AD">
              <w:rPr>
                <w:rFonts w:cs="Calibri"/>
                <w:sz w:val="19"/>
                <w:szCs w:val="19"/>
                <w:lang w:val="en-GB" w:eastAsia="en-GB"/>
              </w:rPr>
              <w:t xml:space="preserve"> include lifecycle investment and operating cost considerations</w:t>
            </w:r>
            <w:r w:rsidR="007D1C69" w:rsidRPr="00F737AD">
              <w:rPr>
                <w:rFonts w:cs="Calibri"/>
                <w:sz w:val="19"/>
                <w:szCs w:val="19"/>
                <w:lang w:val="en-GB" w:eastAsia="en-GB"/>
              </w:rPr>
              <w:t>.</w:t>
            </w:r>
          </w:p>
        </w:tc>
      </w:tr>
    </w:tbl>
    <w:p w:rsidR="001A2BD5" w:rsidRPr="0057545E" w:rsidRDefault="001A2BD5" w:rsidP="007B0FE7">
      <w:pPr>
        <w:tabs>
          <w:tab w:val="left" w:pos="0"/>
        </w:tabs>
        <w:spacing w:after="0"/>
        <w:rPr>
          <w:b/>
          <w:sz w:val="19"/>
          <w:szCs w:val="19"/>
          <w:lang w:val="en-GB"/>
        </w:rPr>
      </w:pPr>
    </w:p>
    <w:p w:rsidR="001A2BD5" w:rsidRPr="00353542" w:rsidRDefault="001A2BD5" w:rsidP="007B0FE7">
      <w:pPr>
        <w:tabs>
          <w:tab w:val="left" w:pos="0"/>
        </w:tabs>
        <w:spacing w:after="0"/>
        <w:rPr>
          <w:b/>
          <w:sz w:val="19"/>
          <w:szCs w:val="19"/>
          <w:lang w:val="en-GB"/>
        </w:rPr>
      </w:pPr>
    </w:p>
    <w:p w:rsidR="001A2BD5" w:rsidRPr="003B7D62" w:rsidRDefault="001A2BD5" w:rsidP="007B0FE7">
      <w:pPr>
        <w:tabs>
          <w:tab w:val="left" w:pos="0"/>
        </w:tabs>
        <w:spacing w:after="0"/>
        <w:rPr>
          <w:b/>
          <w:sz w:val="19"/>
          <w:szCs w:val="19"/>
          <w:lang w:val="en-GB"/>
        </w:rPr>
      </w:pPr>
    </w:p>
    <w:p w:rsidR="001A2BD5" w:rsidRPr="004722F0" w:rsidRDefault="001A2BD5" w:rsidP="007B0FE7">
      <w:pPr>
        <w:tabs>
          <w:tab w:val="left" w:pos="0"/>
        </w:tabs>
        <w:spacing w:after="0"/>
        <w:rPr>
          <w:b/>
          <w:sz w:val="19"/>
          <w:szCs w:val="19"/>
          <w:lang w:val="en-GB"/>
        </w:rPr>
      </w:pPr>
    </w:p>
    <w:p w:rsidR="001A2BD5" w:rsidRPr="00666B27" w:rsidRDefault="001A2BD5" w:rsidP="007B0FE7">
      <w:pPr>
        <w:tabs>
          <w:tab w:val="left" w:pos="0"/>
        </w:tabs>
        <w:spacing w:after="0"/>
        <w:rPr>
          <w:b/>
          <w:sz w:val="19"/>
          <w:szCs w:val="19"/>
          <w:lang w:val="en-GB"/>
        </w:rPr>
      </w:pPr>
    </w:p>
    <w:p w:rsidR="001A2BD5" w:rsidRPr="00666B27" w:rsidRDefault="001A2BD5" w:rsidP="007B0FE7">
      <w:pPr>
        <w:tabs>
          <w:tab w:val="left" w:pos="0"/>
        </w:tabs>
        <w:spacing w:after="0"/>
        <w:rPr>
          <w:b/>
          <w:sz w:val="19"/>
          <w:szCs w:val="19"/>
          <w:lang w:val="en-GB"/>
        </w:rPr>
      </w:pPr>
    </w:p>
    <w:p w:rsidR="001A2BD5" w:rsidRPr="00666B27" w:rsidRDefault="001A2BD5" w:rsidP="007B0FE7">
      <w:pPr>
        <w:tabs>
          <w:tab w:val="left" w:pos="0"/>
        </w:tabs>
        <w:spacing w:after="0"/>
        <w:rPr>
          <w:b/>
          <w:sz w:val="19"/>
          <w:szCs w:val="19"/>
          <w:lang w:val="en-GB"/>
        </w:rPr>
      </w:pPr>
      <w:r w:rsidRPr="00666B27">
        <w:rPr>
          <w:b/>
          <w:sz w:val="19"/>
          <w:szCs w:val="19"/>
          <w:lang w:val="en-GB"/>
        </w:rPr>
        <w:lastRenderedPageBreak/>
        <w:t xml:space="preserve">Municipalities, ESCOs </w:t>
      </w:r>
      <w:r w:rsidRPr="00666B27">
        <w:rPr>
          <w:b/>
          <w:noProof/>
          <w:sz w:val="19"/>
          <w:szCs w:val="19"/>
          <w:lang w:val="en-GB"/>
        </w:rPr>
        <w:t>and</w:t>
      </w:r>
      <w:r w:rsidRPr="00666B27">
        <w:rPr>
          <w:b/>
          <w:sz w:val="19"/>
          <w:szCs w:val="19"/>
          <w:lang w:val="en-GB"/>
        </w:rPr>
        <w:t xml:space="preserve"> financing</w:t>
      </w:r>
    </w:p>
    <w:p w:rsidR="001A2BD5" w:rsidRPr="00666B27" w:rsidRDefault="001A2BD5" w:rsidP="007B0FE7">
      <w:pPr>
        <w:tabs>
          <w:tab w:val="left" w:pos="0"/>
        </w:tabs>
        <w:spacing w:after="0"/>
        <w:rPr>
          <w:b/>
          <w:sz w:val="19"/>
          <w:szCs w:val="19"/>
          <w:lang w:val="en-GB"/>
        </w:rPr>
      </w:pP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6565"/>
      </w:tblGrid>
      <w:tr w:rsidR="001A2BD5" w:rsidRPr="0057545E" w:rsidTr="00F737AD">
        <w:tc>
          <w:tcPr>
            <w:tcW w:w="10109" w:type="dxa"/>
            <w:gridSpan w:val="2"/>
            <w:shd w:val="clear" w:color="auto" w:fill="auto"/>
          </w:tcPr>
          <w:p w:rsidR="001A2BD5" w:rsidRPr="00F737AD" w:rsidRDefault="001A2BD5" w:rsidP="00F737AD">
            <w:pPr>
              <w:spacing w:after="0"/>
              <w:jc w:val="left"/>
              <w:rPr>
                <w:rFonts w:cs="Calibri"/>
                <w:b/>
                <w:sz w:val="19"/>
                <w:szCs w:val="19"/>
                <w:lang w:val="en-GB" w:eastAsia="en-GB"/>
              </w:rPr>
            </w:pPr>
            <w:r w:rsidRPr="00F737AD">
              <w:rPr>
                <w:rFonts w:cs="Calibri"/>
                <w:b/>
                <w:sz w:val="19"/>
                <w:szCs w:val="19"/>
                <w:lang w:val="en-GB" w:eastAsia="en-GB"/>
              </w:rPr>
              <w:t>Barriers</w:t>
            </w:r>
          </w:p>
          <w:p w:rsidR="001A2BD5" w:rsidRPr="00F737AD" w:rsidRDefault="001A2BD5" w:rsidP="00F737AD">
            <w:pPr>
              <w:numPr>
                <w:ilvl w:val="0"/>
                <w:numId w:val="47"/>
              </w:numPr>
              <w:spacing w:after="0"/>
              <w:ind w:left="318" w:hanging="318"/>
              <w:jc w:val="left"/>
              <w:rPr>
                <w:rFonts w:cs="Calibri"/>
                <w:sz w:val="19"/>
                <w:szCs w:val="19"/>
                <w:lang w:val="en-GB" w:eastAsia="en-GB"/>
              </w:rPr>
            </w:pPr>
            <w:r w:rsidRPr="00F737AD">
              <w:rPr>
                <w:rFonts w:cs="Calibri"/>
                <w:sz w:val="19"/>
                <w:szCs w:val="19"/>
                <w:lang w:val="en-GB" w:eastAsia="en-GB"/>
              </w:rPr>
              <w:t xml:space="preserve">Current government (national, municipal) financing alone cannot achieve a full transition towards higher efficiency LED lighting and distribution transformers </w:t>
            </w:r>
          </w:p>
          <w:p w:rsidR="00C046DD" w:rsidRPr="00F737AD" w:rsidRDefault="001A2BD5" w:rsidP="00F737AD">
            <w:pPr>
              <w:tabs>
                <w:tab w:val="left" w:pos="318"/>
              </w:tabs>
              <w:spacing w:after="0"/>
              <w:ind w:left="318" w:hanging="318"/>
              <w:jc w:val="left"/>
              <w:rPr>
                <w:rFonts w:cs="Calibri"/>
                <w:sz w:val="19"/>
                <w:szCs w:val="19"/>
                <w:lang w:val="en-GB" w:eastAsia="en-GB"/>
              </w:rPr>
            </w:pPr>
            <w:r w:rsidRPr="00F737AD">
              <w:rPr>
                <w:rFonts w:cs="Calibri"/>
                <w:sz w:val="19"/>
                <w:szCs w:val="19"/>
                <w:lang w:val="en-GB" w:eastAsia="en-GB"/>
              </w:rPr>
              <w:t>•</w:t>
            </w:r>
            <w:r w:rsidRPr="00F737AD">
              <w:rPr>
                <w:rFonts w:cs="Calibri"/>
                <w:sz w:val="19"/>
                <w:szCs w:val="19"/>
                <w:lang w:val="en-GB" w:eastAsia="en-GB"/>
              </w:rPr>
              <w:tab/>
            </w:r>
            <w:r w:rsidRPr="00F737AD">
              <w:rPr>
                <w:rFonts w:cs="Calibri"/>
                <w:noProof/>
                <w:sz w:val="19"/>
                <w:szCs w:val="19"/>
                <w:lang w:val="en-GB" w:eastAsia="en-GB"/>
              </w:rPr>
              <w:t>Under-resource</w:t>
            </w:r>
            <w:r w:rsidR="00704E1C" w:rsidRPr="00F737AD">
              <w:rPr>
                <w:rFonts w:cs="Calibri"/>
                <w:sz w:val="19"/>
                <w:szCs w:val="19"/>
                <w:lang w:val="en-GB" w:eastAsia="en-GB"/>
              </w:rPr>
              <w:t xml:space="preserve">d </w:t>
            </w:r>
            <w:r w:rsidRPr="00F737AD">
              <w:rPr>
                <w:rFonts w:cs="Calibri"/>
                <w:sz w:val="19"/>
                <w:szCs w:val="19"/>
                <w:lang w:val="en-GB" w:eastAsia="en-GB"/>
              </w:rPr>
              <w:t>municipalities do not have the resources (skilled staff, or financial) to prepare municipal EE strategies or sound and bankable EE investment plans with while regulatory frameworks are lacking</w:t>
            </w:r>
          </w:p>
          <w:p w:rsidR="00C046DD" w:rsidRPr="00F737AD" w:rsidRDefault="00C046DD" w:rsidP="00F737AD">
            <w:pPr>
              <w:pStyle w:val="ListParagraph"/>
              <w:numPr>
                <w:ilvl w:val="0"/>
                <w:numId w:val="47"/>
              </w:numPr>
              <w:tabs>
                <w:tab w:val="left" w:pos="318"/>
              </w:tabs>
              <w:ind w:hanging="690"/>
              <w:rPr>
                <w:rFonts w:ascii="Calibri" w:hAnsi="Calibri" w:cs="Calibri"/>
                <w:sz w:val="19"/>
                <w:szCs w:val="19"/>
                <w:lang w:val="en-GB" w:eastAsia="en-GB"/>
              </w:rPr>
            </w:pPr>
            <w:r w:rsidRPr="00F737AD">
              <w:rPr>
                <w:rFonts w:ascii="Calibri" w:hAnsi="Calibri" w:cs="Calibri"/>
                <w:sz w:val="19"/>
                <w:szCs w:val="19"/>
                <w:lang w:val="en-GB" w:eastAsia="en-GB"/>
              </w:rPr>
              <w:t>Lacking regulatory frameworks on the financial accounting of ESCO contracts.</w:t>
            </w:r>
          </w:p>
        </w:tc>
      </w:tr>
      <w:tr w:rsidR="001A2BD5" w:rsidRPr="0057545E" w:rsidTr="00F737AD">
        <w:tc>
          <w:tcPr>
            <w:tcW w:w="3544" w:type="dxa"/>
            <w:shd w:val="clear" w:color="auto" w:fill="auto"/>
          </w:tcPr>
          <w:p w:rsidR="001A2BD5" w:rsidRPr="00F737AD" w:rsidRDefault="001A2BD5" w:rsidP="00F737AD">
            <w:pPr>
              <w:spacing w:after="0"/>
              <w:jc w:val="left"/>
              <w:rPr>
                <w:rFonts w:eastAsia="Calibri" w:cs="Calibri"/>
                <w:b/>
                <w:sz w:val="19"/>
                <w:szCs w:val="19"/>
                <w:lang w:val="en-GB"/>
              </w:rPr>
            </w:pPr>
            <w:r w:rsidRPr="00F737AD">
              <w:rPr>
                <w:rFonts w:eastAsia="Calibri" w:cs="Calibri"/>
                <w:b/>
                <w:sz w:val="19"/>
                <w:szCs w:val="19"/>
                <w:lang w:val="en-GB"/>
              </w:rPr>
              <w:t>Baseline activities</w:t>
            </w:r>
          </w:p>
          <w:p w:rsidR="007D1C69" w:rsidRPr="00F737AD" w:rsidRDefault="001A2BD5" w:rsidP="00F737AD">
            <w:pPr>
              <w:numPr>
                <w:ilvl w:val="0"/>
                <w:numId w:val="52"/>
              </w:numPr>
              <w:spacing w:after="0"/>
              <w:ind w:left="313" w:hanging="284"/>
              <w:jc w:val="left"/>
              <w:rPr>
                <w:rFonts w:eastAsia="Calibri" w:cs="Calibri"/>
                <w:b/>
                <w:sz w:val="19"/>
                <w:szCs w:val="19"/>
                <w:lang w:val="en-GB"/>
              </w:rPr>
            </w:pPr>
            <w:r w:rsidRPr="00F737AD">
              <w:rPr>
                <w:rFonts w:cs="Calibri"/>
                <w:sz w:val="19"/>
                <w:szCs w:val="19"/>
                <w:lang w:val="en-GB"/>
              </w:rPr>
              <w:t xml:space="preserve">The V-NAMA project being developed by GIZ since 2011 is expected to </w:t>
            </w:r>
            <w:r w:rsidR="007D1C69" w:rsidRPr="00F737AD">
              <w:rPr>
                <w:rFonts w:cs="Calibri"/>
                <w:sz w:val="19"/>
                <w:szCs w:val="19"/>
                <w:lang w:val="en-GB"/>
              </w:rPr>
              <w:t xml:space="preserve">be </w:t>
            </w:r>
            <w:r w:rsidRPr="00F737AD">
              <w:rPr>
                <w:rFonts w:cs="Calibri"/>
                <w:sz w:val="19"/>
                <w:szCs w:val="19"/>
                <w:lang w:val="en-GB"/>
              </w:rPr>
              <w:t>relaunch</w:t>
            </w:r>
            <w:r w:rsidR="007D1C69" w:rsidRPr="00F737AD">
              <w:rPr>
                <w:rFonts w:cs="Calibri"/>
                <w:sz w:val="19"/>
                <w:szCs w:val="19"/>
                <w:lang w:val="en-GB"/>
              </w:rPr>
              <w:t>ed</w:t>
            </w:r>
            <w:r w:rsidRPr="00F737AD">
              <w:rPr>
                <w:rFonts w:cs="Calibri"/>
                <w:sz w:val="19"/>
                <w:szCs w:val="19"/>
                <w:lang w:val="en-GB"/>
              </w:rPr>
              <w:t xml:space="preserve"> in 2019, providing technical assistance for project development and a risk- guarantee mechanism for the financing of ESCOs. The total funding for the program is EUR </w:t>
            </w:r>
            <w:r w:rsidR="007D1C69" w:rsidRPr="00F737AD">
              <w:rPr>
                <w:rFonts w:cs="Calibri"/>
                <w:sz w:val="19"/>
                <w:szCs w:val="19"/>
                <w:lang w:val="en-GB"/>
              </w:rPr>
              <w:t xml:space="preserve">20 million, of which part will </w:t>
            </w:r>
            <w:r w:rsidRPr="00F737AD">
              <w:rPr>
                <w:rFonts w:cs="Calibri"/>
                <w:sz w:val="19"/>
                <w:szCs w:val="19"/>
                <w:lang w:val="en-GB"/>
              </w:rPr>
              <w:t>be used to provide risk guarantees</w:t>
            </w:r>
            <w:r w:rsidR="007D1C69" w:rsidRPr="00F737AD">
              <w:rPr>
                <w:rFonts w:cs="Calibri"/>
                <w:sz w:val="19"/>
                <w:szCs w:val="19"/>
                <w:lang w:val="en-GB"/>
              </w:rPr>
              <w:t>.</w:t>
            </w:r>
            <w:r w:rsidR="00C046DD">
              <w:t xml:space="preserve"> </w:t>
            </w:r>
            <w:r w:rsidR="00C046DD" w:rsidRPr="00F737AD">
              <w:rPr>
                <w:rFonts w:cs="Calibri"/>
                <w:sz w:val="19"/>
                <w:szCs w:val="19"/>
                <w:lang w:val="en-GB"/>
              </w:rPr>
              <w:t>On the request of the DoE, EEFI funding will also be available to support ESCOs under a similar modality.</w:t>
            </w:r>
          </w:p>
          <w:p w:rsidR="001A2BD5" w:rsidRPr="00F737AD" w:rsidRDefault="001A2BD5" w:rsidP="00F737AD">
            <w:pPr>
              <w:numPr>
                <w:ilvl w:val="0"/>
                <w:numId w:val="52"/>
              </w:numPr>
              <w:spacing w:after="0"/>
              <w:ind w:left="313" w:hanging="284"/>
              <w:jc w:val="left"/>
              <w:rPr>
                <w:rFonts w:eastAsia="Calibri" w:cs="Calibri"/>
                <w:b/>
                <w:sz w:val="19"/>
                <w:szCs w:val="19"/>
                <w:lang w:val="en-GB"/>
              </w:rPr>
            </w:pPr>
            <w:r w:rsidRPr="00F737AD">
              <w:rPr>
                <w:rFonts w:cs="Calibri"/>
                <w:sz w:val="19"/>
                <w:szCs w:val="19"/>
                <w:lang w:val="en-GB" w:eastAsia="en-GB"/>
              </w:rPr>
              <w:t>Under DOE’s Municipal EE-DSM (MEEDSM) programme, supported by GIZ</w:t>
            </w:r>
            <w:r w:rsidRPr="00F737AD">
              <w:rPr>
                <w:rFonts w:ascii="Arial" w:hAnsi="Arial"/>
                <w:sz w:val="19"/>
                <w:szCs w:val="19"/>
                <w:vertAlign w:val="superscript"/>
                <w:lang w:val="en-GB" w:eastAsia="en-GB"/>
              </w:rPr>
              <w:footnoteReference w:id="6"/>
            </w:r>
            <w:r w:rsidR="007D1C69" w:rsidRPr="00F737AD">
              <w:rPr>
                <w:rFonts w:cs="Calibri"/>
                <w:sz w:val="19"/>
                <w:szCs w:val="19"/>
                <w:lang w:val="en-GB" w:eastAsia="en-GB"/>
              </w:rPr>
              <w:t xml:space="preserve"> </w:t>
            </w:r>
            <w:r w:rsidRPr="00F737AD">
              <w:rPr>
                <w:rFonts w:cs="Calibri"/>
                <w:sz w:val="19"/>
                <w:szCs w:val="19"/>
                <w:lang w:val="en-GB" w:eastAsia="en-GB"/>
              </w:rPr>
              <w:t xml:space="preserve">selected municipalities </w:t>
            </w:r>
            <w:r w:rsidRPr="00F737AD">
              <w:rPr>
                <w:rFonts w:cs="Calibri"/>
                <w:noProof/>
                <w:sz w:val="19"/>
                <w:szCs w:val="19"/>
                <w:lang w:val="en-GB" w:eastAsia="en-GB"/>
              </w:rPr>
              <w:t>receive</w:t>
            </w:r>
            <w:r w:rsidRPr="00F737AD">
              <w:rPr>
                <w:rFonts w:cs="Calibri"/>
                <w:sz w:val="19"/>
                <w:szCs w:val="19"/>
                <w:lang w:val="en-GB" w:eastAsia="en-GB"/>
              </w:rPr>
              <w:t xml:space="preserve"> grants for the planning and implementation of energy efficient technologies ranging from traffic and street lighting to energy-efficient technologies (incl. lighting) in buildings and water service infrastructure.  By means of Calls for Proposals, municipalities can </w:t>
            </w:r>
            <w:r w:rsidR="007D1C69" w:rsidRPr="00F737AD">
              <w:rPr>
                <w:rFonts w:cs="Calibri"/>
                <w:sz w:val="19"/>
                <w:szCs w:val="19"/>
                <w:lang w:val="en-GB" w:eastAsia="en-GB"/>
              </w:rPr>
              <w:t>submit energy efficiency proposals.</w:t>
            </w:r>
          </w:p>
          <w:p w:rsidR="001A2BD5" w:rsidRPr="00F737AD" w:rsidRDefault="001A2BD5" w:rsidP="00F737AD">
            <w:pPr>
              <w:spacing w:after="0"/>
              <w:jc w:val="left"/>
              <w:rPr>
                <w:sz w:val="19"/>
                <w:szCs w:val="19"/>
                <w:lang w:val="en-GB"/>
              </w:rPr>
            </w:pPr>
          </w:p>
        </w:tc>
        <w:tc>
          <w:tcPr>
            <w:tcW w:w="6565" w:type="dxa"/>
            <w:shd w:val="clear" w:color="auto" w:fill="auto"/>
          </w:tcPr>
          <w:p w:rsidR="001A2BD5" w:rsidRPr="00F737AD" w:rsidRDefault="001A2BD5" w:rsidP="00F737AD">
            <w:pPr>
              <w:spacing w:after="0"/>
              <w:jc w:val="left"/>
              <w:rPr>
                <w:rFonts w:eastAsia="Calibri" w:cs="Calibri"/>
                <w:b/>
                <w:sz w:val="19"/>
                <w:szCs w:val="19"/>
                <w:lang w:val="en-GB"/>
              </w:rPr>
            </w:pPr>
            <w:r w:rsidRPr="00F737AD">
              <w:rPr>
                <w:rFonts w:eastAsia="Calibri" w:cs="Calibri"/>
                <w:b/>
                <w:sz w:val="19"/>
                <w:szCs w:val="19"/>
                <w:lang w:val="en-GB"/>
              </w:rPr>
              <w:t>Incremental reasoning:</w:t>
            </w:r>
          </w:p>
          <w:p w:rsidR="001A2BD5" w:rsidRPr="00F737AD" w:rsidRDefault="001A2BD5" w:rsidP="00F737AD">
            <w:pPr>
              <w:numPr>
                <w:ilvl w:val="0"/>
                <w:numId w:val="52"/>
              </w:numPr>
              <w:spacing w:after="0"/>
              <w:ind w:left="313" w:hanging="313"/>
              <w:jc w:val="left"/>
              <w:rPr>
                <w:rFonts w:cs="Calibri"/>
                <w:sz w:val="19"/>
                <w:szCs w:val="19"/>
                <w:lang w:val="en-GB" w:eastAsia="en-GB"/>
              </w:rPr>
            </w:pPr>
            <w:r w:rsidRPr="00F737AD">
              <w:rPr>
                <w:rFonts w:cs="Calibri"/>
                <w:sz w:val="19"/>
                <w:szCs w:val="19"/>
                <w:lang w:val="en-GB" w:eastAsia="en-GB"/>
              </w:rPr>
              <w:t xml:space="preserve">The </w:t>
            </w:r>
            <w:r w:rsidR="00A80BE9" w:rsidRPr="00F737AD">
              <w:rPr>
                <w:rFonts w:cs="Calibri"/>
                <w:sz w:val="19"/>
                <w:szCs w:val="19"/>
                <w:lang w:val="en-GB" w:eastAsia="en-GB"/>
              </w:rPr>
              <w:t xml:space="preserve">DoE MEEDSM programme will continue with funding of about ZAR 200 million a year (ca. USD 15 million). This level of funding is not enough to cover all the potential demand by municipalities (only about 12% of municipalities receive MEEDSM support each year). </w:t>
            </w:r>
            <w:r w:rsidRPr="00F737AD">
              <w:rPr>
                <w:rFonts w:cs="Calibri"/>
                <w:sz w:val="19"/>
                <w:szCs w:val="19"/>
                <w:lang w:val="en-GB" w:eastAsia="en-GB"/>
              </w:rPr>
              <w:t xml:space="preserve">In fact, larger municipalities with </w:t>
            </w:r>
            <w:proofErr w:type="gramStart"/>
            <w:r w:rsidRPr="00F737AD">
              <w:rPr>
                <w:rFonts w:cs="Calibri"/>
                <w:sz w:val="19"/>
                <w:szCs w:val="19"/>
                <w:lang w:val="en-GB" w:eastAsia="en-GB"/>
              </w:rPr>
              <w:t>sufficient</w:t>
            </w:r>
            <w:proofErr w:type="gramEnd"/>
            <w:r w:rsidRPr="00F737AD">
              <w:rPr>
                <w:rFonts w:cs="Calibri"/>
                <w:sz w:val="19"/>
                <w:szCs w:val="19"/>
                <w:lang w:val="en-GB" w:eastAsia="en-GB"/>
              </w:rPr>
              <w:t xml:space="preserve"> human resources have applied, while many </w:t>
            </w:r>
            <w:r w:rsidRPr="00F737AD">
              <w:rPr>
                <w:rFonts w:cs="Calibri"/>
                <w:noProof/>
                <w:sz w:val="19"/>
                <w:szCs w:val="19"/>
                <w:lang w:val="en-GB" w:eastAsia="en-GB"/>
              </w:rPr>
              <w:t>under-resource</w:t>
            </w:r>
            <w:r w:rsidR="00E236DA" w:rsidRPr="00F737AD">
              <w:rPr>
                <w:rFonts w:cs="Calibri"/>
                <w:noProof/>
                <w:sz w:val="19"/>
                <w:szCs w:val="19"/>
                <w:lang w:val="en-GB" w:eastAsia="en-GB"/>
              </w:rPr>
              <w:t>d</w:t>
            </w:r>
            <w:r w:rsidRPr="00F737AD">
              <w:rPr>
                <w:rFonts w:cs="Calibri"/>
                <w:sz w:val="19"/>
                <w:szCs w:val="19"/>
                <w:lang w:val="en-GB" w:eastAsia="en-GB"/>
              </w:rPr>
              <w:t xml:space="preserve"> municipalities will not have the resources (skilled staff, or financial to hire external expertise) to prepare sound</w:t>
            </w:r>
            <w:r w:rsidR="007D1C69" w:rsidRPr="00F737AD">
              <w:rPr>
                <w:rFonts w:cs="Calibri"/>
                <w:sz w:val="19"/>
                <w:szCs w:val="19"/>
                <w:lang w:val="en-GB" w:eastAsia="en-GB"/>
              </w:rPr>
              <w:t xml:space="preserve"> (bankable)</w:t>
            </w:r>
            <w:r w:rsidRPr="00F737AD">
              <w:rPr>
                <w:rFonts w:cs="Calibri"/>
                <w:sz w:val="19"/>
                <w:szCs w:val="19"/>
                <w:lang w:val="en-GB" w:eastAsia="en-GB"/>
              </w:rPr>
              <w:t xml:space="preserve"> proposals</w:t>
            </w:r>
            <w:r w:rsidRPr="00F737AD">
              <w:rPr>
                <w:rFonts w:ascii="Arial" w:hAnsi="Arial"/>
                <w:sz w:val="19"/>
                <w:szCs w:val="19"/>
                <w:vertAlign w:val="superscript"/>
                <w:lang w:val="en-GB" w:eastAsia="en-GB"/>
              </w:rPr>
              <w:footnoteReference w:id="7"/>
            </w:r>
            <w:r w:rsidRPr="00F737AD">
              <w:rPr>
                <w:rFonts w:cs="Calibri"/>
                <w:sz w:val="19"/>
                <w:szCs w:val="19"/>
                <w:lang w:val="en-GB" w:eastAsia="en-GB"/>
              </w:rPr>
              <w:t>. Municipalities need additional financial support and technical advice (by longer- or shorter-term experts) to develop EE business/action plans (including secondment of staff for a limited period as energy efficiency advisor or expert)</w:t>
            </w:r>
          </w:p>
          <w:p w:rsidR="001A2BD5" w:rsidRPr="00F737AD" w:rsidRDefault="001A2BD5" w:rsidP="00F737AD">
            <w:pPr>
              <w:numPr>
                <w:ilvl w:val="0"/>
                <w:numId w:val="52"/>
              </w:numPr>
              <w:spacing w:after="0"/>
              <w:ind w:left="310" w:hanging="310"/>
              <w:jc w:val="left"/>
              <w:rPr>
                <w:sz w:val="19"/>
                <w:szCs w:val="19"/>
                <w:lang w:val="en-GB"/>
              </w:rPr>
            </w:pPr>
            <w:r w:rsidRPr="00F737AD">
              <w:rPr>
                <w:rFonts w:cs="Calibri"/>
                <w:sz w:val="19"/>
                <w:szCs w:val="19"/>
                <w:lang w:val="en-GB" w:eastAsia="en-GB"/>
              </w:rPr>
              <w:t xml:space="preserve">The funding allocation from all the infrastructure grant programs has resulted in that rural municipalities are accustomed to receiving grant funding for these projects and makes it difficult for non-grant programs to be developed. </w:t>
            </w:r>
            <w:r w:rsidR="00A80BE9" w:rsidRPr="00F737AD">
              <w:rPr>
                <w:rFonts w:cs="Calibri"/>
                <w:sz w:val="19"/>
                <w:szCs w:val="19"/>
                <w:lang w:val="en-GB" w:eastAsia="en-GB"/>
              </w:rPr>
              <w:t>On the other hand, the financially stronger metropolitan municipalities receive relatively little grant funding for these purposes and the presence of competing capital expenditure projects has resulted in a small allocation of municipal budgets for LED lighting and efficient transformers</w:t>
            </w:r>
            <w:r w:rsidRPr="00F737AD">
              <w:rPr>
                <w:rFonts w:cs="Calibri"/>
                <w:sz w:val="19"/>
                <w:szCs w:val="19"/>
                <w:lang w:val="en-GB" w:eastAsia="en-GB"/>
              </w:rPr>
              <w:t>.</w:t>
            </w:r>
            <w:r w:rsidRPr="00F737AD">
              <w:rPr>
                <w:rFonts w:ascii="Times New Roman" w:hAnsi="Times New Roman"/>
                <w:sz w:val="19"/>
                <w:szCs w:val="19"/>
                <w:lang w:val="en-GB"/>
              </w:rPr>
              <w:t xml:space="preserve"> </w:t>
            </w:r>
            <w:r w:rsidRPr="00F737AD">
              <w:rPr>
                <w:rFonts w:cs="Calibri"/>
                <w:sz w:val="19"/>
                <w:szCs w:val="19"/>
                <w:lang w:val="en-GB" w:eastAsia="en-GB"/>
              </w:rPr>
              <w:t xml:space="preserve">Municipalities in South Africa are typically risk-averse and have kept their debt within the limits of what is sustainable for the public finances (particularly the metros). The pure economic benefits of these technologies have not been </w:t>
            </w:r>
            <w:proofErr w:type="gramStart"/>
            <w:r w:rsidRPr="00F737AD">
              <w:rPr>
                <w:rFonts w:cs="Calibri"/>
                <w:sz w:val="19"/>
                <w:szCs w:val="19"/>
                <w:lang w:val="en-GB" w:eastAsia="en-GB"/>
              </w:rPr>
              <w:t>sufficient</w:t>
            </w:r>
            <w:proofErr w:type="gramEnd"/>
            <w:r w:rsidRPr="00F737AD">
              <w:rPr>
                <w:rFonts w:cs="Calibri"/>
                <w:sz w:val="19"/>
                <w:szCs w:val="19"/>
                <w:lang w:val="en-GB" w:eastAsia="en-GB"/>
              </w:rPr>
              <w:t xml:space="preserve"> to be deployed on a mass scale in the South African context. The proposed Project aims to support </w:t>
            </w:r>
            <w:r w:rsidRPr="00F737AD">
              <w:rPr>
                <w:rFonts w:cs="Calibri"/>
                <w:noProof/>
                <w:sz w:val="19"/>
                <w:szCs w:val="19"/>
                <w:lang w:val="en-GB" w:eastAsia="en-GB"/>
              </w:rPr>
              <w:t>approval</w:t>
            </w:r>
            <w:r w:rsidRPr="00F737AD">
              <w:rPr>
                <w:rFonts w:cs="Calibri"/>
                <w:sz w:val="19"/>
                <w:szCs w:val="19"/>
                <w:lang w:val="en-GB" w:eastAsia="en-GB"/>
              </w:rPr>
              <w:t xml:space="preserve"> of these projects in the municipal budget process by two means: a) by stressing the additional benefits of these projects (increased road safety, reduced crime rates, improvement of commercial/tourist districts, improvement on electricity supply, are political selling points for municipal officials); b) encouraging the municipalities to invest in this infrastructure through favourable terms and conditions with blended finance</w:t>
            </w:r>
            <w:r w:rsidR="00A80BE9" w:rsidRPr="00F737AD">
              <w:rPr>
                <w:rFonts w:cs="Calibri"/>
                <w:sz w:val="19"/>
                <w:szCs w:val="19"/>
                <w:lang w:val="en-GB" w:eastAsia="en-GB"/>
              </w:rPr>
              <w:t>. This financial support will be provided by EEFI. Due to the diverse nature of the municipal technical/financial situation, it will provide both partial grant-financing for self-developed projects, and a risk guarantee mechanism for qualifying loans provided to ESCOs.</w:t>
            </w:r>
          </w:p>
        </w:tc>
      </w:tr>
    </w:tbl>
    <w:p w:rsidR="002B734C" w:rsidRPr="0057545E" w:rsidRDefault="002B734C">
      <w:pPr>
        <w:spacing w:after="0"/>
        <w:jc w:val="left"/>
        <w:rPr>
          <w:sz w:val="19"/>
          <w:szCs w:val="19"/>
          <w:lang w:val="en-GB"/>
        </w:rPr>
      </w:pPr>
    </w:p>
    <w:p w:rsidR="00430D4A" w:rsidRPr="003B7D62" w:rsidRDefault="00A80BE9" w:rsidP="00430D4A">
      <w:pPr>
        <w:tabs>
          <w:tab w:val="left" w:pos="0"/>
        </w:tabs>
        <w:spacing w:after="0"/>
        <w:rPr>
          <w:b/>
          <w:sz w:val="19"/>
          <w:szCs w:val="19"/>
          <w:lang w:val="en-GB"/>
        </w:rPr>
      </w:pPr>
      <w:r>
        <w:rPr>
          <w:b/>
          <w:sz w:val="19"/>
          <w:szCs w:val="19"/>
          <w:lang w:val="en-GB"/>
        </w:rPr>
        <w:t>Private sector end-users of lighting</w:t>
      </w:r>
    </w:p>
    <w:p w:rsidR="00430D4A" w:rsidRPr="004722F0" w:rsidRDefault="00430D4A" w:rsidP="00430D4A">
      <w:pPr>
        <w:tabs>
          <w:tab w:val="left" w:pos="0"/>
        </w:tabs>
        <w:spacing w:after="0"/>
        <w:rPr>
          <w:b/>
          <w:sz w:val="19"/>
          <w:szCs w:val="19"/>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32"/>
        <w:gridCol w:w="3730"/>
      </w:tblGrid>
      <w:tr w:rsidR="00430D4A" w:rsidRPr="0057545E" w:rsidTr="00F737AD">
        <w:tc>
          <w:tcPr>
            <w:tcW w:w="9962" w:type="dxa"/>
            <w:gridSpan w:val="2"/>
            <w:shd w:val="clear" w:color="auto" w:fill="auto"/>
          </w:tcPr>
          <w:p w:rsidR="00430D4A" w:rsidRPr="00F737AD" w:rsidRDefault="00430D4A" w:rsidP="00F737AD">
            <w:pPr>
              <w:spacing w:after="0"/>
              <w:jc w:val="left"/>
              <w:rPr>
                <w:rFonts w:cs="Calibri"/>
                <w:b/>
                <w:sz w:val="19"/>
                <w:szCs w:val="19"/>
                <w:lang w:val="en-GB" w:eastAsia="en-GB"/>
              </w:rPr>
            </w:pPr>
            <w:r w:rsidRPr="00F737AD">
              <w:rPr>
                <w:rFonts w:cs="Calibri"/>
                <w:b/>
                <w:sz w:val="19"/>
                <w:szCs w:val="19"/>
                <w:lang w:val="en-GB" w:eastAsia="en-GB"/>
              </w:rPr>
              <w:t>Barriers</w:t>
            </w:r>
          </w:p>
          <w:p w:rsidR="00430D4A" w:rsidRPr="00F737AD" w:rsidRDefault="00430D4A" w:rsidP="00F737AD">
            <w:pPr>
              <w:pStyle w:val="ListParagraph"/>
              <w:numPr>
                <w:ilvl w:val="0"/>
                <w:numId w:val="47"/>
              </w:numPr>
              <w:ind w:left="314" w:hanging="284"/>
              <w:rPr>
                <w:rFonts w:ascii="Calibri" w:hAnsi="Calibri" w:cs="Calibri"/>
                <w:sz w:val="19"/>
                <w:szCs w:val="19"/>
                <w:lang w:val="en-GB" w:eastAsia="en-GB"/>
              </w:rPr>
            </w:pPr>
            <w:r w:rsidRPr="00F737AD">
              <w:rPr>
                <w:rFonts w:ascii="Calibri" w:hAnsi="Calibri" w:cs="Calibri"/>
                <w:sz w:val="19"/>
                <w:szCs w:val="19"/>
                <w:lang w:val="en-GB" w:eastAsia="en-GB"/>
              </w:rPr>
              <w:t>Lack of awareness of and information for residential, and commercial-</w:t>
            </w:r>
            <w:r w:rsidR="005A4077" w:rsidRPr="00F737AD">
              <w:rPr>
                <w:rFonts w:ascii="Calibri" w:hAnsi="Calibri" w:cs="Calibri"/>
                <w:sz w:val="19"/>
                <w:szCs w:val="19"/>
                <w:lang w:val="en-GB" w:eastAsia="en-GB"/>
              </w:rPr>
              <w:t>industrial users</w:t>
            </w:r>
            <w:r w:rsidRPr="00F737AD">
              <w:rPr>
                <w:rFonts w:ascii="Calibri" w:hAnsi="Calibri" w:cs="Calibri"/>
                <w:sz w:val="19"/>
                <w:szCs w:val="19"/>
                <w:lang w:val="en-GB" w:eastAsia="en-GB"/>
              </w:rPr>
              <w:t xml:space="preserve"> on initial and lifetime benefits and costs of lamps and of performance and quality of lamps</w:t>
            </w:r>
          </w:p>
          <w:p w:rsidR="00430D4A" w:rsidRPr="00F737AD" w:rsidRDefault="00430D4A" w:rsidP="00F737AD">
            <w:pPr>
              <w:pStyle w:val="ListParagraph"/>
              <w:numPr>
                <w:ilvl w:val="0"/>
                <w:numId w:val="47"/>
              </w:numPr>
              <w:ind w:left="314" w:hanging="284"/>
              <w:rPr>
                <w:rFonts w:ascii="Calibri" w:hAnsi="Calibri" w:cs="Calibri"/>
                <w:sz w:val="19"/>
                <w:szCs w:val="19"/>
                <w:lang w:val="en-GB" w:eastAsia="en-GB"/>
              </w:rPr>
            </w:pPr>
            <w:r w:rsidRPr="00F737AD">
              <w:rPr>
                <w:rFonts w:ascii="Calibri" w:hAnsi="Calibri" w:cs="Calibri"/>
                <w:sz w:val="19"/>
                <w:szCs w:val="19"/>
                <w:lang w:val="en-GB" w:eastAsia="en-GB"/>
              </w:rPr>
              <w:t>High transaction costs associated with setting up the financing of a relatively small EE projects</w:t>
            </w:r>
          </w:p>
        </w:tc>
      </w:tr>
      <w:tr w:rsidR="00430D4A" w:rsidRPr="0057545E" w:rsidTr="00F737AD">
        <w:tc>
          <w:tcPr>
            <w:tcW w:w="6232" w:type="dxa"/>
            <w:shd w:val="clear" w:color="auto" w:fill="auto"/>
          </w:tcPr>
          <w:p w:rsidR="00CD79A0" w:rsidRPr="00F737AD" w:rsidRDefault="00CD79A0" w:rsidP="00F737AD">
            <w:pPr>
              <w:spacing w:after="0"/>
              <w:jc w:val="left"/>
              <w:rPr>
                <w:rFonts w:cs="Calibri"/>
                <w:b/>
                <w:sz w:val="19"/>
                <w:szCs w:val="19"/>
                <w:lang w:val="en-GB" w:eastAsia="en-GB"/>
              </w:rPr>
            </w:pPr>
            <w:r w:rsidRPr="00F737AD">
              <w:rPr>
                <w:rFonts w:cs="Calibri"/>
                <w:b/>
                <w:sz w:val="19"/>
                <w:szCs w:val="19"/>
                <w:lang w:val="en-GB" w:eastAsia="en-GB"/>
              </w:rPr>
              <w:t>Baseline activities</w:t>
            </w:r>
          </w:p>
          <w:p w:rsidR="00430D4A" w:rsidRPr="00F737AD" w:rsidRDefault="00430D4A" w:rsidP="00F737AD">
            <w:pPr>
              <w:numPr>
                <w:ilvl w:val="0"/>
                <w:numId w:val="46"/>
              </w:numPr>
              <w:spacing w:after="0"/>
              <w:ind w:left="314" w:hanging="284"/>
              <w:jc w:val="left"/>
              <w:rPr>
                <w:rFonts w:cs="Calibri"/>
                <w:sz w:val="19"/>
                <w:szCs w:val="19"/>
                <w:lang w:val="en-GB" w:eastAsia="en-GB"/>
              </w:rPr>
            </w:pPr>
            <w:r w:rsidRPr="00F737AD">
              <w:rPr>
                <w:rFonts w:eastAsia="Calibri" w:cs="Calibri"/>
                <w:sz w:val="19"/>
                <w:szCs w:val="19"/>
                <w:lang w:val="en-GB"/>
              </w:rPr>
              <w:t>The</w:t>
            </w:r>
            <w:r w:rsidRPr="00F737AD">
              <w:rPr>
                <w:rFonts w:cs="Calibri"/>
                <w:sz w:val="19"/>
                <w:szCs w:val="19"/>
                <w:lang w:val="en-GB" w:eastAsia="en-GB"/>
              </w:rPr>
              <w:t xml:space="preserve"> UNDP/GEF EE S&amp;L project has developed and implemented during 2017-2018 a communication campaign towards manufacturers, </w:t>
            </w:r>
            <w:r w:rsidRPr="00F737AD">
              <w:rPr>
                <w:rFonts w:cs="Calibri"/>
                <w:sz w:val="19"/>
                <w:szCs w:val="19"/>
                <w:lang w:val="en-GB" w:eastAsia="en-GB"/>
              </w:rPr>
              <w:lastRenderedPageBreak/>
              <w:t>importers, distributors, retailers</w:t>
            </w:r>
            <w:r w:rsidR="00E236DA" w:rsidRPr="00F737AD">
              <w:rPr>
                <w:rFonts w:cs="Calibri"/>
                <w:sz w:val="19"/>
                <w:szCs w:val="19"/>
                <w:lang w:val="en-GB" w:eastAsia="en-GB"/>
              </w:rPr>
              <w:t>,</w:t>
            </w:r>
            <w:r w:rsidRPr="00F737AD">
              <w:rPr>
                <w:rFonts w:cs="Calibri"/>
                <w:sz w:val="19"/>
                <w:szCs w:val="19"/>
                <w:lang w:val="en-GB" w:eastAsia="en-GB"/>
              </w:rPr>
              <w:t xml:space="preserve"> </w:t>
            </w:r>
            <w:r w:rsidRPr="00F737AD">
              <w:rPr>
                <w:rFonts w:cs="Calibri"/>
                <w:noProof/>
                <w:sz w:val="19"/>
                <w:szCs w:val="19"/>
                <w:lang w:val="en-GB" w:eastAsia="en-GB"/>
              </w:rPr>
              <w:t>and</w:t>
            </w:r>
            <w:r w:rsidRPr="00F737AD">
              <w:rPr>
                <w:rFonts w:cs="Calibri"/>
                <w:sz w:val="19"/>
                <w:szCs w:val="19"/>
                <w:lang w:val="en-GB" w:eastAsia="en-GB"/>
              </w:rPr>
              <w:t xml:space="preserve"> consumers about appliance energy </w:t>
            </w:r>
            <w:r w:rsidRPr="00F737AD">
              <w:rPr>
                <w:rFonts w:cs="Calibri"/>
                <w:noProof/>
                <w:sz w:val="19"/>
                <w:szCs w:val="19"/>
                <w:lang w:val="en-GB" w:eastAsia="en-GB"/>
              </w:rPr>
              <w:t>efficiency</w:t>
            </w:r>
            <w:r w:rsidRPr="00F737AD">
              <w:rPr>
                <w:rFonts w:cs="Calibri"/>
                <w:sz w:val="19"/>
                <w:szCs w:val="19"/>
                <w:lang w:val="en-GB" w:eastAsia="en-GB"/>
              </w:rPr>
              <w:t xml:space="preserve"> while carrying out a trial and awareness programme on LEDs in Gauteng area. Increasingly suppliers </w:t>
            </w:r>
            <w:r w:rsidRPr="00F737AD">
              <w:rPr>
                <w:rFonts w:cs="Calibri"/>
                <w:noProof/>
                <w:sz w:val="19"/>
                <w:szCs w:val="19"/>
                <w:lang w:val="en-GB" w:eastAsia="en-GB"/>
              </w:rPr>
              <w:t>realise</w:t>
            </w:r>
            <w:r w:rsidRPr="00F737AD">
              <w:rPr>
                <w:rFonts w:cs="Calibri"/>
                <w:sz w:val="19"/>
                <w:szCs w:val="19"/>
                <w:lang w:val="en-GB" w:eastAsia="en-GB"/>
              </w:rPr>
              <w:t xml:space="preserve"> that </w:t>
            </w:r>
            <w:r w:rsidR="00E236DA" w:rsidRPr="00F737AD">
              <w:rPr>
                <w:rFonts w:cs="Calibri"/>
                <w:sz w:val="19"/>
                <w:szCs w:val="19"/>
                <w:lang w:val="en-GB" w:eastAsia="en-GB"/>
              </w:rPr>
              <w:t>moving</w:t>
            </w:r>
            <w:r w:rsidRPr="00F737AD">
              <w:rPr>
                <w:rFonts w:cs="Calibri"/>
                <w:sz w:val="19"/>
                <w:szCs w:val="19"/>
                <w:lang w:val="en-GB" w:eastAsia="en-GB"/>
              </w:rPr>
              <w:t xml:space="preserve"> customers to the higher-end LED lamps </w:t>
            </w:r>
            <w:r w:rsidRPr="00F737AD">
              <w:rPr>
                <w:rFonts w:cs="Calibri"/>
                <w:noProof/>
                <w:sz w:val="19"/>
                <w:szCs w:val="19"/>
                <w:lang w:val="en-GB" w:eastAsia="en-GB"/>
              </w:rPr>
              <w:t>require</w:t>
            </w:r>
            <w:r w:rsidR="00E236DA" w:rsidRPr="00F737AD">
              <w:rPr>
                <w:rFonts w:cs="Calibri"/>
                <w:noProof/>
                <w:sz w:val="19"/>
                <w:szCs w:val="19"/>
                <w:shd w:val="clear" w:color="auto" w:fill="FFFFFF"/>
                <w:lang w:val="en-GB" w:eastAsia="en-GB"/>
              </w:rPr>
              <w:t>s</w:t>
            </w:r>
            <w:r w:rsidRPr="00F737AD">
              <w:rPr>
                <w:rFonts w:cs="Calibri"/>
                <w:sz w:val="19"/>
                <w:szCs w:val="19"/>
                <w:lang w:val="en-GB" w:eastAsia="en-GB"/>
              </w:rPr>
              <w:t xml:space="preserve"> a better consumer education and guidance on the energy savings aspect.</w:t>
            </w:r>
          </w:p>
          <w:p w:rsidR="00430D4A" w:rsidRPr="00F737AD" w:rsidRDefault="00430D4A"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ESKOM is currently facing serious financial and structural challenges, which are not expected to be overcome in the short term. The underlying reasons for the continuation of the lighting </w:t>
            </w:r>
            <w:r w:rsidR="007D1C69" w:rsidRPr="00F737AD">
              <w:rPr>
                <w:rFonts w:cs="Calibri"/>
                <w:sz w:val="19"/>
                <w:szCs w:val="19"/>
                <w:lang w:val="en-GB" w:eastAsia="en-GB"/>
              </w:rPr>
              <w:t xml:space="preserve">(CFL) </w:t>
            </w:r>
            <w:r w:rsidRPr="00F737AD">
              <w:rPr>
                <w:rFonts w:cs="Calibri"/>
                <w:sz w:val="19"/>
                <w:szCs w:val="19"/>
                <w:lang w:val="en-GB" w:eastAsia="en-GB"/>
              </w:rPr>
              <w:t xml:space="preserve">exchange program </w:t>
            </w:r>
            <w:r w:rsidR="007D1C69" w:rsidRPr="00F737AD">
              <w:rPr>
                <w:rFonts w:cs="Calibri"/>
                <w:sz w:val="19"/>
                <w:szCs w:val="19"/>
                <w:lang w:val="en-GB" w:eastAsia="en-GB"/>
              </w:rPr>
              <w:t>by</w:t>
            </w:r>
            <w:r w:rsidRPr="00F737AD">
              <w:rPr>
                <w:rFonts w:cs="Calibri"/>
                <w:sz w:val="19"/>
                <w:szCs w:val="19"/>
                <w:lang w:val="en-GB" w:eastAsia="en-GB"/>
              </w:rPr>
              <w:t xml:space="preserve"> ESKOM DSM (now IDM) are not currently</w:t>
            </w:r>
            <w:r w:rsidRPr="00F737AD">
              <w:rPr>
                <w:sz w:val="19"/>
                <w:szCs w:val="19"/>
                <w:lang w:val="en-GB"/>
              </w:rPr>
              <w:t xml:space="preserve"> </w:t>
            </w:r>
            <w:r w:rsidRPr="00F737AD">
              <w:rPr>
                <w:rFonts w:cs="Calibri"/>
                <w:sz w:val="19"/>
                <w:szCs w:val="19"/>
                <w:lang w:val="en-GB" w:eastAsia="en-GB"/>
              </w:rPr>
              <w:t>present in the market</w:t>
            </w:r>
            <w:r w:rsidR="00704E1C" w:rsidRPr="00F737AD">
              <w:rPr>
                <w:rFonts w:cs="Calibri"/>
                <w:sz w:val="19"/>
                <w:szCs w:val="19"/>
                <w:lang w:val="en-GB" w:eastAsia="en-GB"/>
              </w:rPr>
              <w:t>, and the CFL roll-out programme has been terminated</w:t>
            </w:r>
            <w:r w:rsidRPr="00F737AD">
              <w:rPr>
                <w:rFonts w:cs="Calibri"/>
                <w:sz w:val="19"/>
                <w:szCs w:val="19"/>
                <w:lang w:val="en-GB" w:eastAsia="en-GB"/>
              </w:rPr>
              <w:t>. It is not foreseen that ESKOM will relaunch this program with LED technology lighting.</w:t>
            </w:r>
          </w:p>
          <w:p w:rsidR="00430D4A" w:rsidRPr="00F737AD" w:rsidRDefault="00430D4A"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In the case of commercial and industrial buildings, several financial institutions have dedicated funding available for energy efficiency programs. Deployment of funds has been nonetheless slow due to the high transaction costs associated with the small size of these investments. Finance products that have been made available in the past have not always been most appropriate for the energy efficiency market, i.e. many energy efficiency opportunities are </w:t>
            </w:r>
            <w:proofErr w:type="gramStart"/>
            <w:r w:rsidRPr="00F737AD">
              <w:rPr>
                <w:rFonts w:cs="Calibri"/>
                <w:sz w:val="19"/>
                <w:szCs w:val="19"/>
                <w:lang w:val="en-GB" w:eastAsia="en-GB"/>
              </w:rPr>
              <w:t>small in size</w:t>
            </w:r>
            <w:proofErr w:type="gramEnd"/>
            <w:r w:rsidRPr="00F737AD">
              <w:rPr>
                <w:rFonts w:cs="Calibri"/>
                <w:sz w:val="19"/>
                <w:szCs w:val="19"/>
                <w:lang w:val="en-GB" w:eastAsia="en-GB"/>
              </w:rPr>
              <w:t xml:space="preserve"> and banks are often targeting larger sized projects within larger </w:t>
            </w:r>
            <w:r w:rsidRPr="00F737AD">
              <w:rPr>
                <w:rFonts w:cs="Calibri"/>
                <w:noProof/>
                <w:sz w:val="19"/>
                <w:szCs w:val="19"/>
                <w:lang w:val="en-GB" w:eastAsia="en-GB"/>
              </w:rPr>
              <w:t>organisations</w:t>
            </w:r>
          </w:p>
          <w:p w:rsidR="00430D4A" w:rsidRPr="00F737AD" w:rsidRDefault="00430D4A" w:rsidP="00F737AD">
            <w:pPr>
              <w:numPr>
                <w:ilvl w:val="0"/>
                <w:numId w:val="46"/>
              </w:numPr>
              <w:spacing w:after="0"/>
              <w:ind w:left="314" w:hanging="284"/>
              <w:jc w:val="left"/>
              <w:rPr>
                <w:rFonts w:cs="Calibri"/>
                <w:sz w:val="19"/>
                <w:szCs w:val="19"/>
                <w:lang w:val="en-GB" w:eastAsia="en-GB"/>
              </w:rPr>
            </w:pPr>
            <w:r w:rsidRPr="00F737AD">
              <w:rPr>
                <w:rFonts w:cs="Calibri"/>
                <w:sz w:val="19"/>
                <w:szCs w:val="19"/>
                <w:lang w:val="en-GB" w:eastAsia="en-GB"/>
              </w:rPr>
              <w:t xml:space="preserve">Many end-users may not have the internal capacity for energy efficiency projects, thus creating opportunities for ESCO interventions. </w:t>
            </w:r>
          </w:p>
          <w:p w:rsidR="00430D4A" w:rsidRPr="00F737AD" w:rsidRDefault="00430D4A" w:rsidP="00F737AD">
            <w:pPr>
              <w:spacing w:after="0"/>
              <w:ind w:left="314"/>
              <w:jc w:val="left"/>
              <w:rPr>
                <w:rFonts w:cs="Calibri"/>
                <w:sz w:val="19"/>
                <w:szCs w:val="19"/>
                <w:lang w:val="en-GB" w:eastAsia="en-GB"/>
              </w:rPr>
            </w:pPr>
          </w:p>
        </w:tc>
        <w:tc>
          <w:tcPr>
            <w:tcW w:w="3730" w:type="dxa"/>
            <w:shd w:val="clear" w:color="auto" w:fill="auto"/>
          </w:tcPr>
          <w:p w:rsidR="00CD79A0" w:rsidRPr="00F737AD" w:rsidRDefault="00CD79A0" w:rsidP="00F737AD">
            <w:pPr>
              <w:tabs>
                <w:tab w:val="left" w:pos="322"/>
              </w:tabs>
              <w:rPr>
                <w:rFonts w:cs="Calibri"/>
                <w:b/>
                <w:sz w:val="19"/>
                <w:szCs w:val="19"/>
                <w:lang w:val="en-GB" w:eastAsia="en-GB"/>
              </w:rPr>
            </w:pPr>
            <w:r w:rsidRPr="00F737AD">
              <w:rPr>
                <w:rFonts w:cs="Calibri"/>
                <w:b/>
                <w:sz w:val="19"/>
                <w:szCs w:val="19"/>
                <w:lang w:val="en-GB" w:eastAsia="en-GB"/>
              </w:rPr>
              <w:lastRenderedPageBreak/>
              <w:t>Incremental reasoning:</w:t>
            </w:r>
          </w:p>
          <w:p w:rsidR="00BF31B5" w:rsidRPr="00F737AD" w:rsidRDefault="00430D4A" w:rsidP="00F737AD">
            <w:pPr>
              <w:pStyle w:val="ListParagraph"/>
              <w:numPr>
                <w:ilvl w:val="0"/>
                <w:numId w:val="46"/>
              </w:numPr>
              <w:tabs>
                <w:tab w:val="left" w:pos="322"/>
              </w:tabs>
              <w:ind w:left="180" w:hanging="180"/>
              <w:rPr>
                <w:rFonts w:ascii="Calibri" w:hAnsi="Calibri" w:cs="Calibri"/>
                <w:sz w:val="19"/>
                <w:szCs w:val="19"/>
                <w:lang w:val="en-GB" w:eastAsia="en-GB"/>
              </w:rPr>
            </w:pPr>
            <w:r w:rsidRPr="00F737AD">
              <w:rPr>
                <w:rFonts w:ascii="Calibri" w:hAnsi="Calibri" w:cs="Calibri"/>
                <w:sz w:val="19"/>
                <w:szCs w:val="19"/>
                <w:lang w:val="en-GB" w:eastAsia="en-GB"/>
              </w:rPr>
              <w:lastRenderedPageBreak/>
              <w:t xml:space="preserve">Continuing consumer education is needed targeting </w:t>
            </w:r>
            <w:r w:rsidR="007D1C69" w:rsidRPr="00F737AD">
              <w:rPr>
                <w:rFonts w:ascii="Calibri" w:hAnsi="Calibri" w:cs="Calibri"/>
                <w:sz w:val="19"/>
                <w:szCs w:val="19"/>
                <w:lang w:val="en-GB" w:eastAsia="en-GB"/>
              </w:rPr>
              <w:t xml:space="preserve">residential as well as </w:t>
            </w:r>
            <w:r w:rsidRPr="00F737AD">
              <w:rPr>
                <w:rFonts w:ascii="Calibri" w:hAnsi="Calibri" w:cs="Calibri"/>
                <w:sz w:val="19"/>
                <w:szCs w:val="19"/>
                <w:lang w:val="en-GB" w:eastAsia="en-GB"/>
              </w:rPr>
              <w:t xml:space="preserve">corporate (public and private) users on the cost and lifetime benefits of switching to LED lighting. Consumers need to be informed </w:t>
            </w:r>
            <w:r w:rsidRPr="00F737AD">
              <w:rPr>
                <w:rFonts w:ascii="Calibri" w:hAnsi="Calibri" w:cs="Calibri"/>
                <w:noProof/>
                <w:sz w:val="19"/>
                <w:szCs w:val="19"/>
                <w:lang w:val="en-GB" w:eastAsia="en-GB"/>
              </w:rPr>
              <w:t>on</w:t>
            </w:r>
            <w:r w:rsidRPr="00F737AD">
              <w:rPr>
                <w:rFonts w:ascii="Calibri" w:hAnsi="Calibri" w:cs="Calibri"/>
                <w:sz w:val="19"/>
                <w:szCs w:val="19"/>
                <w:lang w:val="en-GB" w:eastAsia="en-GB"/>
              </w:rPr>
              <w:t xml:space="preserve"> the interpretation of energy </w:t>
            </w:r>
            <w:r w:rsidRPr="00F737AD">
              <w:rPr>
                <w:rFonts w:ascii="Calibri" w:hAnsi="Calibri" w:cs="Calibri"/>
                <w:noProof/>
                <w:sz w:val="19"/>
                <w:szCs w:val="19"/>
                <w:lang w:val="en-GB" w:eastAsia="en-GB"/>
              </w:rPr>
              <w:t>labelling</w:t>
            </w:r>
            <w:r w:rsidRPr="00F737AD">
              <w:rPr>
                <w:rFonts w:ascii="Calibri" w:hAnsi="Calibri" w:cs="Calibri"/>
                <w:sz w:val="19"/>
                <w:szCs w:val="19"/>
                <w:lang w:val="en-GB" w:eastAsia="en-GB"/>
              </w:rPr>
              <w:t>.</w:t>
            </w:r>
          </w:p>
          <w:p w:rsidR="00BF31B5" w:rsidRPr="00F737AD" w:rsidRDefault="00430D4A" w:rsidP="00F737AD">
            <w:pPr>
              <w:pStyle w:val="ListParagraph"/>
              <w:numPr>
                <w:ilvl w:val="0"/>
                <w:numId w:val="46"/>
              </w:numPr>
              <w:tabs>
                <w:tab w:val="left" w:pos="322"/>
              </w:tabs>
              <w:ind w:left="180" w:hanging="180"/>
              <w:rPr>
                <w:rFonts w:ascii="Calibri" w:hAnsi="Calibri" w:cs="Calibri"/>
                <w:sz w:val="19"/>
                <w:szCs w:val="19"/>
                <w:lang w:val="en-GB" w:eastAsia="en-GB"/>
              </w:rPr>
            </w:pPr>
            <w:r w:rsidRPr="00F737AD">
              <w:rPr>
                <w:rFonts w:ascii="Calibri" w:hAnsi="Calibri" w:cs="Calibri"/>
                <w:sz w:val="19"/>
                <w:szCs w:val="19"/>
                <w:lang w:val="en-GB" w:eastAsia="en-GB"/>
              </w:rPr>
              <w:t>Accelerated market penetration of quality LEDs at low prices can be achieved through the development of an LED mass-procurement program and its integration with existing energy programs of the municipalities and/or lighting retailers. Depending on the success of the program this may be expanded to the commercial and industrial sectors through project preparation and financing support</w:t>
            </w:r>
            <w:r w:rsidR="00BF31B5" w:rsidRPr="00F737AD">
              <w:rPr>
                <w:rFonts w:ascii="Calibri" w:hAnsi="Calibri" w:cs="Calibri"/>
                <w:sz w:val="19"/>
                <w:szCs w:val="19"/>
                <w:lang w:val="en-GB" w:eastAsia="en-GB"/>
              </w:rPr>
              <w:t>;</w:t>
            </w:r>
          </w:p>
          <w:p w:rsidR="00430D4A" w:rsidRPr="00F737AD" w:rsidRDefault="00A80BE9" w:rsidP="00F737AD">
            <w:pPr>
              <w:pStyle w:val="ListParagraph"/>
              <w:numPr>
                <w:ilvl w:val="0"/>
                <w:numId w:val="46"/>
              </w:numPr>
              <w:tabs>
                <w:tab w:val="left" w:pos="322"/>
              </w:tabs>
              <w:ind w:left="180" w:hanging="180"/>
              <w:rPr>
                <w:rFonts w:ascii="Calibri" w:hAnsi="Calibri" w:cs="Calibri"/>
                <w:sz w:val="19"/>
                <w:szCs w:val="19"/>
                <w:lang w:val="en-GB" w:eastAsia="en-GB"/>
              </w:rPr>
            </w:pPr>
            <w:r w:rsidRPr="00F737AD">
              <w:rPr>
                <w:rFonts w:ascii="Calibri" w:eastAsia="Calibri" w:hAnsi="Calibri" w:cs="Calibri"/>
                <w:sz w:val="19"/>
                <w:szCs w:val="19"/>
                <w:lang w:val="en-GB"/>
              </w:rPr>
              <w:t xml:space="preserve">The key to reducing financial transaction costs for small energy efficiency projects is offering financial products that are most appropriate for the energy efficiency </w:t>
            </w:r>
            <w:r w:rsidR="00AB3DCD" w:rsidRPr="00F737AD">
              <w:rPr>
                <w:rFonts w:ascii="Calibri" w:eastAsia="Calibri" w:hAnsi="Calibri" w:cs="Calibri"/>
                <w:sz w:val="19"/>
                <w:szCs w:val="19"/>
                <w:lang w:val="en-GB"/>
              </w:rPr>
              <w:t>market, for</w:t>
            </w:r>
            <w:r w:rsidRPr="00F737AD">
              <w:rPr>
                <w:rFonts w:ascii="Calibri" w:eastAsia="Calibri" w:hAnsi="Calibri" w:cs="Calibri"/>
                <w:sz w:val="19"/>
                <w:szCs w:val="19"/>
                <w:lang w:val="en-GB"/>
              </w:rPr>
              <w:t xml:space="preserve"> example, by aggregating projects through ESCOs, or financing through a lower default instrument, such as on-bill financing</w:t>
            </w:r>
            <w:r w:rsidR="00430D4A" w:rsidRPr="00F737AD">
              <w:rPr>
                <w:rFonts w:ascii="Calibri" w:eastAsia="Calibri" w:hAnsi="Calibri" w:cs="Calibri"/>
                <w:sz w:val="19"/>
                <w:szCs w:val="19"/>
                <w:lang w:val="en-GB"/>
              </w:rPr>
              <w:t>.</w:t>
            </w:r>
          </w:p>
        </w:tc>
      </w:tr>
    </w:tbl>
    <w:p w:rsidR="00430D4A" w:rsidRPr="0057545E" w:rsidRDefault="00430D4A">
      <w:pPr>
        <w:spacing w:after="0"/>
        <w:jc w:val="left"/>
        <w:rPr>
          <w:sz w:val="19"/>
          <w:szCs w:val="19"/>
          <w:lang w:val="en-GB"/>
        </w:rPr>
      </w:pPr>
    </w:p>
    <w:p w:rsidR="00430D4A" w:rsidRPr="003B7D62" w:rsidRDefault="00430D4A">
      <w:pPr>
        <w:spacing w:after="0"/>
        <w:jc w:val="left"/>
        <w:rPr>
          <w:sz w:val="19"/>
          <w:szCs w:val="19"/>
          <w:lang w:val="en-GB"/>
        </w:rPr>
      </w:pPr>
      <w:r w:rsidRPr="00353542">
        <w:rPr>
          <w:rFonts w:ascii="Arial" w:hAnsi="Arial" w:cs="Arial"/>
          <w:b/>
          <w:sz w:val="19"/>
          <w:szCs w:val="19"/>
          <w:lang w:val="en-GB"/>
        </w:rPr>
        <w:t>Environmentally sound management</w:t>
      </w:r>
    </w:p>
    <w:p w:rsidR="00430D4A" w:rsidRPr="004722F0" w:rsidRDefault="00430D4A">
      <w:pPr>
        <w:spacing w:after="0"/>
        <w:jc w:val="left"/>
        <w:rPr>
          <w:sz w:val="19"/>
          <w:szCs w:val="19"/>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0"/>
        <w:gridCol w:w="4722"/>
      </w:tblGrid>
      <w:tr w:rsidR="00430D4A" w:rsidRPr="0057545E" w:rsidTr="00F737AD">
        <w:tc>
          <w:tcPr>
            <w:tcW w:w="9962" w:type="dxa"/>
            <w:gridSpan w:val="2"/>
            <w:shd w:val="clear" w:color="auto" w:fill="auto"/>
          </w:tcPr>
          <w:p w:rsidR="00430D4A" w:rsidRPr="00F737AD" w:rsidRDefault="00430D4A" w:rsidP="00F737AD">
            <w:pPr>
              <w:spacing w:after="0"/>
              <w:jc w:val="left"/>
              <w:rPr>
                <w:rFonts w:cs="Calibri"/>
                <w:b/>
                <w:sz w:val="19"/>
                <w:szCs w:val="19"/>
                <w:lang w:val="en-GB" w:eastAsia="en-GB"/>
              </w:rPr>
            </w:pPr>
            <w:r w:rsidRPr="00F737AD">
              <w:rPr>
                <w:rFonts w:cs="Calibri"/>
                <w:b/>
                <w:sz w:val="19"/>
                <w:szCs w:val="19"/>
                <w:lang w:val="en-GB" w:eastAsia="en-GB"/>
              </w:rPr>
              <w:t>Barriers</w:t>
            </w:r>
          </w:p>
          <w:p w:rsidR="00430D4A" w:rsidRPr="00F737AD" w:rsidRDefault="00430D4A" w:rsidP="00F737AD">
            <w:pPr>
              <w:pStyle w:val="ListParagraph"/>
              <w:numPr>
                <w:ilvl w:val="0"/>
                <w:numId w:val="47"/>
              </w:numPr>
              <w:ind w:left="314" w:hanging="314"/>
              <w:rPr>
                <w:rFonts w:ascii="Calibri" w:hAnsi="Calibri" w:cs="Calibri"/>
                <w:sz w:val="19"/>
                <w:szCs w:val="19"/>
                <w:lang w:val="en-GB" w:eastAsia="en-GB"/>
              </w:rPr>
            </w:pPr>
            <w:r w:rsidRPr="00F737AD">
              <w:rPr>
                <w:rFonts w:ascii="Calibri" w:hAnsi="Calibri" w:cs="Calibri"/>
                <w:sz w:val="19"/>
                <w:szCs w:val="19"/>
                <w:lang w:val="en-GB" w:eastAsia="en-GB"/>
              </w:rPr>
              <w:t>Insufficient recycling and waste separation of used lamps</w:t>
            </w:r>
          </w:p>
          <w:p w:rsidR="00430D4A" w:rsidRPr="00F737AD" w:rsidRDefault="00430D4A" w:rsidP="00F737AD">
            <w:pPr>
              <w:tabs>
                <w:tab w:val="left" w:pos="318"/>
              </w:tabs>
              <w:spacing w:after="0"/>
              <w:ind w:left="318" w:hanging="318"/>
              <w:jc w:val="left"/>
              <w:rPr>
                <w:rFonts w:cs="Calibri"/>
                <w:sz w:val="19"/>
                <w:szCs w:val="19"/>
                <w:lang w:val="en-GB" w:eastAsia="en-GB"/>
              </w:rPr>
            </w:pPr>
            <w:r w:rsidRPr="00F737AD">
              <w:rPr>
                <w:rFonts w:cs="Calibri"/>
                <w:sz w:val="19"/>
                <w:szCs w:val="19"/>
                <w:lang w:val="en-GB" w:eastAsia="en-GB"/>
              </w:rPr>
              <w:t>•</w:t>
            </w:r>
            <w:r w:rsidRPr="00F737AD">
              <w:rPr>
                <w:rFonts w:cs="Calibri"/>
                <w:sz w:val="19"/>
                <w:szCs w:val="19"/>
                <w:lang w:val="en-GB" w:eastAsia="en-GB"/>
              </w:rPr>
              <w:tab/>
              <w:t>Use of environmentally friendly oils in transformers not considered</w:t>
            </w:r>
          </w:p>
        </w:tc>
      </w:tr>
      <w:tr w:rsidR="00430D4A" w:rsidRPr="0057545E" w:rsidTr="00F737AD">
        <w:tc>
          <w:tcPr>
            <w:tcW w:w="5240" w:type="dxa"/>
            <w:shd w:val="clear" w:color="auto" w:fill="auto"/>
          </w:tcPr>
          <w:p w:rsidR="00430D4A" w:rsidRPr="00F737AD" w:rsidRDefault="00430D4A" w:rsidP="00F737AD">
            <w:pPr>
              <w:spacing w:after="0"/>
              <w:jc w:val="left"/>
              <w:rPr>
                <w:rFonts w:eastAsia="Calibri" w:cs="Calibri"/>
                <w:b/>
                <w:sz w:val="19"/>
                <w:szCs w:val="19"/>
                <w:lang w:val="en-GB"/>
              </w:rPr>
            </w:pPr>
            <w:r w:rsidRPr="00F737AD">
              <w:rPr>
                <w:rFonts w:eastAsia="Calibri" w:cs="Calibri"/>
                <w:b/>
                <w:sz w:val="19"/>
                <w:szCs w:val="19"/>
                <w:lang w:val="en-GB"/>
              </w:rPr>
              <w:t>Baseline activities</w:t>
            </w:r>
          </w:p>
          <w:p w:rsidR="00430D4A" w:rsidRPr="00F737AD" w:rsidRDefault="00430D4A" w:rsidP="00F737AD">
            <w:pPr>
              <w:numPr>
                <w:ilvl w:val="0"/>
                <w:numId w:val="52"/>
              </w:numPr>
              <w:spacing w:after="0"/>
              <w:ind w:left="313" w:hanging="284"/>
              <w:jc w:val="left"/>
              <w:rPr>
                <w:rFonts w:eastAsia="Calibri" w:cs="Calibri"/>
                <w:b/>
                <w:sz w:val="19"/>
                <w:szCs w:val="19"/>
                <w:lang w:val="en-GB"/>
              </w:rPr>
            </w:pPr>
            <w:r w:rsidRPr="00F737AD">
              <w:rPr>
                <w:rFonts w:cs="Calibri"/>
                <w:sz w:val="19"/>
                <w:szCs w:val="19"/>
                <w:lang w:val="en-GB"/>
              </w:rPr>
              <w:t xml:space="preserve">About 100 million CFLs are installed in residential and other buildings and Eskom and retail chains </w:t>
            </w:r>
            <w:r w:rsidRPr="00F737AD">
              <w:rPr>
                <w:rFonts w:cs="Calibri"/>
                <w:noProof/>
                <w:sz w:val="19"/>
                <w:szCs w:val="19"/>
                <w:lang w:val="en-GB"/>
              </w:rPr>
              <w:t>organise</w:t>
            </w:r>
            <w:r w:rsidRPr="00F737AD">
              <w:rPr>
                <w:rFonts w:cs="Calibri"/>
                <w:sz w:val="19"/>
                <w:szCs w:val="19"/>
                <w:lang w:val="en-GB"/>
              </w:rPr>
              <w:t xml:space="preserve"> </w:t>
            </w:r>
            <w:r w:rsidRPr="00F737AD">
              <w:rPr>
                <w:rFonts w:cs="Calibri"/>
                <w:noProof/>
                <w:sz w:val="19"/>
                <w:szCs w:val="19"/>
                <w:lang w:val="en-GB"/>
              </w:rPr>
              <w:t>collection</w:t>
            </w:r>
            <w:r w:rsidRPr="00F737AD">
              <w:rPr>
                <w:rFonts w:cs="Calibri"/>
                <w:sz w:val="19"/>
                <w:szCs w:val="19"/>
                <w:lang w:val="en-GB"/>
              </w:rPr>
              <w:t xml:space="preserve"> of lamps. In South Africa, </w:t>
            </w:r>
            <w:proofErr w:type="gramStart"/>
            <w:r w:rsidR="007D1C69" w:rsidRPr="00F737AD">
              <w:rPr>
                <w:rFonts w:cs="Calibri"/>
                <w:sz w:val="19"/>
                <w:szCs w:val="19"/>
                <w:lang w:val="en-GB"/>
              </w:rPr>
              <w:t>a number of</w:t>
            </w:r>
            <w:proofErr w:type="gramEnd"/>
            <w:r w:rsidR="007D1C69" w:rsidRPr="00F737AD">
              <w:rPr>
                <w:rFonts w:cs="Calibri"/>
                <w:sz w:val="19"/>
                <w:szCs w:val="19"/>
                <w:lang w:val="en-GB"/>
              </w:rPr>
              <w:t xml:space="preserve"> companies </w:t>
            </w:r>
            <w:r w:rsidRPr="00F737AD">
              <w:rPr>
                <w:rFonts w:cs="Calibri"/>
                <w:sz w:val="19"/>
                <w:szCs w:val="19"/>
                <w:lang w:val="en-GB"/>
              </w:rPr>
              <w:t>collect and/or recycle various types of lamps and separate into fractions, including the recovery of mercury.</w:t>
            </w:r>
            <w:r w:rsidRPr="00F737AD">
              <w:rPr>
                <w:rFonts w:ascii="Times New Roman" w:hAnsi="Times New Roman"/>
                <w:sz w:val="19"/>
                <w:szCs w:val="19"/>
                <w:lang w:val="en-GB"/>
              </w:rPr>
              <w:t xml:space="preserve"> </w:t>
            </w:r>
          </w:p>
          <w:p w:rsidR="00430D4A" w:rsidRPr="00F737AD" w:rsidRDefault="00E476B8" w:rsidP="00F737AD">
            <w:pPr>
              <w:pStyle w:val="ListParagraph"/>
              <w:numPr>
                <w:ilvl w:val="0"/>
                <w:numId w:val="52"/>
              </w:numPr>
              <w:ind w:left="306" w:hanging="306"/>
              <w:rPr>
                <w:rFonts w:ascii="Calibri" w:eastAsia="Calibri" w:hAnsi="Calibri" w:cs="Calibri"/>
                <w:b/>
                <w:sz w:val="19"/>
                <w:szCs w:val="19"/>
                <w:lang w:val="en-GB"/>
              </w:rPr>
            </w:pPr>
            <w:r w:rsidRPr="00F737AD">
              <w:rPr>
                <w:rFonts w:ascii="Calibri" w:eastAsia="Calibri" w:hAnsi="Calibri" w:cs="Calibri"/>
                <w:sz w:val="19"/>
                <w:szCs w:val="19"/>
                <w:lang w:val="en-GB"/>
              </w:rPr>
              <w:t>Worldwide, vegetable-oil natural esters are increasingly being used in distribution transformers as insulating oil. One proposal being discussed at Eskom is for new contracts on transformers to aim for a percentage using vegetable oil</w:t>
            </w:r>
            <w:r w:rsidRPr="00F737AD">
              <w:rPr>
                <w:rFonts w:ascii="Calibri" w:eastAsia="Calibri" w:hAnsi="Calibri" w:cs="Calibri"/>
                <w:b/>
                <w:sz w:val="19"/>
                <w:szCs w:val="19"/>
                <w:lang w:val="en-GB"/>
              </w:rPr>
              <w:t>.</w:t>
            </w:r>
            <w:r w:rsidR="004127F0" w:rsidRPr="00F737AD">
              <w:rPr>
                <w:rFonts w:ascii="Calibri" w:eastAsia="Calibri" w:hAnsi="Calibri" w:cs="Calibri"/>
                <w:b/>
                <w:sz w:val="19"/>
                <w:szCs w:val="19"/>
                <w:lang w:val="en-GB"/>
              </w:rPr>
              <w:t xml:space="preserve"> </w:t>
            </w:r>
            <w:r w:rsidR="004127F0" w:rsidRPr="00F737AD">
              <w:rPr>
                <w:rFonts w:ascii="Calibri" w:eastAsia="Calibri" w:hAnsi="Calibri" w:cs="Calibri"/>
                <w:sz w:val="19"/>
                <w:szCs w:val="19"/>
                <w:lang w:val="en-GB"/>
              </w:rPr>
              <w:t>Environmentally sound management and disposal of PCBs is subject of a GEF proposal currently under preparation by DBSA and which will include the issue of PCBs in transformers</w:t>
            </w:r>
          </w:p>
        </w:tc>
        <w:tc>
          <w:tcPr>
            <w:tcW w:w="4722" w:type="dxa"/>
            <w:shd w:val="clear" w:color="auto" w:fill="auto"/>
          </w:tcPr>
          <w:p w:rsidR="00430D4A" w:rsidRPr="00F737AD" w:rsidRDefault="00430D4A" w:rsidP="00F737AD">
            <w:pPr>
              <w:spacing w:after="0"/>
              <w:jc w:val="left"/>
              <w:rPr>
                <w:rFonts w:cs="Calibri"/>
                <w:b/>
                <w:sz w:val="19"/>
                <w:szCs w:val="19"/>
                <w:lang w:val="en-GB" w:eastAsia="en-GB"/>
              </w:rPr>
            </w:pPr>
            <w:r w:rsidRPr="00F737AD">
              <w:rPr>
                <w:rFonts w:cs="Calibri"/>
                <w:b/>
                <w:sz w:val="19"/>
                <w:szCs w:val="19"/>
                <w:lang w:val="en-GB" w:eastAsia="en-GB"/>
              </w:rPr>
              <w:t>Incremental reasoning:</w:t>
            </w:r>
          </w:p>
          <w:p w:rsidR="00430D4A" w:rsidRPr="00F737AD" w:rsidRDefault="00430D4A" w:rsidP="00F737AD">
            <w:pPr>
              <w:numPr>
                <w:ilvl w:val="0"/>
                <w:numId w:val="52"/>
              </w:numPr>
              <w:spacing w:after="0"/>
              <w:ind w:left="310" w:hanging="283"/>
              <w:jc w:val="left"/>
              <w:rPr>
                <w:rFonts w:cs="Calibri"/>
                <w:sz w:val="19"/>
                <w:szCs w:val="19"/>
                <w:lang w:val="en-GB" w:eastAsia="en-GB"/>
              </w:rPr>
            </w:pPr>
            <w:r w:rsidRPr="00F737AD">
              <w:rPr>
                <w:rFonts w:cs="Calibri"/>
                <w:sz w:val="19"/>
                <w:szCs w:val="19"/>
                <w:lang w:val="en-GB" w:eastAsia="en-GB"/>
              </w:rPr>
              <w:t>The effective collection of CFLs (and other lamps) rely heavily on a comprehensive education campaign as the current levels of awareness relating to all waste matters regarding recycling is very low and recycling will be part of the awareness campaign;</w:t>
            </w:r>
          </w:p>
          <w:p w:rsidR="00430D4A" w:rsidRPr="00F737AD" w:rsidRDefault="00430D4A" w:rsidP="00F737AD">
            <w:pPr>
              <w:numPr>
                <w:ilvl w:val="0"/>
                <w:numId w:val="52"/>
              </w:numPr>
              <w:spacing w:after="0"/>
              <w:ind w:left="310" w:hanging="283"/>
              <w:jc w:val="left"/>
              <w:rPr>
                <w:rFonts w:cs="Calibri"/>
                <w:sz w:val="19"/>
                <w:szCs w:val="19"/>
                <w:lang w:val="en-GB" w:eastAsia="en-GB"/>
              </w:rPr>
            </w:pPr>
            <w:r w:rsidRPr="00F737AD">
              <w:rPr>
                <w:rFonts w:cs="Calibri"/>
                <w:sz w:val="19"/>
                <w:szCs w:val="19"/>
                <w:lang w:val="en-GB" w:eastAsia="en-GB"/>
              </w:rPr>
              <w:t xml:space="preserve">A detailed assessment of the use of vegetable oil for transformers, current production of suitable (recycled) vegetable oil type and costs, and techno-economic assessment of upgrading </w:t>
            </w:r>
            <w:r w:rsidRPr="00F737AD">
              <w:rPr>
                <w:rFonts w:cs="Calibri"/>
                <w:noProof/>
                <w:sz w:val="19"/>
                <w:szCs w:val="19"/>
                <w:lang w:val="en-GB" w:eastAsia="en-GB"/>
              </w:rPr>
              <w:t>current</w:t>
            </w:r>
            <w:r w:rsidRPr="00F737AD">
              <w:rPr>
                <w:rFonts w:cs="Calibri"/>
                <w:sz w:val="19"/>
                <w:szCs w:val="19"/>
                <w:lang w:val="en-GB" w:eastAsia="en-GB"/>
              </w:rPr>
              <w:t xml:space="preserve"> manufacturing facilit</w:t>
            </w:r>
            <w:r w:rsidR="00E236DA" w:rsidRPr="00F737AD">
              <w:rPr>
                <w:rFonts w:cs="Calibri"/>
                <w:sz w:val="19"/>
                <w:szCs w:val="19"/>
                <w:lang w:val="en-GB" w:eastAsia="en-GB"/>
              </w:rPr>
              <w:t>ies</w:t>
            </w:r>
            <w:r w:rsidRPr="00F737AD">
              <w:rPr>
                <w:rFonts w:cs="Calibri"/>
                <w:sz w:val="19"/>
                <w:szCs w:val="19"/>
                <w:lang w:val="en-GB" w:eastAsia="en-GB"/>
              </w:rPr>
              <w:t xml:space="preserve"> to produce vegetable-oil-based transformers.</w:t>
            </w:r>
          </w:p>
          <w:p w:rsidR="00430D4A" w:rsidRPr="00F737AD" w:rsidRDefault="00430D4A" w:rsidP="00F737AD">
            <w:pPr>
              <w:spacing w:after="0"/>
              <w:jc w:val="left"/>
              <w:rPr>
                <w:sz w:val="19"/>
                <w:szCs w:val="19"/>
                <w:lang w:val="en-GB"/>
              </w:rPr>
            </w:pPr>
          </w:p>
        </w:tc>
      </w:tr>
    </w:tbl>
    <w:p w:rsidR="00336C31" w:rsidRPr="0057545E" w:rsidRDefault="00336C31">
      <w:pPr>
        <w:spacing w:after="0"/>
        <w:jc w:val="left"/>
        <w:rPr>
          <w:szCs w:val="20"/>
          <w:lang w:val="en-GB"/>
        </w:rPr>
      </w:pPr>
    </w:p>
    <w:p w:rsidR="00336C31" w:rsidRPr="003B7D62" w:rsidRDefault="00336C31">
      <w:pPr>
        <w:spacing w:after="0"/>
        <w:jc w:val="left"/>
        <w:rPr>
          <w:b/>
          <w:szCs w:val="20"/>
          <w:lang w:val="en-GB"/>
        </w:rPr>
      </w:pPr>
      <w:r w:rsidRPr="00353542">
        <w:rPr>
          <w:b/>
          <w:szCs w:val="20"/>
          <w:lang w:val="en-GB"/>
        </w:rPr>
        <w:t>Global programme</w:t>
      </w:r>
    </w:p>
    <w:p w:rsidR="00336C31" w:rsidRPr="004722F0" w:rsidRDefault="00336C31">
      <w:pPr>
        <w:spacing w:after="0"/>
        <w:jc w:val="left"/>
        <w:rPr>
          <w:szCs w:val="20"/>
          <w:lang w:val="en-GB"/>
        </w:rPr>
      </w:pPr>
    </w:p>
    <w:p w:rsidR="007D1C69" w:rsidRPr="00666B27" w:rsidRDefault="00336C31" w:rsidP="007354EF">
      <w:pPr>
        <w:spacing w:after="0"/>
        <w:rPr>
          <w:rStyle w:val="Hyperlink"/>
          <w:color w:val="auto"/>
          <w:szCs w:val="20"/>
          <w:u w:val="none"/>
          <w:lang w:val="en-GB"/>
        </w:rPr>
      </w:pPr>
      <w:r w:rsidRPr="00666B27">
        <w:rPr>
          <w:rStyle w:val="Hyperlink"/>
          <w:color w:val="auto"/>
          <w:szCs w:val="20"/>
          <w:u w:val="none"/>
          <w:lang w:val="en-GB"/>
        </w:rPr>
        <w:t xml:space="preserve">This project is one of several “child projects” of a </w:t>
      </w:r>
      <w:r w:rsidRPr="00666B27">
        <w:rPr>
          <w:rStyle w:val="Hyperlink"/>
          <w:b/>
          <w:color w:val="auto"/>
          <w:szCs w:val="20"/>
          <w:u w:val="none"/>
          <w:lang w:val="en-GB"/>
        </w:rPr>
        <w:t>global United for Energy (U4E) program</w:t>
      </w:r>
      <w:r w:rsidRPr="00666B27">
        <w:rPr>
          <w:rStyle w:val="Hyperlink"/>
          <w:color w:val="auto"/>
          <w:szCs w:val="20"/>
          <w:u w:val="none"/>
          <w:lang w:val="en-GB"/>
        </w:rPr>
        <w:t xml:space="preserve">, funded by the GEF, entitled </w:t>
      </w:r>
      <w:r w:rsidRPr="00666B27">
        <w:rPr>
          <w:rStyle w:val="Hyperlink"/>
          <w:i/>
          <w:color w:val="auto"/>
          <w:szCs w:val="20"/>
          <w:u w:val="none"/>
          <w:lang w:val="en-GB"/>
        </w:rPr>
        <w:t xml:space="preserve">Leapfrogging Markets to </w:t>
      </w:r>
      <w:r w:rsidRPr="00666B27">
        <w:rPr>
          <w:rStyle w:val="Hyperlink"/>
          <w:i/>
          <w:noProof/>
          <w:color w:val="auto"/>
          <w:szCs w:val="20"/>
          <w:u w:val="none"/>
          <w:lang w:val="en-GB"/>
        </w:rPr>
        <w:t>High Efficiency</w:t>
      </w:r>
      <w:r w:rsidRPr="00666B27">
        <w:rPr>
          <w:rStyle w:val="Hyperlink"/>
          <w:i/>
          <w:color w:val="auto"/>
          <w:szCs w:val="20"/>
          <w:u w:val="none"/>
          <w:lang w:val="en-GB"/>
        </w:rPr>
        <w:t xml:space="preserve"> Products (Appliances, Including Lighting, and Electrical Equipment)</w:t>
      </w:r>
      <w:r w:rsidRPr="00666B27">
        <w:rPr>
          <w:rStyle w:val="Hyperlink"/>
          <w:color w:val="auto"/>
          <w:szCs w:val="20"/>
          <w:u w:val="none"/>
          <w:lang w:val="en-GB"/>
        </w:rPr>
        <w:t xml:space="preserve">.  The project taps U4E’s core strengths – its global network of experts, private-sector collaborators, and compiled best practices – in policy and program development as well as quantitative assessment. The initiative (see </w:t>
      </w:r>
      <w:hyperlink r:id="rId60" w:history="1">
        <w:r w:rsidRPr="00666B27">
          <w:rPr>
            <w:rStyle w:val="Hyperlink"/>
            <w:szCs w:val="20"/>
            <w:lang w:val="en-GB"/>
          </w:rPr>
          <w:t>www.u4e.org</w:t>
        </w:r>
      </w:hyperlink>
      <w:r w:rsidRPr="0057545E">
        <w:rPr>
          <w:rStyle w:val="Hyperlink"/>
          <w:color w:val="auto"/>
          <w:szCs w:val="20"/>
          <w:u w:val="none"/>
          <w:lang w:val="en-GB"/>
        </w:rPr>
        <w:t xml:space="preserve">) proposes </w:t>
      </w:r>
      <w:r w:rsidRPr="0057545E">
        <w:rPr>
          <w:rStyle w:val="Hyperlink"/>
          <w:noProof/>
          <w:color w:val="auto"/>
          <w:szCs w:val="20"/>
          <w:u w:val="none"/>
          <w:lang w:val="en-GB"/>
        </w:rPr>
        <w:t>an</w:t>
      </w:r>
      <w:r w:rsidRPr="0057545E">
        <w:rPr>
          <w:rStyle w:val="Hyperlink"/>
          <w:color w:val="auto"/>
          <w:szCs w:val="20"/>
          <w:u w:val="none"/>
          <w:lang w:val="en-GB"/>
        </w:rPr>
        <w:t xml:space="preserve"> integrated approach to </w:t>
      </w:r>
      <w:r w:rsidRPr="00353542">
        <w:rPr>
          <w:rStyle w:val="Hyperlink"/>
          <w:noProof/>
          <w:color w:val="auto"/>
          <w:szCs w:val="20"/>
          <w:u w:val="none"/>
          <w:lang w:val="en-GB"/>
        </w:rPr>
        <w:t>achiev</w:t>
      </w:r>
      <w:r w:rsidR="00E236DA" w:rsidRPr="003B7D62">
        <w:rPr>
          <w:rStyle w:val="Hyperlink"/>
          <w:noProof/>
          <w:color w:val="auto"/>
          <w:szCs w:val="20"/>
          <w:u w:val="none"/>
          <w:lang w:val="en-GB"/>
        </w:rPr>
        <w:t>ing</w:t>
      </w:r>
      <w:r w:rsidRPr="004722F0">
        <w:rPr>
          <w:rStyle w:val="Hyperlink"/>
          <w:color w:val="auto"/>
          <w:szCs w:val="20"/>
          <w:u w:val="none"/>
          <w:lang w:val="en-GB"/>
        </w:rPr>
        <w:t xml:space="preserve"> market transformation consisting of a) supporting </w:t>
      </w:r>
      <w:r w:rsidRPr="0087632B">
        <w:rPr>
          <w:rStyle w:val="Hyperlink"/>
          <w:color w:val="auto"/>
          <w:szCs w:val="20"/>
          <w:u w:val="none"/>
          <w:lang w:val="en-GB"/>
        </w:rPr>
        <w:t>policies, b) standards and regulations, c) monitoring, verification</w:t>
      </w:r>
      <w:r w:rsidR="00E236DA" w:rsidRPr="00666B27">
        <w:rPr>
          <w:rStyle w:val="Hyperlink"/>
          <w:color w:val="auto"/>
          <w:szCs w:val="20"/>
          <w:u w:val="none"/>
          <w:lang w:val="en-GB"/>
        </w:rPr>
        <w:t>,</w:t>
      </w:r>
      <w:r w:rsidRPr="00666B27">
        <w:rPr>
          <w:rStyle w:val="Hyperlink"/>
          <w:color w:val="auto"/>
          <w:szCs w:val="20"/>
          <w:u w:val="none"/>
          <w:lang w:val="en-GB"/>
        </w:rPr>
        <w:t xml:space="preserve"> </w:t>
      </w:r>
      <w:r w:rsidRPr="00666B27">
        <w:rPr>
          <w:rStyle w:val="Hyperlink"/>
          <w:noProof/>
          <w:color w:val="auto"/>
          <w:szCs w:val="20"/>
          <w:u w:val="none"/>
          <w:lang w:val="en-GB"/>
        </w:rPr>
        <w:t>and</w:t>
      </w:r>
      <w:r w:rsidRPr="00666B27">
        <w:rPr>
          <w:rStyle w:val="Hyperlink"/>
          <w:color w:val="auto"/>
          <w:szCs w:val="20"/>
          <w:u w:val="none"/>
          <w:lang w:val="en-GB"/>
        </w:rPr>
        <w:t xml:space="preserve"> enforcement, d) financing and financial delivery </w:t>
      </w:r>
      <w:r w:rsidRPr="00666B27">
        <w:rPr>
          <w:rStyle w:val="Hyperlink"/>
          <w:noProof/>
          <w:color w:val="auto"/>
          <w:szCs w:val="20"/>
          <w:u w:val="none"/>
          <w:lang w:val="en-GB"/>
        </w:rPr>
        <w:t>mechanisms</w:t>
      </w:r>
      <w:r w:rsidR="00E236DA" w:rsidRPr="00666B27">
        <w:rPr>
          <w:rStyle w:val="Hyperlink"/>
          <w:color w:val="auto"/>
          <w:szCs w:val="20"/>
          <w:u w:val="none"/>
          <w:lang w:val="en-GB"/>
        </w:rPr>
        <w:t xml:space="preserve">, </w:t>
      </w:r>
      <w:r w:rsidRPr="00666B27">
        <w:rPr>
          <w:rStyle w:val="Hyperlink"/>
          <w:color w:val="auto"/>
          <w:szCs w:val="20"/>
          <w:u w:val="none"/>
          <w:lang w:val="en-GB"/>
        </w:rPr>
        <w:t>and e) environmentally sound management. Various country initiatives (including South Africa)</w:t>
      </w:r>
      <w:r w:rsidR="001712A5" w:rsidRPr="00666B27">
        <w:rPr>
          <w:rStyle w:val="Hyperlink"/>
          <w:color w:val="auto"/>
          <w:szCs w:val="20"/>
          <w:u w:val="none"/>
          <w:lang w:val="en-GB"/>
        </w:rPr>
        <w:t xml:space="preserve"> are linked with the global programm</w:t>
      </w:r>
      <w:r w:rsidR="007354EF" w:rsidRPr="00666B27">
        <w:rPr>
          <w:rStyle w:val="Hyperlink"/>
          <w:color w:val="auto"/>
          <w:szCs w:val="20"/>
          <w:u w:val="none"/>
          <w:lang w:val="en-GB"/>
        </w:rPr>
        <w:t xml:space="preserve">e. </w:t>
      </w:r>
    </w:p>
    <w:p w:rsidR="00890113" w:rsidRPr="00666B27" w:rsidRDefault="00890113" w:rsidP="007354EF">
      <w:pPr>
        <w:spacing w:after="0"/>
        <w:rPr>
          <w:szCs w:val="20"/>
          <w:lang w:val="en-GB"/>
        </w:rPr>
      </w:pPr>
    </w:p>
    <w:p w:rsidR="00F00E11" w:rsidRPr="00666B27" w:rsidRDefault="0032007D" w:rsidP="001E1DBB">
      <w:pPr>
        <w:pStyle w:val="Heading1"/>
        <w:ind w:left="567" w:hanging="567"/>
      </w:pPr>
      <w:bookmarkStart w:id="54" w:name="_Toc497848294"/>
      <w:bookmarkStart w:id="55" w:name="_Toc340757"/>
      <w:r w:rsidRPr="00666B27">
        <w:t>Results and P</w:t>
      </w:r>
      <w:r w:rsidR="00DA3833" w:rsidRPr="00666B27">
        <w:t>artnerships</w:t>
      </w:r>
      <w:bookmarkEnd w:id="54"/>
      <w:bookmarkEnd w:id="55"/>
      <w:r w:rsidR="0094042F" w:rsidRPr="00666B27">
        <w:t xml:space="preserve"> </w:t>
      </w:r>
    </w:p>
    <w:p w:rsidR="00075FD8" w:rsidRPr="00666B27" w:rsidRDefault="00075FD8" w:rsidP="00075FD8">
      <w:pPr>
        <w:pStyle w:val="ListParagraph"/>
        <w:ind w:left="0"/>
        <w:rPr>
          <w:rFonts w:ascii="Calibri" w:hAnsi="Calibri" w:cs="Calibri"/>
          <w:sz w:val="20"/>
          <w:szCs w:val="20"/>
          <w:lang w:val="en-GB"/>
        </w:rPr>
      </w:pPr>
    </w:p>
    <w:p w:rsidR="00112655" w:rsidRPr="00666B27" w:rsidRDefault="00112655" w:rsidP="005A108E">
      <w:pPr>
        <w:pStyle w:val="Heading2"/>
        <w:numPr>
          <w:ilvl w:val="1"/>
          <w:numId w:val="54"/>
        </w:numPr>
      </w:pPr>
      <w:bookmarkStart w:id="56" w:name="_Toc497848295"/>
      <w:bookmarkStart w:id="57" w:name="_Toc340758"/>
      <w:r w:rsidRPr="00666B27">
        <w:t>Expected results</w:t>
      </w:r>
      <w:bookmarkEnd w:id="56"/>
      <w:bookmarkEnd w:id="57"/>
    </w:p>
    <w:p w:rsidR="00112655" w:rsidRPr="00666B27" w:rsidRDefault="00112655" w:rsidP="00A1197A">
      <w:pPr>
        <w:spacing w:after="0"/>
        <w:rPr>
          <w:lang w:val="en-GB" w:eastAsia="en-GB"/>
        </w:rPr>
      </w:pPr>
    </w:p>
    <w:p w:rsidR="00C258C3" w:rsidRPr="00666B27" w:rsidRDefault="00DA3BB0" w:rsidP="00A1197A">
      <w:pPr>
        <w:spacing w:after="0"/>
        <w:rPr>
          <w:rStyle w:val="Hyperlink"/>
          <w:color w:val="auto"/>
          <w:szCs w:val="20"/>
          <w:u w:val="none"/>
          <w:lang w:val="en-GB"/>
        </w:rPr>
      </w:pPr>
      <w:r w:rsidRPr="00666B27">
        <w:rPr>
          <w:rStyle w:val="Hyperlink"/>
          <w:color w:val="auto"/>
          <w:szCs w:val="20"/>
          <w:u w:val="none"/>
          <w:lang w:val="en-GB"/>
        </w:rPr>
        <w:t>This Section describes in detail activities under each output of the three components of the Project</w:t>
      </w:r>
      <w:r w:rsidR="0012486F" w:rsidRPr="00666B27">
        <w:rPr>
          <w:rStyle w:val="Hyperlink"/>
          <w:color w:val="auto"/>
          <w:szCs w:val="20"/>
          <w:u w:val="none"/>
          <w:lang w:val="en-GB"/>
        </w:rPr>
        <w:t xml:space="preserve"> and which GEF Agency is responsible for which Outcome.</w:t>
      </w:r>
      <w:r w:rsidR="00B9752C" w:rsidRPr="00F737AD">
        <w:rPr>
          <w:rFonts w:cs="Calibri"/>
          <w:szCs w:val="20"/>
          <w:lang w:val="en-GB"/>
        </w:rPr>
        <w:t xml:space="preserve"> For a description of partner </w:t>
      </w:r>
      <w:r w:rsidR="00B9752C" w:rsidRPr="00F737AD">
        <w:rPr>
          <w:rFonts w:cs="Calibri"/>
          <w:noProof/>
          <w:szCs w:val="20"/>
          <w:lang w:val="en-GB"/>
        </w:rPr>
        <w:t>organisations</w:t>
      </w:r>
      <w:r w:rsidR="00B9752C" w:rsidRPr="00F737AD">
        <w:rPr>
          <w:rFonts w:cs="Calibri"/>
          <w:szCs w:val="20"/>
          <w:lang w:val="en-GB"/>
        </w:rPr>
        <w:t>, the reader is referred to Section 4.4 and Annex E.1.</w:t>
      </w:r>
    </w:p>
    <w:p w:rsidR="00B84CDD" w:rsidRPr="00666B27" w:rsidRDefault="00B84CDD" w:rsidP="00B84CDD">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666B27">
        <w:rPr>
          <w:rFonts w:eastAsia="Times New Roman" w:cs="Calibri"/>
          <w:bCs/>
          <w:i/>
          <w:color w:val="002060"/>
          <w:sz w:val="22"/>
          <w:szCs w:val="20"/>
          <w:lang w:val="en-GB"/>
        </w:rPr>
        <w:t>Component 1</w:t>
      </w:r>
      <w:r w:rsidRPr="00666B27">
        <w:rPr>
          <w:rFonts w:eastAsia="Times New Roman" w:cs="Calibri"/>
          <w:bCs/>
          <w:i/>
          <w:color w:val="002060"/>
          <w:sz w:val="22"/>
          <w:szCs w:val="20"/>
          <w:lang w:val="en-GB"/>
        </w:rPr>
        <w:tab/>
        <w:t>Development of national strategy and regulatory mechanisms</w:t>
      </w:r>
    </w:p>
    <w:p w:rsidR="00B84CDD" w:rsidRPr="00F737AD" w:rsidRDefault="00B84CDD" w:rsidP="00B84CDD">
      <w:pPr>
        <w:tabs>
          <w:tab w:val="left" w:pos="1560"/>
        </w:tabs>
        <w:spacing w:after="0"/>
        <w:jc w:val="left"/>
        <w:rPr>
          <w:rFonts w:cs="Calibri"/>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848"/>
      </w:tblGrid>
      <w:tr w:rsidR="00B84CDD" w:rsidRPr="0057545E" w:rsidTr="00F737AD">
        <w:tc>
          <w:tcPr>
            <w:tcW w:w="3114" w:type="dxa"/>
            <w:shd w:val="clear" w:color="auto" w:fill="auto"/>
          </w:tcPr>
          <w:p w:rsidR="00B84CDD" w:rsidRPr="00F737AD" w:rsidRDefault="00B84CDD" w:rsidP="00F737AD">
            <w:pPr>
              <w:tabs>
                <w:tab w:val="left" w:pos="1560"/>
              </w:tabs>
              <w:spacing w:after="0"/>
              <w:jc w:val="left"/>
              <w:rPr>
                <w:rFonts w:cs="Calibri"/>
                <w:i/>
                <w:szCs w:val="20"/>
                <w:lang w:val="en-GB"/>
              </w:rPr>
            </w:pPr>
            <w:bookmarkStart w:id="58" w:name="_Hlk4675475"/>
            <w:bookmarkStart w:id="59" w:name="_Hlk535919311"/>
            <w:r w:rsidRPr="00F737AD">
              <w:rPr>
                <w:rFonts w:cs="Calibri"/>
                <w:i/>
                <w:szCs w:val="20"/>
                <w:lang w:val="en-GB"/>
              </w:rPr>
              <w:t>Output</w:t>
            </w:r>
          </w:p>
        </w:tc>
        <w:tc>
          <w:tcPr>
            <w:tcW w:w="6848" w:type="dxa"/>
            <w:shd w:val="clear" w:color="auto" w:fill="auto"/>
          </w:tcPr>
          <w:p w:rsidR="00B84CDD" w:rsidRPr="00F737AD" w:rsidRDefault="00B84CDD" w:rsidP="00F737AD">
            <w:pPr>
              <w:tabs>
                <w:tab w:val="left" w:pos="1560"/>
              </w:tabs>
              <w:spacing w:after="0"/>
              <w:jc w:val="left"/>
              <w:rPr>
                <w:rFonts w:cs="Calibri"/>
                <w:i/>
                <w:szCs w:val="20"/>
                <w:lang w:val="en-GB"/>
              </w:rPr>
            </w:pPr>
            <w:r w:rsidRPr="00F737AD">
              <w:rPr>
                <w:rFonts w:cs="Calibri"/>
                <w:i/>
                <w:szCs w:val="20"/>
                <w:lang w:val="en-GB"/>
              </w:rPr>
              <w:t>Activity</w:t>
            </w:r>
          </w:p>
        </w:tc>
      </w:tr>
      <w:tr w:rsidR="00B84CDD" w:rsidRPr="0057545E" w:rsidTr="00F737AD">
        <w:tc>
          <w:tcPr>
            <w:tcW w:w="9962" w:type="dxa"/>
            <w:gridSpan w:val="2"/>
            <w:shd w:val="clear" w:color="auto" w:fill="DBDBDB"/>
          </w:tcPr>
          <w:p w:rsidR="00B84CDD" w:rsidRPr="00F737AD" w:rsidRDefault="00B84CDD" w:rsidP="00F737AD">
            <w:pPr>
              <w:tabs>
                <w:tab w:val="left" w:pos="1164"/>
                <w:tab w:val="left" w:pos="1560"/>
              </w:tabs>
              <w:spacing w:after="0"/>
              <w:ind w:left="1164" w:hanging="1164"/>
              <w:jc w:val="left"/>
              <w:rPr>
                <w:rFonts w:cs="Calibri"/>
                <w:b/>
                <w:szCs w:val="20"/>
                <w:lang w:val="en-GB"/>
              </w:rPr>
            </w:pPr>
            <w:r w:rsidRPr="00F737AD">
              <w:rPr>
                <w:rFonts w:cs="Calibri"/>
                <w:b/>
                <w:szCs w:val="20"/>
                <w:lang w:val="en-GB"/>
              </w:rPr>
              <w:t>Outcome 1</w:t>
            </w:r>
            <w:r w:rsidRPr="00F737AD">
              <w:rPr>
                <w:rFonts w:cs="Calibri"/>
                <w:b/>
                <w:szCs w:val="20"/>
                <w:lang w:val="en-GB"/>
              </w:rPr>
              <w:tab/>
            </w:r>
            <w:bookmarkStart w:id="60" w:name="_Hlk535926953"/>
            <w:r w:rsidR="00A86D4A" w:rsidRPr="00F737AD">
              <w:rPr>
                <w:rFonts w:cs="Calibri"/>
                <w:b/>
                <w:szCs w:val="20"/>
                <w:lang w:val="en-GB"/>
              </w:rPr>
              <w:t>Strengthened</w:t>
            </w:r>
            <w:r w:rsidRPr="00F737AD">
              <w:rPr>
                <w:rFonts w:cs="Calibri"/>
                <w:b/>
                <w:szCs w:val="20"/>
                <w:lang w:val="en-GB"/>
              </w:rPr>
              <w:t xml:space="preserve"> government capacity and regulatory frameworks for LEDs and distribution transformers</w:t>
            </w:r>
            <w:bookmarkEnd w:id="60"/>
          </w:p>
        </w:tc>
      </w:tr>
      <w:tr w:rsidR="00B84CDD" w:rsidRPr="0057545E" w:rsidTr="00F737AD">
        <w:trPr>
          <w:trHeight w:val="648"/>
        </w:trPr>
        <w:tc>
          <w:tcPr>
            <w:tcW w:w="3114" w:type="dxa"/>
            <w:vMerge w:val="restart"/>
            <w:shd w:val="clear" w:color="auto" w:fill="FFF2CC"/>
          </w:tcPr>
          <w:p w:rsidR="00B84CDD" w:rsidRPr="00F737AD" w:rsidRDefault="00B84CDD" w:rsidP="00F737AD">
            <w:pPr>
              <w:tabs>
                <w:tab w:val="left" w:pos="416"/>
                <w:tab w:val="left" w:pos="1560"/>
              </w:tabs>
              <w:spacing w:after="0"/>
              <w:ind w:left="455" w:hanging="455"/>
              <w:jc w:val="left"/>
              <w:rPr>
                <w:rFonts w:cs="Calibri"/>
                <w:szCs w:val="20"/>
                <w:lang w:val="en-GB"/>
              </w:rPr>
            </w:pPr>
            <w:r w:rsidRPr="00F737AD">
              <w:rPr>
                <w:rFonts w:cs="Calibri"/>
                <w:szCs w:val="20"/>
                <w:lang w:val="en-GB"/>
              </w:rPr>
              <w:t>1.1</w:t>
            </w:r>
            <w:r w:rsidRPr="00F737AD">
              <w:rPr>
                <w:rFonts w:cs="Calibri"/>
                <w:szCs w:val="20"/>
                <w:lang w:val="en-GB"/>
              </w:rPr>
              <w:tab/>
            </w:r>
            <w:bookmarkStart w:id="61" w:name="_Hlk535931032"/>
            <w:r w:rsidRPr="00F737AD">
              <w:rPr>
                <w:rFonts w:cs="Calibri"/>
                <w:szCs w:val="20"/>
                <w:lang w:val="en-GB"/>
              </w:rPr>
              <w:t>National coordination</w:t>
            </w:r>
            <w:r w:rsidR="004C4769" w:rsidRPr="00F737AD">
              <w:rPr>
                <w:rFonts w:cs="Calibri"/>
                <w:szCs w:val="20"/>
                <w:lang w:val="en-GB"/>
              </w:rPr>
              <w:t>,</w:t>
            </w:r>
            <w:r w:rsidR="004C4769" w:rsidRPr="00F737AD">
              <w:rPr>
                <w:rFonts w:cs="Calibri"/>
                <w:lang w:val="en-GB"/>
              </w:rPr>
              <w:t xml:space="preserve"> assessment and</w:t>
            </w:r>
            <w:r w:rsidRPr="00F737AD">
              <w:rPr>
                <w:rFonts w:cs="Calibri"/>
                <w:szCs w:val="20"/>
                <w:lang w:val="en-GB"/>
              </w:rPr>
              <w:t xml:space="preserve"> </w:t>
            </w:r>
            <w:r w:rsidR="0028122F" w:rsidRPr="00F737AD">
              <w:rPr>
                <w:rFonts w:cs="Calibri"/>
                <w:szCs w:val="20"/>
                <w:lang w:val="en-GB"/>
              </w:rPr>
              <w:t xml:space="preserve">strategy </w:t>
            </w:r>
            <w:bookmarkEnd w:id="61"/>
            <w:r w:rsidR="004C4769" w:rsidRPr="00F737AD">
              <w:rPr>
                <w:rFonts w:cs="Calibri"/>
                <w:noProof/>
                <w:szCs w:val="20"/>
                <w:lang w:val="en-GB"/>
              </w:rPr>
              <w:t>realised</w:t>
            </w:r>
          </w:p>
        </w:tc>
        <w:tc>
          <w:tcPr>
            <w:tcW w:w="6848" w:type="dxa"/>
            <w:shd w:val="clear" w:color="auto" w:fill="auto"/>
          </w:tcPr>
          <w:p w:rsidR="00B84CDD" w:rsidRPr="00F737AD" w:rsidRDefault="00B84CDD" w:rsidP="00F737AD">
            <w:pPr>
              <w:tabs>
                <w:tab w:val="left" w:pos="737"/>
                <w:tab w:val="left" w:pos="1560"/>
              </w:tabs>
              <w:spacing w:after="0"/>
              <w:ind w:left="737" w:hanging="708"/>
              <w:jc w:val="left"/>
              <w:rPr>
                <w:rFonts w:cs="Calibri"/>
                <w:szCs w:val="20"/>
                <w:lang w:val="en-GB"/>
              </w:rPr>
            </w:pPr>
            <w:bookmarkStart w:id="62" w:name="_Hlk535935993"/>
            <w:r w:rsidRPr="00F737AD">
              <w:rPr>
                <w:rFonts w:cs="Calibri"/>
                <w:szCs w:val="20"/>
                <w:lang w:val="en-GB"/>
              </w:rPr>
              <w:t>1.1.1</w:t>
            </w:r>
            <w:r w:rsidRPr="00F737AD">
              <w:rPr>
                <w:rFonts w:cs="Calibri"/>
                <w:szCs w:val="20"/>
                <w:lang w:val="en-GB"/>
              </w:rPr>
              <w:tab/>
              <w:t>Market assessments implemented on lighting products and distribution transformers</w:t>
            </w:r>
          </w:p>
          <w:bookmarkEnd w:id="62"/>
          <w:p w:rsidR="00B84CDD" w:rsidRPr="00F737AD" w:rsidRDefault="00B84CDD" w:rsidP="00F737AD">
            <w:pPr>
              <w:tabs>
                <w:tab w:val="left" w:pos="737"/>
                <w:tab w:val="left" w:pos="1560"/>
              </w:tabs>
              <w:spacing w:after="0"/>
              <w:ind w:left="737" w:hanging="708"/>
              <w:jc w:val="left"/>
              <w:rPr>
                <w:rFonts w:cs="Calibri"/>
                <w:szCs w:val="20"/>
                <w:lang w:val="en-GB"/>
              </w:rPr>
            </w:pPr>
            <w:r w:rsidRPr="00F737AD">
              <w:rPr>
                <w:rFonts w:cs="Calibri"/>
                <w:szCs w:val="20"/>
                <w:lang w:val="en-GB"/>
              </w:rPr>
              <w:t>1.1.2</w:t>
            </w:r>
            <w:r w:rsidRPr="00F737AD">
              <w:rPr>
                <w:rFonts w:cs="Calibri"/>
                <w:szCs w:val="20"/>
                <w:lang w:val="en-GB"/>
              </w:rPr>
              <w:tab/>
              <w:t>Establishment of working groups</w:t>
            </w:r>
            <w:r w:rsidR="0028122F" w:rsidRPr="00F737AD">
              <w:rPr>
                <w:lang w:val="en-GB"/>
              </w:rPr>
              <w:t xml:space="preserve"> </w:t>
            </w:r>
            <w:r w:rsidR="0028122F" w:rsidRPr="00F737AD">
              <w:rPr>
                <w:rFonts w:cs="Calibri"/>
                <w:szCs w:val="20"/>
                <w:lang w:val="en-GB"/>
              </w:rPr>
              <w:t>on lighting products and distribution transformers</w:t>
            </w:r>
          </w:p>
          <w:p w:rsidR="003B753C" w:rsidRPr="00F737AD" w:rsidRDefault="0028122F" w:rsidP="00F737AD">
            <w:pPr>
              <w:tabs>
                <w:tab w:val="left" w:pos="737"/>
                <w:tab w:val="left" w:pos="1560"/>
              </w:tabs>
              <w:spacing w:after="0"/>
              <w:ind w:left="737" w:hanging="737"/>
              <w:jc w:val="left"/>
              <w:rPr>
                <w:rFonts w:cs="Calibri"/>
                <w:szCs w:val="20"/>
                <w:lang w:val="en-GB"/>
              </w:rPr>
            </w:pPr>
            <w:r w:rsidRPr="00F737AD">
              <w:rPr>
                <w:rFonts w:cs="Calibri"/>
                <w:szCs w:val="20"/>
                <w:lang w:val="en-GB"/>
              </w:rPr>
              <w:t>1.1.3</w:t>
            </w:r>
            <w:r w:rsidRPr="00F737AD">
              <w:rPr>
                <w:rFonts w:cs="Calibri"/>
                <w:szCs w:val="20"/>
                <w:lang w:val="en-GB"/>
              </w:rPr>
              <w:tab/>
              <w:t>Strateg</w:t>
            </w:r>
            <w:r w:rsidR="00872BA7" w:rsidRPr="00F737AD">
              <w:rPr>
                <w:rFonts w:cs="Calibri"/>
                <w:szCs w:val="20"/>
                <w:lang w:val="en-GB"/>
              </w:rPr>
              <w:t>ies</w:t>
            </w:r>
            <w:r w:rsidRPr="00F737AD">
              <w:rPr>
                <w:rFonts w:cs="Calibri"/>
                <w:szCs w:val="20"/>
                <w:lang w:val="en-GB"/>
              </w:rPr>
              <w:t xml:space="preserve"> and action plans developed for </w:t>
            </w:r>
            <w:r w:rsidR="007F20AF" w:rsidRPr="00F737AD">
              <w:rPr>
                <w:rFonts w:cs="Calibri"/>
                <w:szCs w:val="20"/>
                <w:lang w:val="en-GB"/>
              </w:rPr>
              <w:t xml:space="preserve">HE </w:t>
            </w:r>
            <w:proofErr w:type="gramStart"/>
            <w:r w:rsidR="007F20AF" w:rsidRPr="00F737AD">
              <w:rPr>
                <w:rFonts w:cs="Calibri"/>
                <w:szCs w:val="20"/>
                <w:lang w:val="en-GB"/>
              </w:rPr>
              <w:t>lighting</w:t>
            </w:r>
            <w:proofErr w:type="gramEnd"/>
            <w:r w:rsidR="007F20AF" w:rsidRPr="00F737AD">
              <w:rPr>
                <w:rFonts w:cs="Calibri"/>
                <w:szCs w:val="20"/>
                <w:lang w:val="en-GB"/>
              </w:rPr>
              <w:t xml:space="preserve"> and </w:t>
            </w:r>
            <w:r w:rsidRPr="00F737AD">
              <w:rPr>
                <w:rFonts w:cs="Calibri"/>
                <w:szCs w:val="20"/>
                <w:lang w:val="en-GB"/>
              </w:rPr>
              <w:t>HE distribution transformers</w:t>
            </w:r>
          </w:p>
        </w:tc>
      </w:tr>
      <w:tr w:rsidR="00B84CDD" w:rsidRPr="0057545E" w:rsidTr="00F737AD">
        <w:trPr>
          <w:trHeight w:val="648"/>
        </w:trPr>
        <w:tc>
          <w:tcPr>
            <w:tcW w:w="3114" w:type="dxa"/>
            <w:vMerge/>
            <w:shd w:val="clear" w:color="auto" w:fill="FFF2CC"/>
          </w:tcPr>
          <w:p w:rsidR="00B84CDD" w:rsidRPr="00F737AD" w:rsidRDefault="00B84CDD" w:rsidP="00F737AD">
            <w:pPr>
              <w:tabs>
                <w:tab w:val="left" w:pos="416"/>
                <w:tab w:val="left" w:pos="1560"/>
              </w:tabs>
              <w:spacing w:after="0"/>
              <w:ind w:left="455" w:hanging="455"/>
              <w:jc w:val="left"/>
              <w:rPr>
                <w:rFonts w:cs="Calibri"/>
                <w:szCs w:val="20"/>
                <w:lang w:val="en-GB"/>
              </w:rPr>
            </w:pPr>
          </w:p>
        </w:tc>
        <w:tc>
          <w:tcPr>
            <w:tcW w:w="6848" w:type="dxa"/>
            <w:shd w:val="clear" w:color="auto" w:fill="auto"/>
          </w:tcPr>
          <w:p w:rsidR="00B84CDD" w:rsidRPr="00F737AD" w:rsidRDefault="00B84CDD"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 xml:space="preserve">Main partner: </w:t>
            </w:r>
            <w:r w:rsidR="00204D2A" w:rsidRPr="00F737AD">
              <w:rPr>
                <w:rFonts w:cs="Calibri"/>
                <w:sz w:val="19"/>
                <w:szCs w:val="19"/>
                <w:lang w:val="en-GB"/>
              </w:rPr>
              <w:t>D</w:t>
            </w:r>
            <w:r w:rsidR="00704E1C" w:rsidRPr="00F737AD">
              <w:rPr>
                <w:rFonts w:cs="Calibri"/>
                <w:sz w:val="19"/>
                <w:szCs w:val="19"/>
                <w:lang w:val="en-GB"/>
              </w:rPr>
              <w:t>O</w:t>
            </w:r>
            <w:r w:rsidR="00204D2A" w:rsidRPr="00F737AD">
              <w:rPr>
                <w:rFonts w:cs="Calibri"/>
                <w:sz w:val="19"/>
                <w:szCs w:val="19"/>
                <w:lang w:val="en-GB"/>
              </w:rPr>
              <w:t>E, DTI, DEA</w:t>
            </w:r>
            <w:r w:rsidR="00D4678A" w:rsidRPr="00F737AD">
              <w:rPr>
                <w:rFonts w:cs="Calibri"/>
                <w:sz w:val="19"/>
                <w:szCs w:val="19"/>
                <w:lang w:val="en-GB"/>
              </w:rPr>
              <w:t>, NERSA, Eskom</w:t>
            </w:r>
            <w:r w:rsidR="00704E1C" w:rsidRPr="00F737AD">
              <w:rPr>
                <w:rFonts w:cs="Calibri"/>
                <w:sz w:val="19"/>
                <w:szCs w:val="19"/>
                <w:lang w:val="en-GB"/>
              </w:rPr>
              <w:t>, DPE, CoGTA</w:t>
            </w:r>
            <w:r w:rsidR="006C79B7" w:rsidRPr="00F737AD">
              <w:rPr>
                <w:rFonts w:cs="Calibri"/>
                <w:sz w:val="19"/>
                <w:szCs w:val="19"/>
                <w:lang w:val="en-GB"/>
              </w:rPr>
              <w:t>, UNEP-U4E</w:t>
            </w:r>
          </w:p>
          <w:p w:rsidR="00B84CDD" w:rsidRPr="00F737AD" w:rsidRDefault="00204D2A" w:rsidP="00F737AD">
            <w:pPr>
              <w:tabs>
                <w:tab w:val="left" w:pos="29"/>
                <w:tab w:val="left" w:pos="1560"/>
              </w:tabs>
              <w:spacing w:after="0"/>
              <w:ind w:left="29"/>
              <w:jc w:val="left"/>
              <w:rPr>
                <w:rFonts w:cs="Calibri"/>
                <w:szCs w:val="20"/>
                <w:lang w:val="en-GB"/>
              </w:rPr>
            </w:pPr>
            <w:r w:rsidRPr="00F737AD">
              <w:rPr>
                <w:rFonts w:cs="Calibri"/>
                <w:szCs w:val="20"/>
                <w:lang w:val="en-GB"/>
              </w:rPr>
              <w:t xml:space="preserve">Other partners: </w:t>
            </w:r>
            <w:r w:rsidR="00B126C2" w:rsidRPr="00F737AD">
              <w:rPr>
                <w:rFonts w:cs="Calibri"/>
                <w:szCs w:val="20"/>
                <w:lang w:val="en-GB"/>
              </w:rPr>
              <w:t>AMEU</w:t>
            </w:r>
            <w:r w:rsidR="007C3833" w:rsidRPr="00F737AD">
              <w:rPr>
                <w:rFonts w:cs="Calibri"/>
                <w:szCs w:val="20"/>
                <w:lang w:val="en-GB"/>
              </w:rPr>
              <w:t>, SALGA</w:t>
            </w:r>
            <w:r w:rsidR="00B126C2" w:rsidRPr="00F737AD">
              <w:rPr>
                <w:rFonts w:cs="Calibri"/>
                <w:szCs w:val="20"/>
                <w:lang w:val="en-GB"/>
              </w:rPr>
              <w:t xml:space="preserve"> (municipalities),</w:t>
            </w:r>
            <w:r w:rsidR="00D4678A" w:rsidRPr="00F737AD">
              <w:rPr>
                <w:rFonts w:cs="Calibri"/>
                <w:szCs w:val="20"/>
                <w:lang w:val="en-GB"/>
              </w:rPr>
              <w:t xml:space="preserve"> IESSA, Manufacturer/supplier associations or organisations</w:t>
            </w:r>
            <w:r w:rsidR="00BC4F18" w:rsidRPr="00F737AD">
              <w:rPr>
                <w:rFonts w:cs="Calibri"/>
                <w:szCs w:val="20"/>
                <w:lang w:val="en-GB"/>
              </w:rPr>
              <w:t>; SANEDI</w:t>
            </w:r>
          </w:p>
        </w:tc>
      </w:tr>
      <w:tr w:rsidR="00B84CDD" w:rsidRPr="0057545E" w:rsidTr="00F737AD">
        <w:trPr>
          <w:trHeight w:val="976"/>
        </w:trPr>
        <w:tc>
          <w:tcPr>
            <w:tcW w:w="3114" w:type="dxa"/>
            <w:vMerge w:val="restart"/>
            <w:shd w:val="clear" w:color="auto" w:fill="FFF2CC"/>
          </w:tcPr>
          <w:p w:rsidR="00B84CDD" w:rsidRPr="00F737AD" w:rsidRDefault="00B84CDD" w:rsidP="00F737AD">
            <w:pPr>
              <w:tabs>
                <w:tab w:val="left" w:pos="455"/>
                <w:tab w:val="left" w:pos="1560"/>
              </w:tabs>
              <w:spacing w:after="0"/>
              <w:ind w:left="455" w:hanging="455"/>
              <w:jc w:val="left"/>
              <w:rPr>
                <w:rFonts w:cs="Calibri"/>
                <w:szCs w:val="20"/>
                <w:lang w:val="en-GB"/>
              </w:rPr>
            </w:pPr>
            <w:r w:rsidRPr="00F737AD">
              <w:rPr>
                <w:rFonts w:cs="Calibri"/>
                <w:szCs w:val="20"/>
                <w:lang w:val="en-GB"/>
              </w:rPr>
              <w:t>1.2</w:t>
            </w:r>
            <w:r w:rsidRPr="00F737AD">
              <w:rPr>
                <w:rFonts w:cs="Calibri"/>
                <w:szCs w:val="20"/>
                <w:lang w:val="en-GB"/>
              </w:rPr>
              <w:tab/>
            </w:r>
            <w:r w:rsidR="000021EC" w:rsidRPr="00F737AD">
              <w:rPr>
                <w:rFonts w:cs="Calibri"/>
                <w:szCs w:val="20"/>
                <w:lang w:val="en-GB"/>
              </w:rPr>
              <w:t xml:space="preserve">S&amp;L </w:t>
            </w:r>
            <w:r w:rsidR="00AB275F" w:rsidRPr="00F737AD">
              <w:rPr>
                <w:rFonts w:cs="Calibri"/>
                <w:szCs w:val="20"/>
                <w:lang w:val="en-GB"/>
              </w:rPr>
              <w:t>and MVE system developed for</w:t>
            </w:r>
            <w:r w:rsidR="0028122F" w:rsidRPr="00F737AD">
              <w:rPr>
                <w:rFonts w:cs="Calibri"/>
                <w:szCs w:val="20"/>
                <w:lang w:val="en-GB"/>
              </w:rPr>
              <w:t xml:space="preserve"> LED lighting and distribution transformers</w:t>
            </w:r>
          </w:p>
        </w:tc>
        <w:tc>
          <w:tcPr>
            <w:tcW w:w="6848" w:type="dxa"/>
            <w:shd w:val="clear" w:color="auto" w:fill="auto"/>
          </w:tcPr>
          <w:p w:rsidR="0028122F" w:rsidRPr="00F737AD" w:rsidRDefault="00AB275F" w:rsidP="00F737AD">
            <w:pPr>
              <w:tabs>
                <w:tab w:val="left" w:pos="737"/>
                <w:tab w:val="left" w:pos="1560"/>
              </w:tabs>
              <w:spacing w:after="0"/>
              <w:ind w:left="737" w:hanging="737"/>
              <w:jc w:val="left"/>
              <w:rPr>
                <w:rFonts w:cs="Calibri"/>
                <w:szCs w:val="20"/>
                <w:lang w:val="en-GB"/>
              </w:rPr>
            </w:pPr>
            <w:r w:rsidRPr="00F737AD">
              <w:rPr>
                <w:rFonts w:cs="Calibri"/>
                <w:szCs w:val="20"/>
                <w:lang w:val="en-GB"/>
              </w:rPr>
              <w:t>1.2.</w:t>
            </w:r>
            <w:r w:rsidR="00442D92" w:rsidRPr="00F737AD">
              <w:rPr>
                <w:rFonts w:cs="Calibri"/>
                <w:szCs w:val="20"/>
                <w:lang w:val="en-GB"/>
              </w:rPr>
              <w:t>1</w:t>
            </w:r>
            <w:r w:rsidRPr="00F737AD">
              <w:rPr>
                <w:rFonts w:cs="Calibri"/>
                <w:szCs w:val="20"/>
                <w:lang w:val="en-GB"/>
              </w:rPr>
              <w:tab/>
            </w:r>
            <w:r w:rsidR="00CA3585" w:rsidRPr="00F737AD">
              <w:rPr>
                <w:rFonts w:cs="Calibri"/>
                <w:szCs w:val="20"/>
                <w:lang w:val="en-GB"/>
              </w:rPr>
              <w:t xml:space="preserve">Proposals for (mandatory) </w:t>
            </w:r>
            <w:r w:rsidR="00CA3585" w:rsidRPr="00F737AD">
              <w:rPr>
                <w:rFonts w:cs="Calibri"/>
                <w:noProof/>
                <w:szCs w:val="20"/>
                <w:lang w:val="en-GB"/>
              </w:rPr>
              <w:t>labelling</w:t>
            </w:r>
            <w:r w:rsidR="00CA3585" w:rsidRPr="00F737AD">
              <w:rPr>
                <w:rFonts w:cs="Calibri"/>
                <w:szCs w:val="20"/>
                <w:lang w:val="en-GB"/>
              </w:rPr>
              <w:t xml:space="preserve"> and MEPS </w:t>
            </w:r>
            <w:r w:rsidR="000021EC" w:rsidRPr="00F737AD">
              <w:rPr>
                <w:rFonts w:cs="Calibri"/>
                <w:szCs w:val="20"/>
                <w:lang w:val="en-GB"/>
              </w:rPr>
              <w:t xml:space="preserve">(S&amp;L) </w:t>
            </w:r>
            <w:r w:rsidR="00CA3585" w:rsidRPr="00F737AD">
              <w:rPr>
                <w:rFonts w:cs="Calibri"/>
                <w:szCs w:val="20"/>
                <w:lang w:val="en-GB"/>
              </w:rPr>
              <w:t xml:space="preserve">for lighting and MVE system </w:t>
            </w:r>
          </w:p>
          <w:p w:rsidR="00AB275F" w:rsidRPr="00F737AD" w:rsidRDefault="00AB275F" w:rsidP="00F737AD">
            <w:pPr>
              <w:tabs>
                <w:tab w:val="left" w:pos="737"/>
                <w:tab w:val="left" w:pos="1560"/>
              </w:tabs>
              <w:spacing w:after="0"/>
              <w:ind w:left="737" w:hanging="737"/>
              <w:jc w:val="left"/>
              <w:rPr>
                <w:rFonts w:cs="Calibri"/>
                <w:szCs w:val="20"/>
                <w:lang w:val="en-GB"/>
              </w:rPr>
            </w:pPr>
            <w:r w:rsidRPr="00F737AD">
              <w:rPr>
                <w:rFonts w:cs="Calibri"/>
                <w:szCs w:val="20"/>
                <w:lang w:val="en-GB"/>
              </w:rPr>
              <w:t>1.2.</w:t>
            </w:r>
            <w:r w:rsidR="00442D92" w:rsidRPr="00F737AD">
              <w:rPr>
                <w:rFonts w:cs="Calibri"/>
                <w:szCs w:val="20"/>
                <w:lang w:val="en-GB"/>
              </w:rPr>
              <w:t>2</w:t>
            </w:r>
            <w:r w:rsidRPr="00F737AD">
              <w:rPr>
                <w:rFonts w:cs="Calibri"/>
                <w:szCs w:val="20"/>
                <w:lang w:val="en-GB"/>
              </w:rPr>
              <w:tab/>
              <w:t xml:space="preserve">Proposal for setting up </w:t>
            </w:r>
            <w:r w:rsidR="00CA3585" w:rsidRPr="00F737AD">
              <w:rPr>
                <w:rFonts w:cs="Calibri"/>
                <w:szCs w:val="20"/>
                <w:lang w:val="en-GB"/>
              </w:rPr>
              <w:t>MEPS</w:t>
            </w:r>
            <w:r w:rsidR="00E1691F" w:rsidRPr="00F737AD">
              <w:rPr>
                <w:rFonts w:cs="Calibri"/>
                <w:szCs w:val="20"/>
                <w:lang w:val="en-GB"/>
              </w:rPr>
              <w:t xml:space="preserve">/regulations </w:t>
            </w:r>
            <w:r w:rsidR="00CA3585" w:rsidRPr="00F737AD">
              <w:rPr>
                <w:rFonts w:cs="Calibri"/>
                <w:szCs w:val="20"/>
                <w:lang w:val="en-GB"/>
              </w:rPr>
              <w:t xml:space="preserve">and </w:t>
            </w:r>
            <w:r w:rsidRPr="00F737AD">
              <w:rPr>
                <w:rFonts w:cs="Calibri"/>
                <w:szCs w:val="20"/>
                <w:lang w:val="en-GB"/>
              </w:rPr>
              <w:t xml:space="preserve">MVE system for </w:t>
            </w:r>
            <w:r w:rsidR="00CA3585" w:rsidRPr="00F737AD">
              <w:rPr>
                <w:rFonts w:cs="Calibri"/>
                <w:szCs w:val="20"/>
                <w:lang w:val="en-GB"/>
              </w:rPr>
              <w:t>distribution transformers</w:t>
            </w:r>
          </w:p>
          <w:p w:rsidR="00B84CDD" w:rsidRPr="00F737AD" w:rsidRDefault="003B753C" w:rsidP="00F737AD">
            <w:pPr>
              <w:tabs>
                <w:tab w:val="left" w:pos="737"/>
                <w:tab w:val="left" w:pos="1560"/>
              </w:tabs>
              <w:spacing w:after="0"/>
              <w:ind w:left="737" w:hanging="737"/>
              <w:jc w:val="left"/>
              <w:rPr>
                <w:rFonts w:cs="Calibri"/>
                <w:szCs w:val="20"/>
                <w:lang w:val="en-GB"/>
              </w:rPr>
            </w:pPr>
            <w:r w:rsidRPr="00F737AD">
              <w:rPr>
                <w:rFonts w:cs="Calibri"/>
                <w:szCs w:val="20"/>
                <w:lang w:val="en-GB"/>
              </w:rPr>
              <w:t>1.2.</w:t>
            </w:r>
            <w:r w:rsidR="00442D92" w:rsidRPr="00F737AD">
              <w:rPr>
                <w:rFonts w:cs="Calibri"/>
                <w:szCs w:val="20"/>
                <w:lang w:val="en-GB"/>
              </w:rPr>
              <w:t>3</w:t>
            </w:r>
            <w:r w:rsidRPr="00F737AD">
              <w:rPr>
                <w:rFonts w:cs="Calibri"/>
                <w:szCs w:val="20"/>
                <w:lang w:val="en-GB"/>
              </w:rPr>
              <w:tab/>
              <w:t>Capacity strengthening</w:t>
            </w:r>
            <w:r w:rsidR="00A60790" w:rsidRPr="00F737AD">
              <w:rPr>
                <w:rFonts w:cs="Calibri"/>
                <w:szCs w:val="20"/>
                <w:lang w:val="en-GB"/>
              </w:rPr>
              <w:t xml:space="preserve"> and stakeholder engagement on standards and </w:t>
            </w:r>
            <w:r w:rsidR="00A60790" w:rsidRPr="00F737AD">
              <w:rPr>
                <w:rFonts w:cs="Calibri"/>
                <w:noProof/>
                <w:szCs w:val="20"/>
                <w:lang w:val="en-GB"/>
              </w:rPr>
              <w:t>labelling</w:t>
            </w:r>
          </w:p>
        </w:tc>
      </w:tr>
      <w:tr w:rsidR="00B84CDD" w:rsidRPr="0057545E" w:rsidTr="00F737AD">
        <w:trPr>
          <w:trHeight w:val="533"/>
        </w:trPr>
        <w:tc>
          <w:tcPr>
            <w:tcW w:w="3114" w:type="dxa"/>
            <w:vMerge/>
            <w:shd w:val="clear" w:color="auto" w:fill="FFF2CC"/>
          </w:tcPr>
          <w:p w:rsidR="00B84CDD" w:rsidRPr="00F737AD" w:rsidRDefault="00B84CDD"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B84CDD" w:rsidRPr="00F737AD" w:rsidRDefault="00B84CDD" w:rsidP="00F737AD">
            <w:pPr>
              <w:tabs>
                <w:tab w:val="left" w:pos="737"/>
                <w:tab w:val="left" w:pos="1560"/>
              </w:tabs>
              <w:spacing w:after="0"/>
              <w:ind w:left="737" w:hanging="737"/>
              <w:jc w:val="left"/>
              <w:rPr>
                <w:rFonts w:cs="Calibri"/>
                <w:sz w:val="19"/>
                <w:szCs w:val="19"/>
              </w:rPr>
            </w:pPr>
            <w:r w:rsidRPr="00F737AD">
              <w:rPr>
                <w:rFonts w:cs="Calibri"/>
                <w:sz w:val="19"/>
                <w:szCs w:val="19"/>
              </w:rPr>
              <w:t xml:space="preserve">Main partners: </w:t>
            </w:r>
            <w:r w:rsidR="00C73B9C" w:rsidRPr="00F737AD">
              <w:rPr>
                <w:rFonts w:cs="Calibri"/>
                <w:sz w:val="19"/>
                <w:szCs w:val="19"/>
              </w:rPr>
              <w:t>DOE, DTI</w:t>
            </w:r>
            <w:r w:rsidR="00D4678A" w:rsidRPr="00F737AD">
              <w:rPr>
                <w:rFonts w:cs="Calibri"/>
                <w:sz w:val="19"/>
                <w:szCs w:val="19"/>
              </w:rPr>
              <w:t>; SANEDI, NRCS, NERSA, SABS</w:t>
            </w:r>
            <w:r w:rsidR="00704E1C" w:rsidRPr="00F737AD">
              <w:rPr>
                <w:rFonts w:cs="Calibri"/>
                <w:sz w:val="19"/>
                <w:szCs w:val="19"/>
              </w:rPr>
              <w:t>, DPE</w:t>
            </w:r>
            <w:r w:rsidR="0060724A" w:rsidRPr="00F737AD">
              <w:rPr>
                <w:rFonts w:cs="Calibri"/>
                <w:sz w:val="19"/>
                <w:szCs w:val="19"/>
              </w:rPr>
              <w:t>, Treasury</w:t>
            </w:r>
          </w:p>
          <w:p w:rsidR="00B84CDD" w:rsidRPr="00F737AD" w:rsidRDefault="00B84CDD" w:rsidP="00F737AD">
            <w:pPr>
              <w:tabs>
                <w:tab w:val="left" w:pos="1163"/>
                <w:tab w:val="left" w:pos="1560"/>
              </w:tabs>
              <w:spacing w:after="0"/>
              <w:ind w:left="29" w:hanging="29"/>
              <w:jc w:val="left"/>
              <w:rPr>
                <w:rFonts w:cs="Calibri"/>
                <w:sz w:val="19"/>
                <w:szCs w:val="19"/>
                <w:lang w:val="en-GB"/>
              </w:rPr>
            </w:pPr>
            <w:r w:rsidRPr="00F737AD">
              <w:rPr>
                <w:rFonts w:cs="Calibri"/>
                <w:sz w:val="19"/>
                <w:szCs w:val="19"/>
                <w:lang w:val="en-GB"/>
              </w:rPr>
              <w:t xml:space="preserve">Other partners: </w:t>
            </w:r>
            <w:r w:rsidR="00A60790" w:rsidRPr="00F737AD">
              <w:rPr>
                <w:rFonts w:cs="Calibri"/>
                <w:sz w:val="19"/>
                <w:szCs w:val="19"/>
                <w:lang w:val="en-GB"/>
              </w:rPr>
              <w:t>Manufacturer/supplier</w:t>
            </w:r>
            <w:r w:rsidR="00D4678A" w:rsidRPr="00F737AD">
              <w:rPr>
                <w:rFonts w:cs="Calibri"/>
                <w:sz w:val="19"/>
                <w:szCs w:val="19"/>
                <w:lang w:val="en-GB"/>
              </w:rPr>
              <w:t xml:space="preserve">s and </w:t>
            </w:r>
            <w:r w:rsidR="00A60790" w:rsidRPr="00F737AD">
              <w:rPr>
                <w:rFonts w:cs="Calibri"/>
                <w:sz w:val="19"/>
                <w:szCs w:val="19"/>
                <w:lang w:val="en-GB"/>
              </w:rPr>
              <w:t xml:space="preserve">associations or organisations; </w:t>
            </w:r>
            <w:r w:rsidR="00D4678A" w:rsidRPr="00F737AD">
              <w:rPr>
                <w:rFonts w:cs="Calibri"/>
                <w:sz w:val="19"/>
                <w:szCs w:val="19"/>
                <w:lang w:val="en-GB"/>
              </w:rPr>
              <w:t>Customs, AMEU</w:t>
            </w:r>
            <w:r w:rsidR="009D4090" w:rsidRPr="00F737AD">
              <w:rPr>
                <w:rFonts w:cs="Calibri"/>
                <w:sz w:val="19"/>
                <w:szCs w:val="19"/>
                <w:lang w:val="en-GB"/>
              </w:rPr>
              <w:t>, IESSA</w:t>
            </w:r>
            <w:r w:rsidR="003B7B82" w:rsidRPr="00F737AD">
              <w:rPr>
                <w:rFonts w:cs="Calibri"/>
                <w:sz w:val="19"/>
                <w:szCs w:val="19"/>
                <w:lang w:val="en-GB"/>
              </w:rPr>
              <w:t>; UNEP-U4E</w:t>
            </w:r>
          </w:p>
        </w:tc>
      </w:tr>
      <w:tr w:rsidR="0028122F" w:rsidRPr="0057545E" w:rsidTr="00F737AD">
        <w:trPr>
          <w:trHeight w:val="279"/>
        </w:trPr>
        <w:tc>
          <w:tcPr>
            <w:tcW w:w="3114" w:type="dxa"/>
            <w:vMerge w:val="restart"/>
            <w:shd w:val="clear" w:color="auto" w:fill="FFF2CC"/>
          </w:tcPr>
          <w:p w:rsidR="0028122F" w:rsidRPr="00F737AD" w:rsidRDefault="0028122F" w:rsidP="00F737AD">
            <w:pPr>
              <w:tabs>
                <w:tab w:val="left" w:pos="455"/>
                <w:tab w:val="left" w:pos="1560"/>
              </w:tabs>
              <w:spacing w:after="0"/>
              <w:ind w:left="455" w:hanging="455"/>
              <w:jc w:val="left"/>
              <w:rPr>
                <w:rFonts w:cs="Calibri"/>
                <w:szCs w:val="20"/>
                <w:lang w:val="en-GB"/>
              </w:rPr>
            </w:pPr>
            <w:r w:rsidRPr="00F737AD">
              <w:rPr>
                <w:rFonts w:cs="Calibri"/>
                <w:szCs w:val="20"/>
                <w:lang w:val="en-GB"/>
              </w:rPr>
              <w:t>1.</w:t>
            </w:r>
            <w:r w:rsidR="00AB275F" w:rsidRPr="00F737AD">
              <w:rPr>
                <w:rFonts w:cs="Calibri"/>
                <w:szCs w:val="20"/>
                <w:lang w:val="en-GB"/>
              </w:rPr>
              <w:t>3</w:t>
            </w:r>
            <w:r w:rsidRPr="00F737AD">
              <w:rPr>
                <w:rFonts w:cs="Calibri"/>
                <w:szCs w:val="20"/>
                <w:lang w:val="en-GB"/>
              </w:rPr>
              <w:tab/>
            </w:r>
            <w:bookmarkStart w:id="63" w:name="_Hlk535959823"/>
            <w:r w:rsidR="00AB275F" w:rsidRPr="00F737AD">
              <w:rPr>
                <w:rFonts w:cs="Calibri"/>
                <w:szCs w:val="20"/>
                <w:lang w:val="en-GB"/>
              </w:rPr>
              <w:t xml:space="preserve">Strengthened capacity of testing labs and testing of products </w:t>
            </w:r>
            <w:bookmarkEnd w:id="63"/>
          </w:p>
        </w:tc>
        <w:tc>
          <w:tcPr>
            <w:tcW w:w="6848" w:type="dxa"/>
            <w:shd w:val="clear" w:color="auto" w:fill="auto"/>
          </w:tcPr>
          <w:p w:rsidR="0028122F" w:rsidRPr="00F737AD" w:rsidRDefault="00AB275F"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1.</w:t>
            </w:r>
            <w:r w:rsidR="005212AF" w:rsidRPr="00F737AD">
              <w:rPr>
                <w:rFonts w:cs="Calibri"/>
                <w:sz w:val="19"/>
                <w:szCs w:val="19"/>
                <w:lang w:val="en-GB"/>
              </w:rPr>
              <w:t>3</w:t>
            </w:r>
            <w:r w:rsidRPr="00F737AD">
              <w:rPr>
                <w:rFonts w:cs="Calibri"/>
                <w:sz w:val="19"/>
                <w:szCs w:val="19"/>
                <w:lang w:val="en-GB"/>
              </w:rPr>
              <w:t>.1</w:t>
            </w:r>
            <w:r w:rsidRPr="00F737AD">
              <w:rPr>
                <w:rFonts w:cs="Calibri"/>
                <w:sz w:val="19"/>
                <w:szCs w:val="19"/>
                <w:lang w:val="en-GB"/>
              </w:rPr>
              <w:tab/>
              <w:t xml:space="preserve">Assessment of capacity needed to do </w:t>
            </w:r>
            <w:r w:rsidRPr="00F737AD">
              <w:rPr>
                <w:rFonts w:cs="Calibri"/>
                <w:noProof/>
                <w:sz w:val="19"/>
                <w:szCs w:val="19"/>
                <w:lang w:val="en-GB"/>
              </w:rPr>
              <w:t>photometric</w:t>
            </w:r>
            <w:r w:rsidRPr="00F737AD">
              <w:rPr>
                <w:rFonts w:cs="Calibri"/>
                <w:sz w:val="19"/>
                <w:szCs w:val="19"/>
                <w:lang w:val="en-GB"/>
              </w:rPr>
              <w:t xml:space="preserve"> test (lighting) and transformers in accredited facilities</w:t>
            </w:r>
          </w:p>
          <w:p w:rsidR="00AB275F" w:rsidRPr="00F737AD" w:rsidRDefault="00AB275F"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1.</w:t>
            </w:r>
            <w:r w:rsidR="005212AF" w:rsidRPr="00F737AD">
              <w:rPr>
                <w:rFonts w:cs="Calibri"/>
                <w:sz w:val="19"/>
                <w:szCs w:val="19"/>
                <w:lang w:val="en-GB"/>
              </w:rPr>
              <w:t>3</w:t>
            </w:r>
            <w:r w:rsidRPr="00F737AD">
              <w:rPr>
                <w:rFonts w:cs="Calibri"/>
                <w:sz w:val="19"/>
                <w:szCs w:val="19"/>
                <w:lang w:val="en-GB"/>
              </w:rPr>
              <w:t>.2</w:t>
            </w:r>
            <w:r w:rsidRPr="00F737AD">
              <w:rPr>
                <w:rFonts w:cs="Calibri"/>
                <w:sz w:val="19"/>
                <w:szCs w:val="19"/>
                <w:lang w:val="en-GB"/>
              </w:rPr>
              <w:tab/>
            </w:r>
            <w:proofErr w:type="gramStart"/>
            <w:r w:rsidRPr="00F737AD">
              <w:rPr>
                <w:rFonts w:cs="Calibri"/>
                <w:sz w:val="19"/>
                <w:szCs w:val="19"/>
                <w:lang w:val="en-GB"/>
              </w:rPr>
              <w:t>Provide assistance to</w:t>
            </w:r>
            <w:proofErr w:type="gramEnd"/>
            <w:r w:rsidRPr="00F737AD">
              <w:rPr>
                <w:rFonts w:cs="Calibri"/>
                <w:sz w:val="19"/>
                <w:szCs w:val="19"/>
                <w:lang w:val="en-GB"/>
              </w:rPr>
              <w:t xml:space="preserve"> upgrade testing facilities and support accreditation</w:t>
            </w:r>
          </w:p>
          <w:p w:rsidR="00AB275F" w:rsidRPr="00F737AD" w:rsidRDefault="00AB275F"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1.</w:t>
            </w:r>
            <w:r w:rsidR="005212AF" w:rsidRPr="00F737AD">
              <w:rPr>
                <w:rFonts w:cs="Calibri"/>
                <w:sz w:val="19"/>
                <w:szCs w:val="19"/>
                <w:lang w:val="en-GB"/>
              </w:rPr>
              <w:t>3</w:t>
            </w:r>
            <w:r w:rsidRPr="00F737AD">
              <w:rPr>
                <w:rFonts w:cs="Calibri"/>
                <w:sz w:val="19"/>
                <w:szCs w:val="19"/>
                <w:lang w:val="en-GB"/>
              </w:rPr>
              <w:t>.3</w:t>
            </w:r>
            <w:r w:rsidRPr="00F737AD">
              <w:rPr>
                <w:rFonts w:cs="Calibri"/>
                <w:sz w:val="19"/>
                <w:szCs w:val="19"/>
                <w:lang w:val="en-GB"/>
              </w:rPr>
              <w:tab/>
            </w:r>
            <w:bookmarkStart w:id="64" w:name="_Hlk536007085"/>
            <w:r w:rsidRPr="00F737AD">
              <w:rPr>
                <w:rFonts w:cs="Calibri"/>
                <w:sz w:val="19"/>
                <w:szCs w:val="19"/>
                <w:lang w:val="en-GB"/>
              </w:rPr>
              <w:t>Testing of selected products carried out and publication of results</w:t>
            </w:r>
            <w:bookmarkEnd w:id="64"/>
          </w:p>
        </w:tc>
      </w:tr>
      <w:tr w:rsidR="0028122F" w:rsidRPr="0057545E" w:rsidTr="00F737AD">
        <w:trPr>
          <w:trHeight w:val="279"/>
        </w:trPr>
        <w:tc>
          <w:tcPr>
            <w:tcW w:w="3114" w:type="dxa"/>
            <w:vMerge/>
            <w:shd w:val="clear" w:color="auto" w:fill="FFF2CC"/>
          </w:tcPr>
          <w:p w:rsidR="0028122F" w:rsidRPr="00F737AD" w:rsidRDefault="0028122F"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28122F" w:rsidRPr="00F737AD" w:rsidRDefault="00D4678A"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Main partners: SABS, SANAS, NMISA</w:t>
            </w:r>
          </w:p>
          <w:p w:rsidR="00D4678A" w:rsidRPr="00F737AD" w:rsidRDefault="00D4678A"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 xml:space="preserve">Other partners: IIESA, Manufacturer/suppliers and associations or </w:t>
            </w:r>
            <w:r w:rsidRPr="00F737AD">
              <w:rPr>
                <w:rFonts w:cs="Calibri"/>
                <w:noProof/>
                <w:sz w:val="19"/>
                <w:szCs w:val="19"/>
                <w:lang w:val="en-GB"/>
              </w:rPr>
              <w:t>organisations</w:t>
            </w:r>
          </w:p>
        </w:tc>
      </w:tr>
      <w:tr w:rsidR="0012486F" w:rsidRPr="0057545E" w:rsidTr="00F737AD">
        <w:trPr>
          <w:trHeight w:val="279"/>
        </w:trPr>
        <w:tc>
          <w:tcPr>
            <w:tcW w:w="9962" w:type="dxa"/>
            <w:gridSpan w:val="2"/>
            <w:shd w:val="clear" w:color="auto" w:fill="DBDBDB"/>
          </w:tcPr>
          <w:p w:rsidR="0012486F" w:rsidRPr="00F737AD" w:rsidRDefault="0012486F" w:rsidP="00F737AD">
            <w:pPr>
              <w:tabs>
                <w:tab w:val="left" w:pos="737"/>
                <w:tab w:val="left" w:pos="1560"/>
              </w:tabs>
              <w:spacing w:after="0"/>
              <w:ind w:left="737" w:hanging="737"/>
              <w:jc w:val="left"/>
              <w:rPr>
                <w:rFonts w:cs="Calibri"/>
                <w:b/>
                <w:sz w:val="19"/>
                <w:szCs w:val="19"/>
                <w:lang w:val="en-GB"/>
              </w:rPr>
            </w:pPr>
            <w:r w:rsidRPr="00F737AD">
              <w:rPr>
                <w:rFonts w:cs="Calibri"/>
                <w:b/>
                <w:sz w:val="19"/>
                <w:szCs w:val="19"/>
                <w:lang w:val="en-GB"/>
              </w:rPr>
              <w:t xml:space="preserve">Responsible GEF Implementing </w:t>
            </w:r>
            <w:r w:rsidRPr="00F737AD">
              <w:rPr>
                <w:rFonts w:cs="Calibri"/>
                <w:b/>
                <w:noProof/>
                <w:sz w:val="19"/>
                <w:szCs w:val="19"/>
                <w:lang w:val="en-GB"/>
              </w:rPr>
              <w:t>agency</w:t>
            </w:r>
            <w:r w:rsidRPr="00F737AD">
              <w:rPr>
                <w:rFonts w:cs="Calibri"/>
                <w:b/>
                <w:sz w:val="19"/>
                <w:szCs w:val="19"/>
                <w:lang w:val="en-GB"/>
              </w:rPr>
              <w:t>: UNDP</w:t>
            </w:r>
          </w:p>
        </w:tc>
      </w:tr>
      <w:bookmarkEnd w:id="58"/>
    </w:tbl>
    <w:p w:rsidR="00B84CDD" w:rsidRPr="00F737AD" w:rsidRDefault="00B84CDD" w:rsidP="00B84CDD">
      <w:pPr>
        <w:tabs>
          <w:tab w:val="left" w:pos="1560"/>
        </w:tabs>
        <w:spacing w:after="0"/>
        <w:jc w:val="left"/>
        <w:rPr>
          <w:rFonts w:cs="Calibri"/>
          <w:szCs w:val="20"/>
          <w:lang w:val="en-GB"/>
        </w:rPr>
      </w:pPr>
    </w:p>
    <w:bookmarkEnd w:id="59"/>
    <w:p w:rsidR="001F2622" w:rsidRPr="00F737AD" w:rsidRDefault="001F2622" w:rsidP="001F2622">
      <w:pPr>
        <w:tabs>
          <w:tab w:val="left" w:pos="1560"/>
        </w:tabs>
        <w:spacing w:after="0"/>
        <w:jc w:val="left"/>
        <w:rPr>
          <w:rFonts w:cs="Calibri"/>
          <w:szCs w:val="20"/>
          <w:lang w:val="en-GB"/>
        </w:rPr>
      </w:pPr>
      <w:r w:rsidRPr="00F737AD">
        <w:rPr>
          <w:rFonts w:cs="Calibri"/>
          <w:szCs w:val="20"/>
          <w:lang w:val="en-GB"/>
        </w:rPr>
        <w:t xml:space="preserve">The following paragraphs describe the Activities that will be conducted to deliver the expected Outputs to contribute to </w:t>
      </w:r>
      <w:r w:rsidRPr="00F737AD">
        <w:rPr>
          <w:rFonts w:cs="Calibri"/>
          <w:noProof/>
          <w:szCs w:val="20"/>
          <w:lang w:val="en-GB"/>
        </w:rPr>
        <w:t>realization</w:t>
      </w:r>
      <w:r w:rsidRPr="00F737AD">
        <w:rPr>
          <w:rFonts w:cs="Calibri"/>
          <w:szCs w:val="20"/>
          <w:lang w:val="en-GB"/>
        </w:rPr>
        <w:t xml:space="preserve"> of Outcome 1.</w:t>
      </w:r>
      <w:r w:rsidR="00B9752C" w:rsidRPr="00F737AD">
        <w:rPr>
          <w:rFonts w:cs="Calibri"/>
          <w:szCs w:val="20"/>
          <w:lang w:val="en-GB"/>
        </w:rPr>
        <w:t xml:space="preserve"> </w:t>
      </w:r>
    </w:p>
    <w:p w:rsidR="001F2622" w:rsidRPr="00F737AD" w:rsidRDefault="001F2622" w:rsidP="001F2622">
      <w:pPr>
        <w:tabs>
          <w:tab w:val="left" w:pos="1560"/>
        </w:tabs>
        <w:spacing w:after="0"/>
        <w:jc w:val="left"/>
        <w:rPr>
          <w:rFonts w:cs="Calibri"/>
          <w:szCs w:val="20"/>
          <w:lang w:val="en-GB"/>
        </w:rPr>
      </w:pPr>
    </w:p>
    <w:p w:rsidR="001F2622" w:rsidRPr="00F737AD" w:rsidRDefault="001F2622" w:rsidP="001F2622">
      <w:pPr>
        <w:tabs>
          <w:tab w:val="left" w:pos="1276"/>
        </w:tabs>
        <w:spacing w:after="0"/>
        <w:jc w:val="left"/>
        <w:rPr>
          <w:rFonts w:cs="Calibri"/>
          <w:b/>
          <w:szCs w:val="20"/>
          <w:lang w:val="en-GB"/>
        </w:rPr>
      </w:pPr>
      <w:r w:rsidRPr="00F737AD">
        <w:rPr>
          <w:rFonts w:cs="Calibri"/>
          <w:b/>
          <w:szCs w:val="20"/>
          <w:lang w:val="en-GB"/>
        </w:rPr>
        <w:t>Output 1.1</w:t>
      </w:r>
      <w:r w:rsidRPr="00F737AD">
        <w:rPr>
          <w:rFonts w:cs="Calibri"/>
          <w:b/>
          <w:szCs w:val="20"/>
          <w:lang w:val="en-GB"/>
        </w:rPr>
        <w:tab/>
        <w:t>National coordination</w:t>
      </w:r>
      <w:r w:rsidR="004C4769" w:rsidRPr="00F737AD">
        <w:rPr>
          <w:rFonts w:cs="Calibri"/>
          <w:b/>
          <w:szCs w:val="20"/>
          <w:lang w:val="en-GB"/>
        </w:rPr>
        <w:t xml:space="preserve">, assessment and strategy </w:t>
      </w:r>
      <w:r w:rsidR="004C4769" w:rsidRPr="00F737AD">
        <w:rPr>
          <w:rFonts w:cs="Calibri"/>
          <w:b/>
          <w:noProof/>
          <w:szCs w:val="20"/>
          <w:lang w:val="en-GB"/>
        </w:rPr>
        <w:t>realised</w:t>
      </w:r>
    </w:p>
    <w:p w:rsidR="00EB26D9" w:rsidRPr="00F737AD" w:rsidRDefault="00EB26D9" w:rsidP="00466CC5">
      <w:pPr>
        <w:tabs>
          <w:tab w:val="left" w:pos="1560"/>
        </w:tabs>
        <w:spacing w:after="0"/>
        <w:jc w:val="left"/>
        <w:rPr>
          <w:rFonts w:cs="Calibri"/>
          <w:szCs w:val="20"/>
          <w:lang w:val="en-GB"/>
        </w:rPr>
      </w:pPr>
    </w:p>
    <w:p w:rsidR="003117E5" w:rsidRPr="00F737AD" w:rsidRDefault="00C105A3" w:rsidP="00204D2A">
      <w:pPr>
        <w:tabs>
          <w:tab w:val="left" w:pos="1276"/>
        </w:tabs>
        <w:spacing w:after="0"/>
        <w:rPr>
          <w:rFonts w:cs="Calibri"/>
          <w:i/>
          <w:szCs w:val="20"/>
          <w:lang w:val="en-GB"/>
        </w:rPr>
      </w:pPr>
      <w:bookmarkStart w:id="65" w:name="_Hlk535950316"/>
      <w:r w:rsidRPr="00F737AD">
        <w:rPr>
          <w:rFonts w:cs="Calibri"/>
          <w:i/>
          <w:szCs w:val="20"/>
          <w:lang w:val="en-GB"/>
        </w:rPr>
        <w:t>Activity 1.1.1</w:t>
      </w:r>
      <w:r w:rsidRPr="00F737AD">
        <w:rPr>
          <w:rFonts w:cs="Calibri"/>
          <w:i/>
          <w:szCs w:val="20"/>
          <w:lang w:val="en-GB"/>
        </w:rPr>
        <w:tab/>
        <w:t>Market assessment</w:t>
      </w:r>
      <w:r w:rsidR="00A32B0B" w:rsidRPr="00F737AD">
        <w:rPr>
          <w:rFonts w:cs="Calibri"/>
          <w:i/>
          <w:szCs w:val="20"/>
          <w:lang w:val="en-GB"/>
        </w:rPr>
        <w:t>s and databases</w:t>
      </w:r>
      <w:r w:rsidRPr="00F737AD">
        <w:rPr>
          <w:rFonts w:cs="Calibri"/>
          <w:i/>
          <w:szCs w:val="20"/>
          <w:lang w:val="en-GB"/>
        </w:rPr>
        <w:t xml:space="preserve"> implemented on lighting products and distribution transformers</w:t>
      </w:r>
    </w:p>
    <w:p w:rsidR="00A32B0B" w:rsidRPr="00F737AD" w:rsidRDefault="00C105A3" w:rsidP="00967EB1">
      <w:pPr>
        <w:tabs>
          <w:tab w:val="left" w:pos="1560"/>
        </w:tabs>
        <w:spacing w:before="60" w:after="0"/>
        <w:rPr>
          <w:rFonts w:cs="Calibri"/>
          <w:szCs w:val="20"/>
          <w:lang w:val="en-GB"/>
        </w:rPr>
      </w:pPr>
      <w:r w:rsidRPr="00F737AD">
        <w:rPr>
          <w:rFonts w:cs="Calibri"/>
          <w:szCs w:val="20"/>
          <w:lang w:val="en-GB"/>
        </w:rPr>
        <w:t xml:space="preserve">The </w:t>
      </w:r>
      <w:r w:rsidR="00204D2A" w:rsidRPr="00F737AD">
        <w:rPr>
          <w:rFonts w:cs="Calibri"/>
          <w:szCs w:val="20"/>
          <w:lang w:val="en-GB"/>
        </w:rPr>
        <w:t>P</w:t>
      </w:r>
      <w:r w:rsidRPr="00F737AD">
        <w:rPr>
          <w:rFonts w:cs="Calibri"/>
          <w:szCs w:val="20"/>
          <w:lang w:val="en-GB"/>
        </w:rPr>
        <w:t xml:space="preserve">roject will undertake its own market assessment of existing lamp stocks (installed lamps in residential, commercial and public </w:t>
      </w:r>
      <w:bookmarkEnd w:id="65"/>
      <w:r w:rsidRPr="00F737AD">
        <w:rPr>
          <w:rFonts w:cs="Calibri"/>
          <w:szCs w:val="20"/>
          <w:lang w:val="en-GB"/>
        </w:rPr>
        <w:t>buildings as well as in street and outdoor lighting), trends in the purchase and operation of lighting products for the various subsectors</w:t>
      </w:r>
      <w:r w:rsidR="00084531" w:rsidRPr="00F737AD">
        <w:rPr>
          <w:rFonts w:cs="Calibri"/>
          <w:szCs w:val="20"/>
          <w:lang w:val="en-GB"/>
        </w:rPr>
        <w:t xml:space="preserve">, </w:t>
      </w:r>
      <w:r w:rsidRPr="00F737AD">
        <w:rPr>
          <w:rFonts w:cs="Calibri"/>
          <w:szCs w:val="20"/>
          <w:lang w:val="en-GB"/>
        </w:rPr>
        <w:t>distinguishing between various lamp wattages and type of lamps (incandescent, fluorescent, HID, etc.)</w:t>
      </w:r>
      <w:r w:rsidR="009D4FBB" w:rsidRPr="00F737AD">
        <w:rPr>
          <w:rFonts w:cs="Calibri"/>
          <w:szCs w:val="20"/>
          <w:lang w:val="en-GB"/>
        </w:rPr>
        <w:t xml:space="preserve">, </w:t>
      </w:r>
      <w:r w:rsidR="00084531" w:rsidRPr="00F737AD">
        <w:rPr>
          <w:rFonts w:cs="Calibri"/>
          <w:szCs w:val="20"/>
          <w:lang w:val="en-GB"/>
        </w:rPr>
        <w:t>together with a d</w:t>
      </w:r>
      <w:r w:rsidRPr="00F737AD">
        <w:rPr>
          <w:rFonts w:cs="Calibri"/>
          <w:szCs w:val="20"/>
          <w:lang w:val="en-GB"/>
        </w:rPr>
        <w:t>escription of the supply chain</w:t>
      </w:r>
      <w:r w:rsidR="009D4FBB" w:rsidRPr="00F737AD">
        <w:rPr>
          <w:rFonts w:cs="Calibri"/>
          <w:szCs w:val="20"/>
          <w:lang w:val="en-GB"/>
        </w:rPr>
        <w:t xml:space="preserve"> (retail channels, prices, most commonly sold products; quality of the </w:t>
      </w:r>
      <w:r w:rsidR="009D4FBB" w:rsidRPr="00F737AD">
        <w:rPr>
          <w:rFonts w:cs="Calibri"/>
          <w:szCs w:val="20"/>
          <w:lang w:val="en-GB"/>
        </w:rPr>
        <w:lastRenderedPageBreak/>
        <w:t>products)</w:t>
      </w:r>
      <w:r w:rsidRPr="00F737AD">
        <w:rPr>
          <w:rFonts w:cs="Calibri"/>
          <w:szCs w:val="20"/>
          <w:lang w:val="en-GB"/>
        </w:rPr>
        <w:t xml:space="preserve">. A key element will be an assessment of consumer knowledge, priorities regarding lighting products, using various methodological approaches (focus groups, surveys) and generating gender-relevant data.  </w:t>
      </w:r>
      <w:r w:rsidR="004960E7" w:rsidRPr="00F737AD">
        <w:rPr>
          <w:rFonts w:cs="Calibri"/>
          <w:szCs w:val="20"/>
          <w:lang w:val="en-GB"/>
        </w:rPr>
        <w:t xml:space="preserve">The U4E partners (Philips, Osram, other) provide market intelligence (e.g. data) on lighting products and Eskom on distribution transformers. </w:t>
      </w:r>
      <w:r w:rsidR="00A32B0B" w:rsidRPr="00F737AD">
        <w:rPr>
          <w:rFonts w:cs="Calibri"/>
          <w:szCs w:val="20"/>
          <w:lang w:val="en-GB"/>
        </w:rPr>
        <w:t>Similarly, a market study on distribution transformers will be carried out (installed transformers technology, type, size</w:t>
      </w:r>
      <w:r w:rsidR="00E236DA" w:rsidRPr="00F737AD">
        <w:rPr>
          <w:rFonts w:cs="Calibri"/>
          <w:szCs w:val="20"/>
          <w:lang w:val="en-GB"/>
        </w:rPr>
        <w:t>,</w:t>
      </w:r>
      <w:r w:rsidR="00A32B0B" w:rsidRPr="00F737AD">
        <w:rPr>
          <w:rFonts w:cs="Calibri"/>
          <w:szCs w:val="20"/>
          <w:lang w:val="en-GB"/>
        </w:rPr>
        <w:t xml:space="preserve"> </w:t>
      </w:r>
      <w:r w:rsidR="00A32B0B" w:rsidRPr="00F737AD">
        <w:rPr>
          <w:rFonts w:cs="Calibri"/>
          <w:noProof/>
          <w:szCs w:val="20"/>
          <w:lang w:val="en-GB"/>
        </w:rPr>
        <w:t>and</w:t>
      </w:r>
      <w:r w:rsidR="00A32B0B" w:rsidRPr="00F737AD">
        <w:rPr>
          <w:rFonts w:cs="Calibri"/>
          <w:szCs w:val="20"/>
          <w:lang w:val="en-GB"/>
        </w:rPr>
        <w:t xml:space="preserve"> losses; costs) at Eskom and municipalities, including sales by manufacturers and supplier</w:t>
      </w:r>
      <w:r w:rsidR="00084531" w:rsidRPr="00F737AD">
        <w:rPr>
          <w:rFonts w:cs="Calibri"/>
          <w:szCs w:val="20"/>
          <w:lang w:val="en-GB"/>
        </w:rPr>
        <w:t>s.</w:t>
      </w:r>
    </w:p>
    <w:p w:rsidR="00C105A3" w:rsidRPr="00353542" w:rsidRDefault="00C105A3" w:rsidP="00967EB1">
      <w:pPr>
        <w:tabs>
          <w:tab w:val="left" w:pos="1560"/>
        </w:tabs>
        <w:spacing w:before="60" w:after="0"/>
        <w:rPr>
          <w:rFonts w:eastAsia="Calibri"/>
          <w:sz w:val="19"/>
          <w:szCs w:val="19"/>
          <w:lang w:val="en-GB"/>
        </w:rPr>
      </w:pPr>
      <w:r w:rsidRPr="00F737AD">
        <w:rPr>
          <w:rFonts w:cs="Calibri"/>
          <w:szCs w:val="20"/>
          <w:lang w:val="en-GB"/>
        </w:rPr>
        <w:t xml:space="preserve">The activity will be complemented by setting up a nation-wide database on sales and efficiencies of LEDs and other lamps) </w:t>
      </w:r>
      <w:r w:rsidR="00A32B0B" w:rsidRPr="00F737AD">
        <w:rPr>
          <w:rFonts w:cs="Calibri"/>
          <w:szCs w:val="20"/>
          <w:lang w:val="en-GB"/>
        </w:rPr>
        <w:t xml:space="preserve">and one for distribution transformers (indicating type, capacity and no-load and load losses). </w:t>
      </w:r>
      <w:r w:rsidR="00A32B0B" w:rsidRPr="00666B27">
        <w:rPr>
          <w:rFonts w:eastAsia="Calibri"/>
          <w:sz w:val="19"/>
          <w:szCs w:val="19"/>
          <w:lang w:val="en-GB"/>
        </w:rPr>
        <w:t xml:space="preserve">The database will be tracking tool of products for enforcement of MEPS and </w:t>
      </w:r>
      <w:r w:rsidR="008C5ACE" w:rsidRPr="00666B27">
        <w:rPr>
          <w:rFonts w:eastAsia="Calibri"/>
          <w:sz w:val="19"/>
          <w:szCs w:val="19"/>
          <w:lang w:val="en-GB"/>
        </w:rPr>
        <w:t>can also serve as a source of</w:t>
      </w:r>
      <w:r w:rsidR="00A32B0B" w:rsidRPr="00666B27">
        <w:rPr>
          <w:rFonts w:eastAsia="Calibri"/>
          <w:sz w:val="19"/>
          <w:szCs w:val="19"/>
          <w:lang w:val="en-GB"/>
        </w:rPr>
        <w:t xml:space="preserve"> information to consumers, vendors, and suppliers about what products comply with </w:t>
      </w:r>
      <w:r w:rsidR="00A32B0B" w:rsidRPr="00666B27">
        <w:rPr>
          <w:rFonts w:eastAsia="Calibri"/>
          <w:noProof/>
          <w:sz w:val="19"/>
          <w:szCs w:val="19"/>
          <w:lang w:val="en-GB"/>
        </w:rPr>
        <w:t>MEPS</w:t>
      </w:r>
      <w:r w:rsidR="00A32B0B" w:rsidRPr="00666B27">
        <w:rPr>
          <w:rFonts w:eastAsia="Calibri"/>
          <w:sz w:val="19"/>
          <w:szCs w:val="19"/>
          <w:lang w:val="en-GB"/>
        </w:rPr>
        <w:t xml:space="preserve">. The UNDP/GEF project on energy efficiency standards and </w:t>
      </w:r>
      <w:r w:rsidR="00A32B0B" w:rsidRPr="00666B27">
        <w:rPr>
          <w:rFonts w:eastAsia="Calibri"/>
          <w:noProof/>
          <w:sz w:val="19"/>
          <w:szCs w:val="19"/>
          <w:lang w:val="en-GB"/>
        </w:rPr>
        <w:t>labelling</w:t>
      </w:r>
      <w:r w:rsidR="00A32B0B" w:rsidRPr="00666B27">
        <w:rPr>
          <w:rFonts w:eastAsia="Calibri"/>
          <w:sz w:val="19"/>
          <w:szCs w:val="19"/>
          <w:lang w:val="en-GB"/>
        </w:rPr>
        <w:t xml:space="preserve"> (EE S&amp;L) in South Africa is developing a register of products that comply with national </w:t>
      </w:r>
      <w:r w:rsidR="00A32B0B" w:rsidRPr="00666B27">
        <w:rPr>
          <w:rFonts w:eastAsia="Calibri"/>
          <w:noProof/>
          <w:sz w:val="19"/>
          <w:szCs w:val="19"/>
          <w:lang w:val="en-GB"/>
        </w:rPr>
        <w:t>MEPS</w:t>
      </w:r>
      <w:r w:rsidR="00A32B0B" w:rsidRPr="00666B27">
        <w:rPr>
          <w:rFonts w:eastAsia="Calibri"/>
          <w:sz w:val="19"/>
          <w:szCs w:val="19"/>
          <w:lang w:val="en-GB"/>
        </w:rPr>
        <w:t xml:space="preserve"> and </w:t>
      </w:r>
      <w:r w:rsidR="00A32B0B" w:rsidRPr="00666B27">
        <w:rPr>
          <w:rFonts w:eastAsia="Calibri"/>
          <w:noProof/>
          <w:sz w:val="19"/>
          <w:szCs w:val="19"/>
          <w:lang w:val="en-GB"/>
        </w:rPr>
        <w:t>labelling</w:t>
      </w:r>
      <w:r w:rsidR="00A32B0B" w:rsidRPr="00666B27">
        <w:rPr>
          <w:rFonts w:eastAsia="Calibri"/>
          <w:sz w:val="19"/>
          <w:szCs w:val="19"/>
          <w:lang w:val="en-GB"/>
        </w:rPr>
        <w:t xml:space="preserve"> requirements (see </w:t>
      </w:r>
      <w:r w:rsidR="00A32B0B" w:rsidRPr="0057545E">
        <w:rPr>
          <w:rFonts w:eastAsia="Calibri"/>
          <w:sz w:val="19"/>
          <w:szCs w:val="19"/>
          <w:lang w:val="en-GB"/>
        </w:rPr>
        <w:fldChar w:fldCharType="begin"/>
      </w:r>
      <w:r w:rsidR="00A32B0B" w:rsidRPr="00666B27">
        <w:rPr>
          <w:rFonts w:eastAsia="Calibri"/>
          <w:sz w:val="19"/>
          <w:szCs w:val="19"/>
          <w:lang w:val="en-GB"/>
        </w:rPr>
        <w:instrText xml:space="preserve"> REF _Ref496016749 \h </w:instrText>
      </w:r>
      <w:r w:rsidR="00204D2A" w:rsidRPr="00666B27">
        <w:rPr>
          <w:rFonts w:eastAsia="Calibri"/>
          <w:sz w:val="19"/>
          <w:szCs w:val="19"/>
          <w:lang w:val="en-GB"/>
        </w:rPr>
        <w:instrText xml:space="preserve"> \* MERGEFORMAT </w:instrText>
      </w:r>
      <w:r w:rsidR="00A32B0B" w:rsidRPr="0057545E">
        <w:rPr>
          <w:rFonts w:eastAsia="Calibri"/>
          <w:sz w:val="19"/>
          <w:szCs w:val="19"/>
          <w:lang w:val="en-GB"/>
        </w:rPr>
      </w:r>
      <w:r w:rsidR="00A32B0B" w:rsidRPr="0057545E">
        <w:rPr>
          <w:rFonts w:eastAsia="Calibri"/>
          <w:sz w:val="19"/>
          <w:szCs w:val="19"/>
          <w:lang w:val="en-GB"/>
        </w:rPr>
        <w:fldChar w:fldCharType="separate"/>
      </w:r>
      <w:r w:rsidR="00256251" w:rsidRPr="00256251">
        <w:rPr>
          <w:rFonts w:ascii="Arial" w:hAnsi="Arial" w:cs="Arial"/>
          <w:color w:val="2E74B5"/>
          <w:sz w:val="18"/>
          <w:lang w:val="en-GB"/>
        </w:rPr>
        <w:t xml:space="preserve">Box </w:t>
      </w:r>
      <w:r w:rsidR="00256251" w:rsidRPr="00256251">
        <w:rPr>
          <w:rFonts w:ascii="Arial" w:hAnsi="Arial" w:cs="Arial"/>
          <w:noProof/>
          <w:color w:val="2E74B5"/>
          <w:sz w:val="18"/>
          <w:lang w:val="en-GB"/>
        </w:rPr>
        <w:t>21</w:t>
      </w:r>
      <w:r w:rsidR="00A32B0B" w:rsidRPr="0057545E">
        <w:rPr>
          <w:rFonts w:eastAsia="Calibri"/>
          <w:sz w:val="19"/>
          <w:szCs w:val="19"/>
          <w:lang w:val="en-GB"/>
        </w:rPr>
        <w:fldChar w:fldCharType="end"/>
      </w:r>
      <w:r w:rsidR="00A32B0B" w:rsidRPr="0057545E">
        <w:rPr>
          <w:rFonts w:eastAsia="Calibri"/>
          <w:sz w:val="19"/>
          <w:szCs w:val="19"/>
          <w:lang w:val="en-GB"/>
        </w:rPr>
        <w:t>, Annex E), managed by SABS</w:t>
      </w:r>
      <w:r w:rsidR="006D54AF" w:rsidRPr="0057545E">
        <w:rPr>
          <w:rFonts w:eastAsia="Calibri"/>
          <w:sz w:val="19"/>
          <w:szCs w:val="19"/>
          <w:lang w:val="en-GB"/>
        </w:rPr>
        <w:t>. The Project will build on this activity and work together to expand the database with information on lighting products and distribution transformers.</w:t>
      </w:r>
    </w:p>
    <w:p w:rsidR="00A32B0B" w:rsidRPr="00F737AD" w:rsidRDefault="00A32B0B" w:rsidP="00204D2A">
      <w:pPr>
        <w:tabs>
          <w:tab w:val="left" w:pos="1560"/>
        </w:tabs>
        <w:spacing w:after="0"/>
        <w:rPr>
          <w:rFonts w:cs="Calibri"/>
          <w:szCs w:val="20"/>
          <w:lang w:val="en-GB"/>
        </w:rPr>
      </w:pPr>
    </w:p>
    <w:p w:rsidR="00A32B0B" w:rsidRPr="00F737AD" w:rsidRDefault="00A32B0B" w:rsidP="00204D2A">
      <w:pPr>
        <w:tabs>
          <w:tab w:val="left" w:pos="1276"/>
        </w:tabs>
        <w:spacing w:after="0"/>
        <w:rPr>
          <w:rFonts w:cs="Calibri"/>
          <w:i/>
          <w:szCs w:val="20"/>
          <w:lang w:val="en-GB"/>
        </w:rPr>
      </w:pPr>
      <w:r w:rsidRPr="00F737AD">
        <w:rPr>
          <w:rFonts w:cs="Calibri"/>
          <w:i/>
          <w:szCs w:val="20"/>
          <w:lang w:val="en-GB"/>
        </w:rPr>
        <w:t xml:space="preserve">Activity </w:t>
      </w:r>
      <w:r w:rsidR="006D54AF" w:rsidRPr="00F737AD">
        <w:rPr>
          <w:rFonts w:cs="Calibri"/>
          <w:i/>
          <w:szCs w:val="20"/>
          <w:lang w:val="en-GB"/>
        </w:rPr>
        <w:t>1.1.2</w:t>
      </w:r>
      <w:r w:rsidR="006D54AF" w:rsidRPr="00F737AD">
        <w:rPr>
          <w:rFonts w:cs="Calibri"/>
          <w:i/>
          <w:szCs w:val="20"/>
          <w:lang w:val="en-GB"/>
        </w:rPr>
        <w:tab/>
        <w:t>Establishment of working groups on lighting products and distribution transformers</w:t>
      </w:r>
    </w:p>
    <w:p w:rsidR="00C105A3" w:rsidRPr="00F737AD" w:rsidRDefault="00204D2A" w:rsidP="00967EB1">
      <w:pPr>
        <w:tabs>
          <w:tab w:val="left" w:pos="1560"/>
        </w:tabs>
        <w:spacing w:before="60" w:after="0"/>
        <w:rPr>
          <w:rFonts w:cs="Calibri"/>
          <w:szCs w:val="20"/>
          <w:lang w:val="en-GB"/>
        </w:rPr>
      </w:pPr>
      <w:bookmarkStart w:id="66" w:name="_Hlk4671544"/>
      <w:r w:rsidRPr="00F737AD">
        <w:rPr>
          <w:rFonts w:cs="Calibri"/>
          <w:szCs w:val="20"/>
          <w:lang w:val="en-GB"/>
        </w:rPr>
        <w:t xml:space="preserve">There are </w:t>
      </w:r>
      <w:r w:rsidR="008C5ACE" w:rsidRPr="00F737AD">
        <w:rPr>
          <w:rFonts w:cs="Calibri"/>
          <w:szCs w:val="20"/>
          <w:lang w:val="en-GB"/>
        </w:rPr>
        <w:t xml:space="preserve">ongoing </w:t>
      </w:r>
      <w:r w:rsidRPr="00F737AD">
        <w:rPr>
          <w:rFonts w:cs="Calibri"/>
          <w:szCs w:val="20"/>
          <w:lang w:val="en-GB"/>
        </w:rPr>
        <w:t xml:space="preserve">interdepartmental efforts (DOE, </w:t>
      </w:r>
      <w:r w:rsidR="001F6E9C" w:rsidRPr="00F737AD">
        <w:rPr>
          <w:rFonts w:cs="Calibri"/>
          <w:szCs w:val="20"/>
          <w:lang w:val="en-GB"/>
        </w:rPr>
        <w:t xml:space="preserve">DTI, </w:t>
      </w:r>
      <w:r w:rsidRPr="00F737AD">
        <w:rPr>
          <w:rFonts w:cs="Calibri"/>
          <w:szCs w:val="20"/>
          <w:lang w:val="en-GB"/>
        </w:rPr>
        <w:t xml:space="preserve">SABS, NCRS, NERSA) to design market transformation programmes (including minimum standards and </w:t>
      </w:r>
      <w:r w:rsidRPr="00F737AD">
        <w:rPr>
          <w:rFonts w:cs="Calibri"/>
          <w:noProof/>
          <w:szCs w:val="20"/>
          <w:lang w:val="en-GB"/>
        </w:rPr>
        <w:t>labelling</w:t>
      </w:r>
      <w:r w:rsidRPr="00F737AD">
        <w:rPr>
          <w:rFonts w:cs="Calibri"/>
          <w:szCs w:val="20"/>
          <w:lang w:val="en-GB"/>
        </w:rPr>
        <w:t xml:space="preserve">) for appliances covered by the current (mandatory) standards and </w:t>
      </w:r>
      <w:r w:rsidRPr="00F737AD">
        <w:rPr>
          <w:rFonts w:cs="Calibri"/>
          <w:noProof/>
          <w:szCs w:val="20"/>
          <w:lang w:val="en-GB"/>
        </w:rPr>
        <w:t>labelling</w:t>
      </w:r>
      <w:r w:rsidRPr="00F737AD">
        <w:rPr>
          <w:rFonts w:cs="Calibri"/>
          <w:szCs w:val="20"/>
          <w:lang w:val="en-GB"/>
        </w:rPr>
        <w:t xml:space="preserve"> scheme. The Project </w:t>
      </w:r>
      <w:r w:rsidR="001F6E9C" w:rsidRPr="00F737AD">
        <w:rPr>
          <w:rFonts w:cs="Calibri"/>
          <w:szCs w:val="20"/>
          <w:lang w:val="en-GB"/>
        </w:rPr>
        <w:t xml:space="preserve">will help to extend such cooperation efforts to include lighting and distribution transformers and to include </w:t>
      </w:r>
      <w:r w:rsidR="008C5ACE" w:rsidRPr="00F737AD">
        <w:rPr>
          <w:rFonts w:cs="Calibri"/>
          <w:szCs w:val="20"/>
          <w:lang w:val="en-GB"/>
        </w:rPr>
        <w:t xml:space="preserve">private sector and </w:t>
      </w:r>
      <w:r w:rsidR="001F6E9C" w:rsidRPr="00F737AD">
        <w:rPr>
          <w:rFonts w:cs="Calibri"/>
          <w:szCs w:val="20"/>
          <w:lang w:val="en-GB"/>
        </w:rPr>
        <w:t>stakeholders</w:t>
      </w:r>
      <w:r w:rsidR="008C5ACE" w:rsidRPr="00F737AD">
        <w:rPr>
          <w:rFonts w:cs="Calibri"/>
          <w:szCs w:val="20"/>
          <w:lang w:val="en-GB"/>
        </w:rPr>
        <w:t xml:space="preserve"> in these areas, by setting up </w:t>
      </w:r>
      <w:r w:rsidR="001F6E9C" w:rsidRPr="00F737AD">
        <w:rPr>
          <w:rFonts w:cs="Calibri"/>
          <w:szCs w:val="20"/>
          <w:lang w:val="en-GB"/>
        </w:rPr>
        <w:t>Working Group</w:t>
      </w:r>
      <w:r w:rsidR="008C5ACE" w:rsidRPr="00F737AD">
        <w:rPr>
          <w:rFonts w:cs="Calibri"/>
          <w:szCs w:val="20"/>
          <w:lang w:val="en-GB"/>
        </w:rPr>
        <w:t>s</w:t>
      </w:r>
      <w:r w:rsidR="001F6E9C" w:rsidRPr="00F737AD">
        <w:rPr>
          <w:rFonts w:cs="Calibri"/>
          <w:szCs w:val="20"/>
          <w:lang w:val="en-GB"/>
        </w:rPr>
        <w:t xml:space="preserve"> on LED and </w:t>
      </w:r>
      <w:r w:rsidR="008C5ACE" w:rsidRPr="00F737AD">
        <w:rPr>
          <w:rFonts w:cs="Calibri"/>
          <w:szCs w:val="20"/>
          <w:lang w:val="en-GB"/>
        </w:rPr>
        <w:t>L</w:t>
      </w:r>
      <w:r w:rsidR="001F6E9C" w:rsidRPr="00F737AD">
        <w:rPr>
          <w:rFonts w:cs="Calibri"/>
          <w:szCs w:val="20"/>
          <w:lang w:val="en-GB"/>
        </w:rPr>
        <w:t>ighting and</w:t>
      </w:r>
      <w:r w:rsidR="008C5ACE" w:rsidRPr="00F737AD">
        <w:rPr>
          <w:rFonts w:cs="Calibri"/>
          <w:szCs w:val="20"/>
          <w:lang w:val="en-GB"/>
        </w:rPr>
        <w:t xml:space="preserve">, </w:t>
      </w:r>
      <w:r w:rsidR="001F6E9C" w:rsidRPr="00F737AD">
        <w:rPr>
          <w:rFonts w:cs="Calibri"/>
          <w:szCs w:val="20"/>
          <w:lang w:val="en-GB"/>
        </w:rPr>
        <w:t>on Efficient Transformers and Distribution</w:t>
      </w:r>
      <w:r w:rsidR="008C5ACE" w:rsidRPr="00F737AD">
        <w:rPr>
          <w:rFonts w:cs="Calibri"/>
          <w:szCs w:val="20"/>
          <w:lang w:val="en-GB"/>
        </w:rPr>
        <w:t>, and on Financing</w:t>
      </w:r>
      <w:r w:rsidR="001F6E9C" w:rsidRPr="00F737AD">
        <w:rPr>
          <w:rFonts w:cs="Calibri"/>
          <w:szCs w:val="20"/>
          <w:lang w:val="en-GB"/>
        </w:rPr>
        <w:t>. Apart from the government department and agencies involved, the WGs will have representatives from local government (municipalities), Eskom, development banks (e.g. DBSA, IDC) and private sector (suppliers and manufacturers, consultancy and service providers, financial intermediaries)</w:t>
      </w:r>
      <w:r w:rsidR="003B753C" w:rsidRPr="00F737AD">
        <w:rPr>
          <w:rFonts w:cs="Calibri"/>
          <w:szCs w:val="20"/>
          <w:lang w:val="en-GB"/>
        </w:rPr>
        <w:t xml:space="preserve"> and NGOs (consumer </w:t>
      </w:r>
      <w:r w:rsidR="003B753C" w:rsidRPr="00F737AD">
        <w:rPr>
          <w:rFonts w:cs="Calibri"/>
          <w:noProof/>
          <w:szCs w:val="20"/>
          <w:lang w:val="en-GB"/>
        </w:rPr>
        <w:t>organisations</w:t>
      </w:r>
      <w:r w:rsidR="003B753C" w:rsidRPr="00F737AD">
        <w:rPr>
          <w:rFonts w:cs="Calibri"/>
          <w:szCs w:val="20"/>
          <w:lang w:val="en-GB"/>
        </w:rPr>
        <w:t>, green building associations)</w:t>
      </w:r>
      <w:r w:rsidR="001F6E9C" w:rsidRPr="00F737AD">
        <w:rPr>
          <w:rFonts w:cs="Calibri"/>
          <w:szCs w:val="20"/>
          <w:lang w:val="en-GB"/>
        </w:rPr>
        <w:t xml:space="preserve">. </w:t>
      </w:r>
    </w:p>
    <w:bookmarkEnd w:id="66"/>
    <w:p w:rsidR="00872BA7" w:rsidRPr="00F737AD" w:rsidRDefault="00872BA7" w:rsidP="00204D2A">
      <w:pPr>
        <w:tabs>
          <w:tab w:val="left" w:pos="1560"/>
        </w:tabs>
        <w:spacing w:after="0"/>
        <w:rPr>
          <w:rFonts w:cs="Calibri"/>
          <w:szCs w:val="20"/>
          <w:lang w:val="en-GB"/>
        </w:rPr>
      </w:pPr>
    </w:p>
    <w:p w:rsidR="00872BA7" w:rsidRPr="00F737AD" w:rsidRDefault="00872BA7" w:rsidP="00872BA7">
      <w:pPr>
        <w:tabs>
          <w:tab w:val="left" w:pos="1418"/>
        </w:tabs>
        <w:spacing w:after="0"/>
        <w:rPr>
          <w:rFonts w:cs="Calibri"/>
          <w:i/>
          <w:szCs w:val="20"/>
          <w:lang w:val="en-GB"/>
        </w:rPr>
      </w:pPr>
      <w:r w:rsidRPr="00F737AD">
        <w:rPr>
          <w:rFonts w:cs="Calibri"/>
          <w:i/>
          <w:szCs w:val="20"/>
          <w:lang w:val="en-GB"/>
        </w:rPr>
        <w:t>Activity 1.1.3</w:t>
      </w:r>
      <w:r w:rsidRPr="00F737AD">
        <w:rPr>
          <w:rFonts w:cs="Calibri"/>
          <w:i/>
          <w:szCs w:val="20"/>
          <w:lang w:val="en-GB"/>
        </w:rPr>
        <w:tab/>
      </w:r>
      <w:r w:rsidR="003B753C" w:rsidRPr="00F737AD">
        <w:rPr>
          <w:rFonts w:cs="Calibri"/>
          <w:i/>
          <w:szCs w:val="20"/>
          <w:lang w:val="en-GB"/>
        </w:rPr>
        <w:t xml:space="preserve">Strategies and action plans developed for HE </w:t>
      </w:r>
      <w:proofErr w:type="gramStart"/>
      <w:r w:rsidR="003B753C" w:rsidRPr="00F737AD">
        <w:rPr>
          <w:rFonts w:cs="Calibri"/>
          <w:i/>
          <w:szCs w:val="20"/>
          <w:lang w:val="en-GB"/>
        </w:rPr>
        <w:t>lighting</w:t>
      </w:r>
      <w:proofErr w:type="gramEnd"/>
      <w:r w:rsidR="003B753C" w:rsidRPr="00F737AD">
        <w:rPr>
          <w:rFonts w:cs="Calibri"/>
          <w:i/>
          <w:szCs w:val="20"/>
          <w:lang w:val="en-GB"/>
        </w:rPr>
        <w:t xml:space="preserve"> and HE distribution transformers</w:t>
      </w:r>
    </w:p>
    <w:p w:rsidR="00967EB1" w:rsidRPr="00F737AD" w:rsidRDefault="003B753C" w:rsidP="00967EB1">
      <w:pPr>
        <w:tabs>
          <w:tab w:val="left" w:pos="1560"/>
        </w:tabs>
        <w:spacing w:before="60" w:after="0"/>
        <w:rPr>
          <w:rFonts w:cs="Calibri"/>
          <w:szCs w:val="20"/>
          <w:lang w:val="en-GB"/>
        </w:rPr>
      </w:pPr>
      <w:bookmarkStart w:id="67" w:name="_Hlk4671558"/>
      <w:r w:rsidRPr="00F737AD">
        <w:rPr>
          <w:rFonts w:cs="Calibri"/>
          <w:szCs w:val="20"/>
          <w:lang w:val="en-GB"/>
        </w:rPr>
        <w:t xml:space="preserve">The strategies will provide the overall framework by defining the scope, product ranges in focus, and the overall goals of South Africa, one for LED and lighting and one for high-efficiency distribution transformers. The strategies will be based on a review of existing policy-regulatory framework and experiences with appliance S&amp;L in South </w:t>
      </w:r>
      <w:proofErr w:type="gramStart"/>
      <w:r w:rsidRPr="00F737AD">
        <w:rPr>
          <w:rFonts w:cs="Calibri"/>
          <w:szCs w:val="20"/>
          <w:lang w:val="en-GB"/>
        </w:rPr>
        <w:t>Africa</w:t>
      </w:r>
      <w:r w:rsidR="00E236DA" w:rsidRPr="00F737AD">
        <w:rPr>
          <w:rFonts w:cs="Calibri"/>
          <w:noProof/>
          <w:szCs w:val="20"/>
          <w:lang w:val="en-GB"/>
        </w:rPr>
        <w:t>,</w:t>
      </w:r>
      <w:r w:rsidRPr="00F737AD">
        <w:rPr>
          <w:rFonts w:cs="Calibri"/>
          <w:noProof/>
          <w:szCs w:val="20"/>
          <w:lang w:val="en-GB"/>
        </w:rPr>
        <w:t xml:space="preserve"> and</w:t>
      </w:r>
      <w:proofErr w:type="gramEnd"/>
      <w:r w:rsidRPr="00F737AD">
        <w:rPr>
          <w:rFonts w:cs="Calibri"/>
          <w:szCs w:val="20"/>
          <w:lang w:val="en-GB"/>
        </w:rPr>
        <w:t xml:space="preserve"> taking stock of current electricity use and market assessments (see Output 1.1)</w:t>
      </w:r>
      <w:r w:rsidR="008C5ACE" w:rsidRPr="00F737AD">
        <w:rPr>
          <w:rFonts w:cs="Calibri"/>
          <w:szCs w:val="20"/>
          <w:lang w:val="en-GB"/>
        </w:rPr>
        <w:t xml:space="preserve">. </w:t>
      </w:r>
      <w:r w:rsidRPr="00F737AD">
        <w:rPr>
          <w:rFonts w:cs="Calibri"/>
          <w:szCs w:val="20"/>
          <w:lang w:val="en-GB"/>
        </w:rPr>
        <w:t>The result will be a set of recommended possible scenarios with action plans (roadmaps) for the faster market introduction of LED lighting and high-efficiency distribution transformers with benchmarks that are based on international best practices. The action plans will include a selection of the preferred scenario and will be accompanied by recommendations for improved regulations and incentives for energy efficient lighting and transformers, including</w:t>
      </w:r>
      <w:r w:rsidR="005A33E4" w:rsidRPr="00F737AD">
        <w:rPr>
          <w:rFonts w:cs="Calibri"/>
          <w:szCs w:val="20"/>
          <w:lang w:val="en-GB"/>
        </w:rPr>
        <w:t xml:space="preserve"> possible</w:t>
      </w:r>
      <w:r w:rsidRPr="00F737AD">
        <w:rPr>
          <w:rFonts w:cs="Calibri"/>
          <w:szCs w:val="20"/>
          <w:lang w:val="en-GB"/>
        </w:rPr>
        <w:t xml:space="preserve"> financial support mechanisms and a timeline for the introduction of </w:t>
      </w:r>
      <w:r w:rsidR="0052499F" w:rsidRPr="00F737AD">
        <w:rPr>
          <w:rFonts w:cs="Calibri"/>
          <w:szCs w:val="20"/>
          <w:lang w:val="en-GB"/>
        </w:rPr>
        <w:t>regulations regarding energy efficiency</w:t>
      </w:r>
      <w:r w:rsidRPr="00F737AD">
        <w:rPr>
          <w:rFonts w:cs="Calibri"/>
          <w:szCs w:val="20"/>
          <w:lang w:val="en-GB"/>
        </w:rPr>
        <w:t xml:space="preserve">. </w:t>
      </w:r>
      <w:r w:rsidR="00B03280" w:rsidRPr="00F737AD">
        <w:rPr>
          <w:rFonts w:cs="Calibri"/>
          <w:szCs w:val="20"/>
          <w:lang w:val="en-GB"/>
        </w:rPr>
        <w:t xml:space="preserve">Stakeholders will be engaged </w:t>
      </w:r>
      <w:r w:rsidR="008C5ACE" w:rsidRPr="00F737AD">
        <w:rPr>
          <w:rFonts w:cs="Calibri"/>
          <w:szCs w:val="20"/>
          <w:lang w:val="en-GB"/>
        </w:rPr>
        <w:t xml:space="preserve">through the Working Groups (see Activity 1.1.2) and </w:t>
      </w:r>
      <w:r w:rsidR="00B03280" w:rsidRPr="00F737AD">
        <w:rPr>
          <w:rFonts w:cs="Calibri"/>
          <w:szCs w:val="20"/>
          <w:lang w:val="en-GB"/>
        </w:rPr>
        <w:t>by regular meetings and training seminars to achieve consensus by policy-makers and stakeholders</w:t>
      </w:r>
      <w:r w:rsidR="00967EB1" w:rsidRPr="00F737AD">
        <w:rPr>
          <w:rFonts w:cs="Calibri"/>
          <w:szCs w:val="20"/>
          <w:lang w:val="en-GB"/>
        </w:rPr>
        <w:t>.</w:t>
      </w:r>
    </w:p>
    <w:p w:rsidR="003B753C" w:rsidRPr="00F737AD" w:rsidRDefault="00B03280" w:rsidP="00967EB1">
      <w:pPr>
        <w:tabs>
          <w:tab w:val="left" w:pos="1560"/>
        </w:tabs>
        <w:spacing w:before="60" w:after="0"/>
        <w:rPr>
          <w:rFonts w:cs="Calibri"/>
          <w:szCs w:val="20"/>
          <w:lang w:val="en-GB"/>
        </w:rPr>
      </w:pPr>
      <w:r w:rsidRPr="00F737AD">
        <w:rPr>
          <w:rFonts w:cs="Calibri"/>
          <w:szCs w:val="20"/>
          <w:lang w:val="en-GB"/>
        </w:rPr>
        <w:t>Another activity will ensure that the Project’s activities are implemented within the regional context provided by the Southern African Power Pool (SAPP), the Southern African Development Community (SADC)</w:t>
      </w:r>
      <w:r w:rsidR="0052499F">
        <w:rPr>
          <w:rStyle w:val="FootnoteReference"/>
          <w:szCs w:val="20"/>
          <w:lang w:val="en-GB"/>
        </w:rPr>
        <w:footnoteReference w:id="8"/>
      </w:r>
      <w:r w:rsidR="0052499F" w:rsidRPr="00F737AD">
        <w:rPr>
          <w:rFonts w:cs="Calibri"/>
          <w:szCs w:val="20"/>
          <w:lang w:val="en-GB"/>
        </w:rPr>
        <w:t xml:space="preserve"> </w:t>
      </w:r>
      <w:r w:rsidRPr="00F737AD">
        <w:rPr>
          <w:rFonts w:cs="Calibri"/>
          <w:szCs w:val="20"/>
          <w:lang w:val="en-GB"/>
        </w:rPr>
        <w:t>and the Common Market for Eastern and Southern Africa (COMESA) by means of regular meetings (</w:t>
      </w:r>
      <w:r w:rsidR="008C5ACE" w:rsidRPr="00F737AD">
        <w:rPr>
          <w:rFonts w:cs="Calibri"/>
          <w:szCs w:val="20"/>
          <w:lang w:val="en-GB"/>
        </w:rPr>
        <w:t>t</w:t>
      </w:r>
      <w:r w:rsidRPr="00F737AD">
        <w:rPr>
          <w:rFonts w:cs="Calibri"/>
          <w:szCs w:val="20"/>
          <w:lang w:val="en-GB"/>
        </w:rPr>
        <w:t>o achieve consensus by policy-makers and stakeholders) and participation in international events and lighting fairs and in regional meetings on alignment of standards and cooperation.</w:t>
      </w:r>
    </w:p>
    <w:bookmarkEnd w:id="67"/>
    <w:p w:rsidR="003B753C" w:rsidRPr="00F737AD" w:rsidRDefault="003B753C" w:rsidP="00204D2A">
      <w:pPr>
        <w:tabs>
          <w:tab w:val="left" w:pos="1560"/>
        </w:tabs>
        <w:spacing w:after="0"/>
        <w:rPr>
          <w:rFonts w:cs="Calibri"/>
          <w:szCs w:val="20"/>
          <w:lang w:val="en-GB"/>
        </w:rPr>
      </w:pPr>
    </w:p>
    <w:p w:rsidR="003B753C" w:rsidRPr="00F737AD" w:rsidRDefault="003B753C" w:rsidP="003B753C">
      <w:pPr>
        <w:tabs>
          <w:tab w:val="left" w:pos="1134"/>
        </w:tabs>
        <w:spacing w:after="0"/>
        <w:rPr>
          <w:rFonts w:cs="Calibri"/>
          <w:szCs w:val="20"/>
          <w:lang w:val="en-GB"/>
        </w:rPr>
      </w:pPr>
      <w:r w:rsidRPr="00F737AD">
        <w:rPr>
          <w:rFonts w:cs="Calibri"/>
          <w:b/>
          <w:szCs w:val="20"/>
          <w:lang w:val="en-GB"/>
        </w:rPr>
        <w:t>Output 1.</w:t>
      </w:r>
      <w:r w:rsidR="00B03280" w:rsidRPr="00F737AD">
        <w:rPr>
          <w:rFonts w:cs="Calibri"/>
          <w:b/>
          <w:szCs w:val="20"/>
          <w:lang w:val="en-GB"/>
        </w:rPr>
        <w:t>2</w:t>
      </w:r>
      <w:r w:rsidRPr="00F737AD">
        <w:rPr>
          <w:rFonts w:cs="Calibri"/>
          <w:b/>
          <w:szCs w:val="20"/>
          <w:lang w:val="en-GB"/>
        </w:rPr>
        <w:tab/>
        <w:t>MEPS and MVE system developed for LED lighting and distribution transformers</w:t>
      </w:r>
    </w:p>
    <w:p w:rsidR="003117E5" w:rsidRPr="00F737AD" w:rsidRDefault="003117E5" w:rsidP="00204D2A">
      <w:pPr>
        <w:tabs>
          <w:tab w:val="left" w:pos="1560"/>
        </w:tabs>
        <w:spacing w:after="0"/>
        <w:rPr>
          <w:rFonts w:cs="Calibri"/>
          <w:szCs w:val="20"/>
          <w:lang w:val="en-GB"/>
        </w:rPr>
      </w:pPr>
    </w:p>
    <w:p w:rsidR="003B753C" w:rsidRPr="00F737AD" w:rsidRDefault="003B753C" w:rsidP="003B753C">
      <w:pPr>
        <w:tabs>
          <w:tab w:val="left" w:pos="1276"/>
        </w:tabs>
        <w:spacing w:after="0"/>
        <w:rPr>
          <w:rFonts w:cs="Calibri"/>
          <w:i/>
          <w:szCs w:val="20"/>
          <w:lang w:val="en-GB"/>
        </w:rPr>
      </w:pPr>
      <w:r w:rsidRPr="00F737AD">
        <w:rPr>
          <w:rFonts w:cs="Calibri"/>
          <w:i/>
          <w:szCs w:val="20"/>
          <w:lang w:val="en-GB"/>
        </w:rPr>
        <w:t>Activity 1.</w:t>
      </w:r>
      <w:r w:rsidR="0057545E" w:rsidRPr="00F737AD">
        <w:rPr>
          <w:rFonts w:cs="Calibri"/>
          <w:i/>
          <w:szCs w:val="20"/>
          <w:lang w:val="en-GB"/>
        </w:rPr>
        <w:t>2</w:t>
      </w:r>
      <w:r w:rsidRPr="00F737AD">
        <w:rPr>
          <w:rFonts w:cs="Calibri"/>
          <w:i/>
          <w:szCs w:val="20"/>
          <w:lang w:val="en-GB"/>
        </w:rPr>
        <w:t>.1</w:t>
      </w:r>
      <w:r w:rsidRPr="00F737AD">
        <w:rPr>
          <w:rFonts w:cs="Calibri"/>
          <w:i/>
          <w:szCs w:val="20"/>
          <w:lang w:val="en-GB"/>
        </w:rPr>
        <w:tab/>
        <w:t xml:space="preserve">Proposals for (mandatory) </w:t>
      </w:r>
      <w:r w:rsidRPr="00F737AD">
        <w:rPr>
          <w:rFonts w:cs="Calibri"/>
          <w:i/>
          <w:noProof/>
          <w:szCs w:val="20"/>
          <w:lang w:val="en-GB"/>
        </w:rPr>
        <w:t>labelling</w:t>
      </w:r>
      <w:r w:rsidRPr="00F737AD">
        <w:rPr>
          <w:rFonts w:cs="Calibri"/>
          <w:i/>
          <w:szCs w:val="20"/>
          <w:lang w:val="en-GB"/>
        </w:rPr>
        <w:t xml:space="preserve"> and MEPS for lighting and MVE system</w:t>
      </w:r>
    </w:p>
    <w:p w:rsidR="003B753C" w:rsidRPr="00F737AD" w:rsidRDefault="0041620A" w:rsidP="00967EB1">
      <w:pPr>
        <w:tabs>
          <w:tab w:val="left" w:pos="1560"/>
        </w:tabs>
        <w:spacing w:before="60" w:after="0"/>
        <w:rPr>
          <w:rFonts w:cs="Calibri"/>
          <w:szCs w:val="20"/>
          <w:lang w:val="en-GB"/>
        </w:rPr>
      </w:pPr>
      <w:bookmarkStart w:id="68" w:name="_Hlk4671582"/>
      <w:r w:rsidRPr="00F737AD">
        <w:rPr>
          <w:rFonts w:cs="Calibri"/>
          <w:szCs w:val="20"/>
          <w:lang w:val="en-GB"/>
        </w:rPr>
        <w:t xml:space="preserve">A common system of </w:t>
      </w:r>
      <w:r w:rsidRPr="00F737AD">
        <w:rPr>
          <w:rFonts w:cs="Calibri"/>
          <w:noProof/>
          <w:szCs w:val="20"/>
          <w:lang w:val="en-GB"/>
        </w:rPr>
        <w:t>labelling</w:t>
      </w:r>
      <w:r w:rsidRPr="00F737AD">
        <w:rPr>
          <w:rFonts w:cs="Calibri"/>
          <w:szCs w:val="20"/>
          <w:lang w:val="en-GB"/>
        </w:rPr>
        <w:t xml:space="preserve"> is needed for lamps that clearly represents the performance of the lamp, such as light output, efficiency, lifespan</w:t>
      </w:r>
      <w:r w:rsidR="00E236DA" w:rsidRPr="00F737AD">
        <w:rPr>
          <w:rFonts w:cs="Calibri"/>
          <w:szCs w:val="20"/>
          <w:lang w:val="en-GB"/>
        </w:rPr>
        <w:t>,</w:t>
      </w:r>
      <w:r w:rsidRPr="00F737AD">
        <w:rPr>
          <w:rFonts w:cs="Calibri"/>
          <w:szCs w:val="20"/>
          <w:lang w:val="en-GB"/>
        </w:rPr>
        <w:t xml:space="preserve"> </w:t>
      </w:r>
      <w:r w:rsidRPr="00F737AD">
        <w:rPr>
          <w:rFonts w:cs="Calibri"/>
          <w:noProof/>
          <w:szCs w:val="20"/>
          <w:lang w:val="en-GB"/>
        </w:rPr>
        <w:t>and</w:t>
      </w:r>
      <w:r w:rsidRPr="00F737AD">
        <w:rPr>
          <w:rFonts w:cs="Calibri"/>
          <w:szCs w:val="20"/>
          <w:lang w:val="en-GB"/>
        </w:rPr>
        <w:t xml:space="preserve"> </w:t>
      </w:r>
      <w:r w:rsidRPr="00F737AD">
        <w:rPr>
          <w:rFonts w:cs="Calibri"/>
          <w:noProof/>
          <w:szCs w:val="20"/>
          <w:lang w:val="en-GB"/>
        </w:rPr>
        <w:t>colour</w:t>
      </w:r>
      <w:r w:rsidRPr="00F737AD">
        <w:rPr>
          <w:rFonts w:cs="Calibri"/>
          <w:szCs w:val="20"/>
          <w:lang w:val="en-GB"/>
        </w:rPr>
        <w:t xml:space="preserve"> rendering, and the system </w:t>
      </w:r>
      <w:proofErr w:type="gramStart"/>
      <w:r w:rsidRPr="00F737AD">
        <w:rPr>
          <w:rFonts w:cs="Calibri"/>
          <w:szCs w:val="20"/>
          <w:lang w:val="en-GB"/>
        </w:rPr>
        <w:t>has to</w:t>
      </w:r>
      <w:proofErr w:type="gramEnd"/>
      <w:r w:rsidRPr="00F737AD">
        <w:rPr>
          <w:rFonts w:cs="Calibri"/>
          <w:szCs w:val="20"/>
          <w:lang w:val="en-GB"/>
        </w:rPr>
        <w:t xml:space="preserve"> be translated into user-friendly and helpful product packaging and </w:t>
      </w:r>
      <w:r w:rsidRPr="00F737AD">
        <w:rPr>
          <w:rFonts w:cs="Calibri"/>
          <w:noProof/>
          <w:szCs w:val="20"/>
          <w:lang w:val="en-GB"/>
        </w:rPr>
        <w:t>labelling</w:t>
      </w:r>
      <w:r w:rsidRPr="00F737AD">
        <w:rPr>
          <w:rFonts w:cs="Calibri"/>
          <w:szCs w:val="20"/>
          <w:lang w:val="en-GB"/>
        </w:rPr>
        <w:t xml:space="preserve">. </w:t>
      </w:r>
      <w:r w:rsidR="0052499F" w:rsidRPr="00F737AD">
        <w:rPr>
          <w:rFonts w:cs="Calibri"/>
          <w:szCs w:val="20"/>
          <w:lang w:val="en-GB"/>
        </w:rPr>
        <w:t xml:space="preserve">This has been done by the UNDP/GEF S&amp;L Project for the residential sector but can be extended to the commercial and public sector. </w:t>
      </w:r>
      <w:r w:rsidR="003B753C" w:rsidRPr="00F737AD">
        <w:rPr>
          <w:rFonts w:cs="Calibri"/>
          <w:szCs w:val="20"/>
          <w:lang w:val="en-GB"/>
        </w:rPr>
        <w:t xml:space="preserve">The Project will </w:t>
      </w:r>
      <w:r w:rsidR="00D31EC6" w:rsidRPr="00F737AD">
        <w:rPr>
          <w:rFonts w:cs="Calibri"/>
          <w:szCs w:val="20"/>
          <w:lang w:val="en-GB"/>
        </w:rPr>
        <w:t xml:space="preserve">help energy classes and required lamp energy performance on labels and MEPS thresholds that are technologically feasible and economically and environmentally acceptable in and define EE </w:t>
      </w:r>
      <w:r w:rsidR="00D31EC6" w:rsidRPr="00F737AD">
        <w:rPr>
          <w:rFonts w:cs="Calibri"/>
          <w:noProof/>
          <w:szCs w:val="20"/>
          <w:lang w:val="en-GB"/>
        </w:rPr>
        <w:t>labelling</w:t>
      </w:r>
      <w:r w:rsidR="00D31EC6" w:rsidRPr="00F737AD">
        <w:rPr>
          <w:rFonts w:cs="Calibri"/>
          <w:szCs w:val="20"/>
          <w:lang w:val="en-GB"/>
        </w:rPr>
        <w:t xml:space="preserve"> specifications for LEDs</w:t>
      </w:r>
      <w:r w:rsidR="008C5ACE" w:rsidRPr="00F737AD">
        <w:rPr>
          <w:rFonts w:cs="Calibri"/>
          <w:szCs w:val="20"/>
          <w:lang w:val="en-GB"/>
        </w:rPr>
        <w:t xml:space="preserve"> (</w:t>
      </w:r>
      <w:r w:rsidRPr="00F737AD">
        <w:rPr>
          <w:rFonts w:cs="Calibri"/>
          <w:szCs w:val="20"/>
          <w:lang w:val="en-GB"/>
        </w:rPr>
        <w:t>building on</w:t>
      </w:r>
      <w:r w:rsidR="004C0B36" w:rsidRPr="00F737AD">
        <w:rPr>
          <w:rFonts w:cs="Calibri"/>
          <w:szCs w:val="20"/>
          <w:lang w:val="en-GB"/>
        </w:rPr>
        <w:t xml:space="preserve"> the </w:t>
      </w:r>
      <w:r w:rsidRPr="00F737AD">
        <w:rPr>
          <w:rFonts w:cs="Calibri"/>
          <w:szCs w:val="20"/>
          <w:lang w:val="en-GB"/>
        </w:rPr>
        <w:t>label introduction activities of DOE</w:t>
      </w:r>
      <w:r w:rsidR="004C0B36" w:rsidRPr="00F737AD">
        <w:rPr>
          <w:rFonts w:cs="Calibri"/>
          <w:szCs w:val="20"/>
          <w:lang w:val="en-GB"/>
        </w:rPr>
        <w:t xml:space="preserve">, </w:t>
      </w:r>
      <w:r w:rsidRPr="00F737AD">
        <w:rPr>
          <w:rFonts w:cs="Calibri"/>
          <w:szCs w:val="20"/>
          <w:lang w:val="en-GB"/>
        </w:rPr>
        <w:t xml:space="preserve">supported by the UNDP/GEF EE S&amp;L </w:t>
      </w:r>
      <w:r w:rsidRPr="00F737AD">
        <w:rPr>
          <w:rFonts w:cs="Calibri"/>
          <w:szCs w:val="20"/>
          <w:lang w:val="en-GB"/>
        </w:rPr>
        <w:lastRenderedPageBreak/>
        <w:t>Project). The market study of Output 1.1 will provide the sales and market data necessary</w:t>
      </w:r>
      <w:r w:rsidR="009D4FBB" w:rsidRPr="00F737AD">
        <w:rPr>
          <w:rFonts w:cs="Calibri"/>
          <w:szCs w:val="20"/>
          <w:lang w:val="en-GB"/>
        </w:rPr>
        <w:t xml:space="preserve">, </w:t>
      </w:r>
      <w:r w:rsidR="0052499F" w:rsidRPr="00F737AD">
        <w:rPr>
          <w:rFonts w:cs="Calibri"/>
          <w:szCs w:val="20"/>
          <w:lang w:val="en-GB"/>
        </w:rPr>
        <w:t>building on market assessments (in residential sector) done under the</w:t>
      </w:r>
      <w:r w:rsidR="009D4FBB" w:rsidRPr="00F737AD">
        <w:rPr>
          <w:rFonts w:cs="Calibri"/>
          <w:szCs w:val="20"/>
          <w:lang w:val="en-GB"/>
        </w:rPr>
        <w:t xml:space="preserve"> UNDP/GEF S&amp;L Project</w:t>
      </w:r>
      <w:r w:rsidR="00CF2517" w:rsidRPr="00F737AD">
        <w:rPr>
          <w:rFonts w:cs="Calibri"/>
          <w:szCs w:val="20"/>
          <w:lang w:val="en-GB"/>
        </w:rPr>
        <w:t xml:space="preserve">. </w:t>
      </w:r>
      <w:proofErr w:type="gramStart"/>
      <w:r w:rsidR="00CF2517" w:rsidRPr="00F737AD">
        <w:rPr>
          <w:rFonts w:cs="Calibri"/>
          <w:szCs w:val="20"/>
          <w:lang w:val="en-GB"/>
        </w:rPr>
        <w:t xml:space="preserve">Further engineering analysis and impact study of </w:t>
      </w:r>
      <w:r w:rsidR="00E236DA" w:rsidRPr="00F737AD">
        <w:rPr>
          <w:rFonts w:cs="Calibri"/>
          <w:szCs w:val="20"/>
          <w:lang w:val="en-GB"/>
        </w:rPr>
        <w:t xml:space="preserve">the </w:t>
      </w:r>
      <w:r w:rsidR="00CF2517" w:rsidRPr="00F737AD">
        <w:rPr>
          <w:rFonts w:cs="Calibri"/>
          <w:noProof/>
          <w:szCs w:val="20"/>
          <w:lang w:val="en-GB"/>
        </w:rPr>
        <w:t>introduction</w:t>
      </w:r>
      <w:r w:rsidR="00CF2517" w:rsidRPr="00F737AD">
        <w:rPr>
          <w:rFonts w:cs="Calibri"/>
          <w:szCs w:val="20"/>
          <w:lang w:val="en-GB"/>
        </w:rPr>
        <w:t xml:space="preserve"> of MEPS and label</w:t>
      </w:r>
      <w:r w:rsidR="00E236DA" w:rsidRPr="00F737AD">
        <w:rPr>
          <w:rFonts w:cs="Calibri"/>
          <w:szCs w:val="20"/>
          <w:lang w:val="en-GB"/>
        </w:rPr>
        <w:t>s</w:t>
      </w:r>
      <w:r w:rsidR="00CF2517" w:rsidRPr="00F737AD">
        <w:rPr>
          <w:rFonts w:cs="Calibri"/>
          <w:szCs w:val="20"/>
          <w:lang w:val="en-GB"/>
        </w:rPr>
        <w:t>,</w:t>
      </w:r>
      <w:proofErr w:type="gramEnd"/>
      <w:r w:rsidR="00CF2517" w:rsidRPr="00F737AD">
        <w:rPr>
          <w:rFonts w:cs="Calibri"/>
          <w:szCs w:val="20"/>
          <w:lang w:val="en-GB"/>
        </w:rPr>
        <w:t xml:space="preserve"> will provide the info necessary </w:t>
      </w:r>
      <w:r w:rsidRPr="00F737AD">
        <w:rPr>
          <w:rFonts w:cs="Calibri"/>
          <w:szCs w:val="20"/>
          <w:lang w:val="en-GB"/>
        </w:rPr>
        <w:t xml:space="preserve">to place products in the appropriate category in the A-E </w:t>
      </w:r>
      <w:r w:rsidRPr="00F737AD">
        <w:rPr>
          <w:rFonts w:cs="Calibri"/>
          <w:noProof/>
          <w:szCs w:val="20"/>
          <w:lang w:val="en-GB"/>
        </w:rPr>
        <w:t>labelling</w:t>
      </w:r>
      <w:r w:rsidRPr="00F737AD">
        <w:rPr>
          <w:rFonts w:cs="Calibri"/>
          <w:szCs w:val="20"/>
          <w:lang w:val="en-GB"/>
        </w:rPr>
        <w:t xml:space="preserve"> system</w:t>
      </w:r>
      <w:r w:rsidR="00CF2517" w:rsidRPr="00F737AD">
        <w:rPr>
          <w:rFonts w:cs="Calibri"/>
          <w:szCs w:val="20"/>
          <w:lang w:val="en-GB"/>
        </w:rPr>
        <w:t xml:space="preserve"> and define the MEPS threshold</w:t>
      </w:r>
      <w:r w:rsidRPr="00F737AD">
        <w:rPr>
          <w:rFonts w:cs="Calibri"/>
          <w:szCs w:val="20"/>
          <w:lang w:val="en-GB"/>
        </w:rPr>
        <w:t xml:space="preserve">. </w:t>
      </w:r>
      <w:r w:rsidR="00A60790" w:rsidRPr="00F737AD">
        <w:rPr>
          <w:rFonts w:cs="Calibri"/>
          <w:szCs w:val="20"/>
          <w:lang w:val="en-GB"/>
        </w:rPr>
        <w:t xml:space="preserve">The activities will promote regional alignment on standards and </w:t>
      </w:r>
      <w:r w:rsidR="00A60790" w:rsidRPr="00F737AD">
        <w:rPr>
          <w:rFonts w:cs="Calibri"/>
          <w:noProof/>
          <w:szCs w:val="20"/>
          <w:lang w:val="en-GB"/>
        </w:rPr>
        <w:t>labelling</w:t>
      </w:r>
      <w:r w:rsidR="00A60790" w:rsidRPr="00F737AD">
        <w:rPr>
          <w:rFonts w:cs="Calibri"/>
          <w:szCs w:val="20"/>
          <w:lang w:val="en-GB"/>
        </w:rPr>
        <w:t xml:space="preserve"> for LED and </w:t>
      </w:r>
      <w:r w:rsidR="00A60790" w:rsidRPr="00F737AD">
        <w:rPr>
          <w:rFonts w:cs="Calibri"/>
          <w:noProof/>
          <w:szCs w:val="20"/>
          <w:lang w:val="en-GB"/>
        </w:rPr>
        <w:t xml:space="preserve">other </w:t>
      </w:r>
      <w:r w:rsidR="00E236DA" w:rsidRPr="00F737AD">
        <w:rPr>
          <w:rFonts w:cs="Calibri"/>
          <w:noProof/>
          <w:szCs w:val="20"/>
          <w:lang w:val="en-GB"/>
        </w:rPr>
        <w:t>lamp types</w:t>
      </w:r>
      <w:r w:rsidR="00A60790" w:rsidRPr="00F737AD">
        <w:rPr>
          <w:rFonts w:cs="Calibri"/>
          <w:szCs w:val="20"/>
          <w:lang w:val="en-GB"/>
        </w:rPr>
        <w:t xml:space="preserve"> (SADC, COMESA).</w:t>
      </w:r>
    </w:p>
    <w:p w:rsidR="00BE26FD" w:rsidRPr="00F737AD" w:rsidRDefault="00BE26FD" w:rsidP="00967EB1">
      <w:pPr>
        <w:tabs>
          <w:tab w:val="left" w:pos="1560"/>
        </w:tabs>
        <w:spacing w:before="60" w:after="0"/>
        <w:rPr>
          <w:rFonts w:cs="Calibri"/>
          <w:szCs w:val="20"/>
          <w:lang w:val="en-GB"/>
        </w:rPr>
      </w:pPr>
      <w:r w:rsidRPr="00F737AD">
        <w:rPr>
          <w:rFonts w:cs="Calibri"/>
          <w:szCs w:val="20"/>
          <w:lang w:val="en-GB"/>
        </w:rPr>
        <w:t>The Project will</w:t>
      </w:r>
      <w:r w:rsidR="0060724A" w:rsidRPr="00F737AD">
        <w:rPr>
          <w:rFonts w:cs="Calibri"/>
          <w:szCs w:val="20"/>
          <w:lang w:val="en-GB"/>
        </w:rPr>
        <w:t xml:space="preserve"> continue the activities undertaken by the UNDP/GEF S&amp;L Project of supporting </w:t>
      </w:r>
      <w:r w:rsidRPr="00F737AD">
        <w:rPr>
          <w:rFonts w:cs="Calibri"/>
          <w:szCs w:val="20"/>
          <w:lang w:val="en-GB"/>
        </w:rPr>
        <w:t xml:space="preserve">DOE in information labels in addition to the existing energy label. These could be information labels at retail stores at the lighting product shelves that provide comparative info between various type of lamps (incandescent, halogen, CFL, LED) on light output (lumens and </w:t>
      </w:r>
      <w:r w:rsidRPr="00F737AD">
        <w:rPr>
          <w:rFonts w:cs="Calibri"/>
          <w:noProof/>
          <w:szCs w:val="20"/>
          <w:lang w:val="en-GB"/>
        </w:rPr>
        <w:t>colour</w:t>
      </w:r>
      <w:r w:rsidRPr="00F737AD">
        <w:rPr>
          <w:rFonts w:cs="Calibri"/>
          <w:szCs w:val="20"/>
          <w:lang w:val="en-GB"/>
        </w:rPr>
        <w:t xml:space="preserve"> rendering), life expectancy (duration in hours of operation), energy usage, and cost indication. Another option is an endorsement label, indicating that the product is endorsed by DOE.</w:t>
      </w:r>
    </w:p>
    <w:p w:rsidR="00E85255" w:rsidRPr="00F737AD" w:rsidRDefault="003B37D0" w:rsidP="00967EB1">
      <w:pPr>
        <w:tabs>
          <w:tab w:val="left" w:pos="1560"/>
        </w:tabs>
        <w:spacing w:before="60" w:after="0"/>
        <w:rPr>
          <w:rFonts w:cs="Calibri"/>
          <w:szCs w:val="20"/>
          <w:lang w:val="en-GB"/>
        </w:rPr>
      </w:pPr>
      <w:r w:rsidRPr="00F737AD">
        <w:rPr>
          <w:rFonts w:cs="Calibri"/>
          <w:szCs w:val="20"/>
          <w:lang w:val="en-GB"/>
        </w:rPr>
        <w:t xml:space="preserve">Having a well-functioning MVE system is crucial for the effectiveness of such a mandatory S&amp;L regime.  Elements of such </w:t>
      </w:r>
      <w:r w:rsidRPr="00F737AD">
        <w:rPr>
          <w:rFonts w:cs="Calibri"/>
          <w:noProof/>
          <w:szCs w:val="20"/>
          <w:lang w:val="en-GB"/>
        </w:rPr>
        <w:t>a MVE</w:t>
      </w:r>
      <w:r w:rsidRPr="00F737AD">
        <w:rPr>
          <w:rFonts w:cs="Calibri"/>
          <w:szCs w:val="20"/>
          <w:lang w:val="en-GB"/>
        </w:rPr>
        <w:t xml:space="preserve"> system are a) market baseline and assessments (see Activity 1.1.1), b) pre-certification and product registry systems, c) market monitoring, verification and test laboratories (see Output 1.3), and d) enforcement. </w:t>
      </w:r>
      <w:r w:rsidR="00E85255" w:rsidRPr="00F737AD">
        <w:rPr>
          <w:rFonts w:cs="Calibri"/>
          <w:szCs w:val="20"/>
          <w:lang w:val="en-GB"/>
        </w:rPr>
        <w:t xml:space="preserve">Conformance to the MEPS, guidelines and/or labels will need to be enforced through monitoring and enforcement </w:t>
      </w:r>
      <w:proofErr w:type="gramStart"/>
      <w:r w:rsidR="00E85255" w:rsidRPr="00F737AD">
        <w:rPr>
          <w:rFonts w:cs="Calibri"/>
          <w:szCs w:val="20"/>
          <w:lang w:val="en-GB"/>
        </w:rPr>
        <w:t>similar to</w:t>
      </w:r>
      <w:proofErr w:type="gramEnd"/>
      <w:r w:rsidR="00E85255" w:rsidRPr="00F737AD">
        <w:rPr>
          <w:rFonts w:cs="Calibri"/>
          <w:szCs w:val="20"/>
          <w:lang w:val="en-GB"/>
        </w:rPr>
        <w:t xml:space="preserve"> </w:t>
      </w:r>
      <w:r w:rsidR="004C0B36" w:rsidRPr="00F737AD">
        <w:rPr>
          <w:rFonts w:cs="Calibri"/>
          <w:szCs w:val="20"/>
          <w:lang w:val="en-GB"/>
        </w:rPr>
        <w:t xml:space="preserve">the MVE system for </w:t>
      </w:r>
      <w:r w:rsidR="00E85255" w:rsidRPr="00F737AD">
        <w:rPr>
          <w:rFonts w:cs="Calibri"/>
          <w:szCs w:val="20"/>
          <w:lang w:val="en-GB"/>
        </w:rPr>
        <w:t>household appliances.  Based on the results and experiences of the EE S&amp;L project, a review will be carried out on issues and options in MVE system with respect to lighting products. Based on the review, t</w:t>
      </w:r>
      <w:r w:rsidRPr="00F737AD">
        <w:rPr>
          <w:rFonts w:cs="Calibri"/>
          <w:szCs w:val="20"/>
          <w:lang w:val="en-GB"/>
        </w:rPr>
        <w:t>he Project will provide advice and assistance to DOE, DTI</w:t>
      </w:r>
      <w:r w:rsidR="00E236DA" w:rsidRPr="00F737AD">
        <w:rPr>
          <w:rFonts w:cs="Calibri"/>
          <w:szCs w:val="20"/>
          <w:lang w:val="en-GB"/>
        </w:rPr>
        <w:t>,</w:t>
      </w:r>
      <w:r w:rsidRPr="00F737AD">
        <w:rPr>
          <w:rFonts w:cs="Calibri"/>
          <w:szCs w:val="20"/>
          <w:lang w:val="en-GB"/>
        </w:rPr>
        <w:t xml:space="preserve"> </w:t>
      </w:r>
      <w:r w:rsidRPr="00F737AD">
        <w:rPr>
          <w:rFonts w:cs="Calibri"/>
          <w:noProof/>
          <w:szCs w:val="20"/>
          <w:lang w:val="en-GB"/>
        </w:rPr>
        <w:t>and</w:t>
      </w:r>
      <w:r w:rsidRPr="00F737AD">
        <w:rPr>
          <w:rFonts w:cs="Calibri"/>
          <w:szCs w:val="20"/>
          <w:lang w:val="en-GB"/>
        </w:rPr>
        <w:t xml:space="preserve"> agencies on setting the </w:t>
      </w:r>
      <w:r w:rsidR="00BE26FD" w:rsidRPr="00F737AD">
        <w:rPr>
          <w:rFonts w:cs="Calibri"/>
          <w:szCs w:val="20"/>
          <w:lang w:val="en-GB"/>
        </w:rPr>
        <w:t>definition</w:t>
      </w:r>
      <w:r w:rsidRPr="00F737AD">
        <w:rPr>
          <w:rFonts w:cs="Calibri"/>
          <w:szCs w:val="20"/>
          <w:lang w:val="en-GB"/>
        </w:rPr>
        <w:t xml:space="preserve"> the regulations and </w:t>
      </w:r>
      <w:r w:rsidR="00BE26FD" w:rsidRPr="00F737AD">
        <w:rPr>
          <w:rFonts w:cs="Calibri"/>
          <w:szCs w:val="20"/>
          <w:lang w:val="en-GB"/>
        </w:rPr>
        <w:t>administration model</w:t>
      </w:r>
      <w:r w:rsidR="00E85255" w:rsidRPr="0057545E">
        <w:rPr>
          <w:rStyle w:val="FootnoteReference"/>
          <w:szCs w:val="20"/>
          <w:lang w:val="en-GB"/>
        </w:rPr>
        <w:footnoteReference w:id="9"/>
      </w:r>
      <w:r w:rsidR="00BE26FD" w:rsidRPr="00F737AD">
        <w:rPr>
          <w:rFonts w:cs="Calibri"/>
          <w:szCs w:val="20"/>
          <w:lang w:val="en-GB"/>
        </w:rPr>
        <w:t xml:space="preserve"> of the MVE system (see </w:t>
      </w:r>
      <w:r w:rsidR="00BE26FD" w:rsidRPr="00F737AD">
        <w:rPr>
          <w:rFonts w:cs="Calibri"/>
          <w:szCs w:val="20"/>
          <w:lang w:val="en-GB"/>
        </w:rPr>
        <w:fldChar w:fldCharType="begin"/>
      </w:r>
      <w:r w:rsidR="00BE26FD" w:rsidRPr="00F737AD">
        <w:rPr>
          <w:rFonts w:cs="Calibri"/>
          <w:szCs w:val="20"/>
          <w:lang w:val="en-GB"/>
        </w:rPr>
        <w:instrText xml:space="preserve"> REF _Ref535958381 \h </w:instrText>
      </w:r>
      <w:r w:rsidR="00BE26FD" w:rsidRPr="00F737AD">
        <w:rPr>
          <w:rFonts w:cs="Calibri"/>
          <w:szCs w:val="20"/>
          <w:lang w:val="en-GB"/>
        </w:rPr>
      </w:r>
      <w:r w:rsidR="00BE26FD" w:rsidRPr="00F737AD">
        <w:rPr>
          <w:rFonts w:cs="Calibri"/>
          <w:szCs w:val="20"/>
          <w:lang w:val="en-GB"/>
        </w:rPr>
        <w:fldChar w:fldCharType="separate"/>
      </w:r>
      <w:r w:rsidR="00BE26FD" w:rsidRPr="0057545E">
        <w:rPr>
          <w:rFonts w:ascii="Arial" w:hAnsi="Arial" w:cs="Arial"/>
          <w:color w:val="2E74B5"/>
          <w:sz w:val="18"/>
          <w:lang w:val="en-GB"/>
        </w:rPr>
        <w:t xml:space="preserve">Box </w:t>
      </w:r>
      <w:r w:rsidR="00BE26FD" w:rsidRPr="0057545E">
        <w:rPr>
          <w:rFonts w:ascii="Arial" w:hAnsi="Arial" w:cs="Arial"/>
          <w:noProof/>
          <w:color w:val="2E74B5"/>
          <w:sz w:val="18"/>
          <w:lang w:val="en-GB"/>
        </w:rPr>
        <w:t>5</w:t>
      </w:r>
      <w:r w:rsidR="00BE26FD" w:rsidRPr="00F737AD">
        <w:rPr>
          <w:rFonts w:cs="Calibri"/>
          <w:szCs w:val="20"/>
          <w:lang w:val="en-GB"/>
        </w:rPr>
        <w:fldChar w:fldCharType="end"/>
      </w:r>
      <w:r w:rsidR="00BE26FD" w:rsidRPr="00F737AD">
        <w:rPr>
          <w:rFonts w:cs="Calibri"/>
          <w:szCs w:val="20"/>
          <w:lang w:val="en-GB"/>
        </w:rPr>
        <w:t>).</w:t>
      </w:r>
      <w:r w:rsidR="00E85255" w:rsidRPr="0057545E">
        <w:rPr>
          <w:lang w:val="en-GB"/>
        </w:rPr>
        <w:t xml:space="preserve"> </w:t>
      </w:r>
      <w:bookmarkEnd w:id="68"/>
    </w:p>
    <w:p w:rsidR="003B37D0" w:rsidRPr="00F737AD" w:rsidRDefault="003B37D0" w:rsidP="003B753C">
      <w:pPr>
        <w:tabs>
          <w:tab w:val="left" w:pos="1560"/>
        </w:tabs>
        <w:spacing w:after="0"/>
        <w:rPr>
          <w:rFonts w:cs="Calibri"/>
          <w:szCs w:val="20"/>
          <w:lang w:val="en-GB"/>
        </w:rPr>
      </w:pPr>
    </w:p>
    <w:p w:rsidR="00442D92" w:rsidRPr="00F737AD" w:rsidRDefault="00A60790" w:rsidP="00A60790">
      <w:pPr>
        <w:tabs>
          <w:tab w:val="left" w:pos="1276"/>
        </w:tabs>
        <w:spacing w:after="0"/>
        <w:rPr>
          <w:rFonts w:cs="Calibri"/>
          <w:i/>
          <w:szCs w:val="20"/>
          <w:lang w:val="en-GB"/>
        </w:rPr>
      </w:pPr>
      <w:r w:rsidRPr="00F737AD">
        <w:rPr>
          <w:rFonts w:cs="Calibri"/>
          <w:i/>
          <w:szCs w:val="20"/>
          <w:lang w:val="en-GB"/>
        </w:rPr>
        <w:t>Activity 1.2.2</w:t>
      </w:r>
      <w:r w:rsidRPr="00F737AD">
        <w:rPr>
          <w:rFonts w:cs="Calibri"/>
          <w:i/>
          <w:szCs w:val="20"/>
          <w:lang w:val="en-GB"/>
        </w:rPr>
        <w:tab/>
        <w:t>Proposal for setting up MEPS</w:t>
      </w:r>
      <w:r w:rsidR="00CD7DF6" w:rsidRPr="00F737AD">
        <w:rPr>
          <w:rFonts w:cs="Calibri"/>
          <w:i/>
          <w:szCs w:val="20"/>
          <w:lang w:val="en-GB"/>
        </w:rPr>
        <w:t xml:space="preserve">/regulations </w:t>
      </w:r>
      <w:r w:rsidRPr="00F737AD">
        <w:rPr>
          <w:rFonts w:cs="Calibri"/>
          <w:i/>
          <w:szCs w:val="20"/>
          <w:lang w:val="en-GB"/>
        </w:rPr>
        <w:t>and MVE system for distribution transformers</w:t>
      </w:r>
    </w:p>
    <w:p w:rsidR="003B753C" w:rsidRPr="00F737AD" w:rsidRDefault="003A2690" w:rsidP="00967EB1">
      <w:pPr>
        <w:tabs>
          <w:tab w:val="left" w:pos="1560"/>
        </w:tabs>
        <w:spacing w:before="60" w:after="0"/>
        <w:rPr>
          <w:rFonts w:cs="Calibri"/>
          <w:szCs w:val="20"/>
          <w:lang w:val="en-GB"/>
        </w:rPr>
      </w:pPr>
      <w:r>
        <w:rPr>
          <w:noProof/>
        </w:rPr>
        <mc:AlternateContent>
          <mc:Choice Requires="wps">
            <w:drawing>
              <wp:anchor distT="45720" distB="45720" distL="114300" distR="114300" simplePos="0" relativeHeight="251651072" behindDoc="0" locked="0" layoutInCell="1" allowOverlap="1">
                <wp:simplePos x="0" y="0"/>
                <wp:positionH relativeFrom="margin">
                  <wp:align>left</wp:align>
                </wp:positionH>
                <wp:positionV relativeFrom="margin">
                  <wp:posOffset>4418330</wp:posOffset>
                </wp:positionV>
                <wp:extent cx="6136640" cy="3314700"/>
                <wp:effectExtent l="0" t="0" r="0" b="0"/>
                <wp:wrapTopAndBottom/>
                <wp:docPr id="8338" name="Text Box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36640" cy="3314700"/>
                        </a:xfrm>
                        <a:prstGeom prst="rect">
                          <a:avLst/>
                        </a:prstGeom>
                        <a:solidFill>
                          <a:srgbClr val="ED7D31">
                            <a:lumMod val="20000"/>
                            <a:lumOff val="80000"/>
                          </a:srgbClr>
                        </a:solidFill>
                        <a:ln>
                          <a:noFill/>
                        </a:ln>
                      </wps:spPr>
                      <wps:txbx>
                        <w:txbxContent>
                          <w:p w:rsidR="00540FEA" w:rsidRDefault="00540FEA" w:rsidP="003B37D0">
                            <w:pPr>
                              <w:pStyle w:val="Caption"/>
                              <w:rPr>
                                <w:rFonts w:ascii="Arial" w:hAnsi="Arial" w:cs="Arial"/>
                                <w:color w:val="2E74B5"/>
                                <w:sz w:val="18"/>
                              </w:rPr>
                            </w:pPr>
                            <w:bookmarkStart w:id="69" w:name="_Ref535958381"/>
                            <w:bookmarkStart w:id="70" w:name="_Toc17983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69"/>
                            <w:r>
                              <w:rPr>
                                <w:rFonts w:ascii="Arial" w:hAnsi="Arial" w:cs="Arial"/>
                                <w:color w:val="2E74B5"/>
                                <w:sz w:val="18"/>
                              </w:rPr>
                              <w:tab/>
                              <w:t>Monitoring, verification and enforcement (MVE)</w:t>
                            </w:r>
                            <w:bookmarkEnd w:id="70"/>
                          </w:p>
                          <w:p w:rsidR="00540FEA" w:rsidRDefault="00540FEA" w:rsidP="003B37D0">
                            <w:pPr>
                              <w:rPr>
                                <w:noProof/>
                              </w:rPr>
                            </w:pPr>
                          </w:p>
                          <w:p w:rsidR="00540FEA" w:rsidRDefault="00540FEA" w:rsidP="003B37D0">
                            <w:pPr>
                              <w:rPr>
                                <w:noProof/>
                              </w:rPr>
                            </w:pPr>
                            <w:r w:rsidRPr="00676649">
                              <w:rPr>
                                <w:noProof/>
                              </w:rPr>
                              <w:drawing>
                                <wp:inline distT="0" distB="0" distL="0" distR="0">
                                  <wp:extent cx="4947920" cy="2712720"/>
                                  <wp:effectExtent l="0" t="0" r="0" b="0"/>
                                  <wp:docPr id="16"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4947920" cy="2712720"/>
                                          </a:xfrm>
                                          <a:prstGeom prst="rect">
                                            <a:avLst/>
                                          </a:prstGeom>
                                          <a:noFill/>
                                          <a:ln>
                                            <a:noFill/>
                                          </a:ln>
                                        </pic:spPr>
                                      </pic:pic>
                                    </a:graphicData>
                                  </a:graphic>
                                </wp:inline>
                              </w:drawing>
                            </w:r>
                          </w:p>
                          <w:p w:rsidR="00540FEA" w:rsidRPr="00BE26FD" w:rsidRDefault="00540FEA" w:rsidP="003B37D0">
                            <w:pPr>
                              <w:rPr>
                                <w:noProof/>
                                <w:sz w:val="18"/>
                                <w:szCs w:val="18"/>
                              </w:rPr>
                            </w:pPr>
                            <w:r w:rsidRPr="00BE26FD">
                              <w:rPr>
                                <w:noProof/>
                                <w:sz w:val="18"/>
                                <w:szCs w:val="18"/>
                              </w:rPr>
                              <w:t xml:space="preserve">Source: </w:t>
                            </w:r>
                            <w:r w:rsidRPr="00BE26FD">
                              <w:rPr>
                                <w:i/>
                                <w:noProof/>
                                <w:sz w:val="18"/>
                                <w:szCs w:val="18"/>
                              </w:rPr>
                              <w:t>Standards and labelling programme: Efficient lighting component</w:t>
                            </w:r>
                            <w:r>
                              <w:rPr>
                                <w:noProof/>
                                <w:sz w:val="18"/>
                                <w:szCs w:val="18"/>
                              </w:rPr>
                              <w:t>, PowerPoint by DoE (February 2018)</w:t>
                            </w:r>
                          </w:p>
                          <w:p w:rsidR="00540FEA" w:rsidRDefault="00540FEA" w:rsidP="003B37D0">
                            <w:pPr>
                              <w:rPr>
                                <w:noProof/>
                              </w:rPr>
                            </w:pPr>
                          </w:p>
                          <w:p w:rsidR="00540FEA" w:rsidRPr="004D4137" w:rsidRDefault="00540FEA" w:rsidP="003B37D0">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95" o:spid="_x0000_s1028" type="#_x0000_t202" style="position:absolute;left:0;text-align:left;margin-left:0;margin-top:347.9pt;width:483.2pt;height:261pt;z-index:251651072;visibility:visible;mso-wrap-style:square;mso-width-percent:0;mso-height-percent:0;mso-wrap-distance-left:9pt;mso-wrap-distance-top:3.6pt;mso-wrap-distance-right:9pt;mso-wrap-distance-bottom:3.6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" fillcolor="#fbe5d6" stroked="f">
                <v:textbox>
                  <w:txbxContent>
                    <w:p w:rsidR="00540FEA" w:rsidRDefault="00540FEA" w:rsidP="003B37D0">
                      <w:pPr>
                        <w:pStyle w:val="Caption"/>
                        <w:rPr>
                          <w:rFonts w:ascii="Arial" w:hAnsi="Arial" w:cs="Arial"/>
                          <w:color w:val="2E74B5"/>
                          <w:sz w:val="18"/>
                        </w:rPr>
                      </w:pPr>
                      <w:bookmarkStart w:id="73" w:name="_Ref535958381"/>
                      <w:bookmarkStart w:id="74" w:name="_Toc17983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7</w:t>
                      </w:r>
                      <w:r w:rsidRPr="00A21E05">
                        <w:rPr>
                          <w:rFonts w:ascii="Arial" w:hAnsi="Arial" w:cs="Arial"/>
                          <w:color w:val="2E74B5"/>
                          <w:sz w:val="18"/>
                        </w:rPr>
                        <w:fldChar w:fldCharType="end"/>
                      </w:r>
                      <w:bookmarkEnd w:id="73"/>
                      <w:r>
                        <w:rPr>
                          <w:rFonts w:ascii="Arial" w:hAnsi="Arial" w:cs="Arial"/>
                          <w:color w:val="2E74B5"/>
                          <w:sz w:val="18"/>
                        </w:rPr>
                        <w:tab/>
                        <w:t>Monitoring, verification and enforcement (MVE)</w:t>
                      </w:r>
                      <w:bookmarkEnd w:id="74"/>
                    </w:p>
                    <w:p w:rsidR="00540FEA" w:rsidRDefault="00540FEA" w:rsidP="003B37D0">
                      <w:pPr>
                        <w:rPr>
                          <w:noProof/>
                        </w:rPr>
                      </w:pPr>
                    </w:p>
                    <w:p w:rsidR="00540FEA" w:rsidRDefault="00540FEA" w:rsidP="003B37D0">
                      <w:pPr>
                        <w:rPr>
                          <w:noProof/>
                        </w:rPr>
                      </w:pPr>
                      <w:r w:rsidRPr="00676649">
                        <w:rPr>
                          <w:noProof/>
                        </w:rPr>
                        <w:drawing>
                          <wp:inline distT="0" distB="0" distL="0" distR="0">
                            <wp:extent cx="4947920" cy="2712720"/>
                            <wp:effectExtent l="0" t="0" r="0" b="0"/>
                            <wp:docPr id="16"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947920" cy="2712720"/>
                                    </a:xfrm>
                                    <a:prstGeom prst="rect">
                                      <a:avLst/>
                                    </a:prstGeom>
                                    <a:noFill/>
                                    <a:ln>
                                      <a:noFill/>
                                    </a:ln>
                                  </pic:spPr>
                                </pic:pic>
                              </a:graphicData>
                            </a:graphic>
                          </wp:inline>
                        </w:drawing>
                      </w:r>
                    </w:p>
                    <w:p w:rsidR="00540FEA" w:rsidRPr="00BE26FD" w:rsidRDefault="00540FEA" w:rsidP="003B37D0">
                      <w:pPr>
                        <w:rPr>
                          <w:noProof/>
                          <w:sz w:val="18"/>
                          <w:szCs w:val="18"/>
                        </w:rPr>
                      </w:pPr>
                      <w:r w:rsidRPr="00BE26FD">
                        <w:rPr>
                          <w:noProof/>
                          <w:sz w:val="18"/>
                          <w:szCs w:val="18"/>
                        </w:rPr>
                        <w:t xml:space="preserve">Source: </w:t>
                      </w:r>
                      <w:r w:rsidRPr="00BE26FD">
                        <w:rPr>
                          <w:i/>
                          <w:noProof/>
                          <w:sz w:val="18"/>
                          <w:szCs w:val="18"/>
                        </w:rPr>
                        <w:t>Standards and labelling programme: Efficient lighting component</w:t>
                      </w:r>
                      <w:r>
                        <w:rPr>
                          <w:noProof/>
                          <w:sz w:val="18"/>
                          <w:szCs w:val="18"/>
                        </w:rPr>
                        <w:t>, PowerPoint by DoE (February 2018)</w:t>
                      </w:r>
                    </w:p>
                    <w:p w:rsidR="00540FEA" w:rsidRDefault="00540FEA" w:rsidP="003B37D0">
                      <w:pPr>
                        <w:rPr>
                          <w:noProof/>
                        </w:rPr>
                      </w:pPr>
                    </w:p>
                    <w:p w:rsidR="00540FEA" w:rsidRPr="004D4137" w:rsidRDefault="00540FEA" w:rsidP="003B37D0">
                      <w:pPr>
                        <w:rPr>
                          <w:noProof/>
                        </w:rPr>
                      </w:pPr>
                    </w:p>
                  </w:txbxContent>
                </v:textbox>
                <w10:wrap type="topAndBottom" anchorx="margin" anchory="margin"/>
              </v:shape>
            </w:pict>
          </mc:Fallback>
        </mc:AlternateContent>
      </w:r>
      <w:bookmarkStart w:id="71" w:name="_Hlk4671597"/>
      <w:r w:rsidR="00A60790" w:rsidRPr="00666B27">
        <w:rPr>
          <w:lang w:val="en-GB"/>
        </w:rPr>
        <w:t xml:space="preserve">Guided by the </w:t>
      </w:r>
      <w:r w:rsidR="00442D92" w:rsidRPr="00F737AD">
        <w:rPr>
          <w:rFonts w:cs="Calibri"/>
          <w:szCs w:val="20"/>
          <w:lang w:val="en-GB"/>
        </w:rPr>
        <w:t xml:space="preserve">market assessment of Output 1.1, the Project will conduct an engineering analysis and impact study of </w:t>
      </w:r>
      <w:r w:rsidR="00E236DA" w:rsidRPr="00F737AD">
        <w:rPr>
          <w:rFonts w:cs="Calibri"/>
          <w:szCs w:val="20"/>
          <w:lang w:val="en-GB"/>
        </w:rPr>
        <w:t xml:space="preserve">the </w:t>
      </w:r>
      <w:r w:rsidR="00442D92" w:rsidRPr="00F737AD">
        <w:rPr>
          <w:rFonts w:cs="Calibri"/>
          <w:noProof/>
          <w:szCs w:val="20"/>
          <w:lang w:val="en-GB"/>
        </w:rPr>
        <w:t>introduction</w:t>
      </w:r>
      <w:r w:rsidR="00442D92" w:rsidRPr="00F737AD">
        <w:rPr>
          <w:rFonts w:cs="Calibri"/>
          <w:szCs w:val="20"/>
          <w:lang w:val="en-GB"/>
        </w:rPr>
        <w:t xml:space="preserve"> of MEPS (accompanied with practical procurement guidelines for municipalities) for transformers with low no-load and load losses. Eskom has developed an in-house efficiency and performance standard for distribution transformers, which is not formally endorsed yet</w:t>
      </w:r>
      <w:r w:rsidR="004C0B36" w:rsidRPr="00F737AD">
        <w:rPr>
          <w:rFonts w:cs="Calibri"/>
          <w:szCs w:val="20"/>
          <w:lang w:val="en-GB"/>
        </w:rPr>
        <w:t>. These activities will form the</w:t>
      </w:r>
      <w:r w:rsidR="00442D92" w:rsidRPr="00F737AD">
        <w:rPr>
          <w:rFonts w:cs="Calibri"/>
          <w:szCs w:val="20"/>
          <w:lang w:val="en-GB"/>
        </w:rPr>
        <w:t xml:space="preserve"> basis for formulating the Minimum Energy Performance Standard (MEPS) for the country, not only to be followed by Eskom but by the municipal utilities as well. The MEPS might be based on voluntary agreements between the electricity companies and the government or as part of a mandatory regulatory and control framework</w:t>
      </w:r>
      <w:bookmarkEnd w:id="71"/>
      <w:r w:rsidR="00442D92" w:rsidRPr="00F737AD">
        <w:rPr>
          <w:rFonts w:cs="Calibri"/>
          <w:szCs w:val="20"/>
          <w:lang w:val="en-GB"/>
        </w:rPr>
        <w:t>.</w:t>
      </w:r>
    </w:p>
    <w:p w:rsidR="003B753C" w:rsidRPr="00F737AD" w:rsidRDefault="003B753C" w:rsidP="003B753C">
      <w:pPr>
        <w:tabs>
          <w:tab w:val="left" w:pos="1560"/>
        </w:tabs>
        <w:spacing w:after="0"/>
        <w:rPr>
          <w:rFonts w:cs="Calibri"/>
          <w:szCs w:val="20"/>
          <w:lang w:val="en-GB"/>
        </w:rPr>
      </w:pPr>
    </w:p>
    <w:p w:rsidR="00A60790" w:rsidRPr="00F737AD" w:rsidRDefault="00A60790" w:rsidP="00A60790">
      <w:pPr>
        <w:tabs>
          <w:tab w:val="left" w:pos="1276"/>
        </w:tabs>
        <w:spacing w:after="0"/>
        <w:rPr>
          <w:rFonts w:cs="Calibri"/>
          <w:i/>
          <w:szCs w:val="20"/>
          <w:lang w:val="en-GB"/>
        </w:rPr>
      </w:pPr>
      <w:r w:rsidRPr="00F737AD">
        <w:rPr>
          <w:rFonts w:cs="Calibri"/>
          <w:i/>
          <w:szCs w:val="20"/>
          <w:lang w:val="en-GB"/>
        </w:rPr>
        <w:t>Activity 1.2.3</w:t>
      </w:r>
      <w:r w:rsidRPr="00F737AD">
        <w:rPr>
          <w:rFonts w:cs="Calibri"/>
          <w:i/>
          <w:szCs w:val="20"/>
          <w:lang w:val="en-GB"/>
        </w:rPr>
        <w:tab/>
        <w:t xml:space="preserve">Capacity strengthening and stakeholder engagement on standards and </w:t>
      </w:r>
      <w:r w:rsidRPr="00F737AD">
        <w:rPr>
          <w:rFonts w:cs="Calibri"/>
          <w:i/>
          <w:noProof/>
          <w:szCs w:val="20"/>
          <w:lang w:val="en-GB"/>
        </w:rPr>
        <w:t>labelling</w:t>
      </w:r>
    </w:p>
    <w:p w:rsidR="00C57360" w:rsidRPr="00666B27" w:rsidRDefault="00A60790" w:rsidP="00000E6F">
      <w:pPr>
        <w:tabs>
          <w:tab w:val="left" w:pos="1560"/>
        </w:tabs>
        <w:spacing w:before="60" w:after="0"/>
        <w:rPr>
          <w:szCs w:val="20"/>
          <w:lang w:val="en-GB"/>
        </w:rPr>
      </w:pPr>
      <w:bookmarkStart w:id="72" w:name="_Hlk4671646"/>
      <w:r w:rsidRPr="00353542">
        <w:rPr>
          <w:szCs w:val="20"/>
          <w:lang w:val="en-GB"/>
        </w:rPr>
        <w:t xml:space="preserve">The </w:t>
      </w:r>
      <w:r w:rsidR="00FE3ACE" w:rsidRPr="00353542">
        <w:rPr>
          <w:szCs w:val="20"/>
          <w:lang w:val="en-GB"/>
        </w:rPr>
        <w:t>Project will support s</w:t>
      </w:r>
      <w:r w:rsidRPr="003B7D62">
        <w:rPr>
          <w:szCs w:val="20"/>
          <w:lang w:val="en-GB"/>
        </w:rPr>
        <w:t xml:space="preserve">takeholder and capacity enhancement </w:t>
      </w:r>
      <w:r w:rsidR="00FE3ACE" w:rsidRPr="004722F0">
        <w:rPr>
          <w:szCs w:val="20"/>
          <w:lang w:val="en-GB"/>
        </w:rPr>
        <w:t xml:space="preserve">by means of </w:t>
      </w:r>
      <w:r w:rsidRPr="0087632B">
        <w:rPr>
          <w:szCs w:val="20"/>
          <w:lang w:val="en-GB"/>
        </w:rPr>
        <w:t>workshops</w:t>
      </w:r>
      <w:r w:rsidRPr="005431FB">
        <w:rPr>
          <w:szCs w:val="20"/>
          <w:lang w:val="en-GB"/>
        </w:rPr>
        <w:t xml:space="preserve"> </w:t>
      </w:r>
      <w:r w:rsidR="00FE3ACE" w:rsidRPr="005431FB">
        <w:rPr>
          <w:szCs w:val="20"/>
          <w:lang w:val="en-GB"/>
        </w:rPr>
        <w:t xml:space="preserve">and technical training </w:t>
      </w:r>
      <w:r w:rsidR="0060724A">
        <w:rPr>
          <w:szCs w:val="20"/>
          <w:lang w:val="en-GB"/>
        </w:rPr>
        <w:t>(</w:t>
      </w:r>
      <w:r w:rsidRPr="005431FB">
        <w:rPr>
          <w:szCs w:val="20"/>
          <w:lang w:val="en-GB"/>
        </w:rPr>
        <w:t>on trends in LED technology and applications, high-efficien</w:t>
      </w:r>
      <w:r w:rsidRPr="00666B27">
        <w:rPr>
          <w:szCs w:val="20"/>
          <w:lang w:val="en-GB"/>
        </w:rPr>
        <w:t xml:space="preserve">cy transformers and international best practice; MEPS and </w:t>
      </w:r>
      <w:r w:rsidRPr="00666B27">
        <w:rPr>
          <w:noProof/>
          <w:szCs w:val="20"/>
          <w:lang w:val="en-GB"/>
        </w:rPr>
        <w:t>labelling</w:t>
      </w:r>
      <w:r w:rsidRPr="00666B27">
        <w:rPr>
          <w:szCs w:val="20"/>
          <w:lang w:val="en-GB"/>
        </w:rPr>
        <w:t xml:space="preserve"> progra</w:t>
      </w:r>
      <w:r w:rsidR="00BC11B7" w:rsidRPr="00666B27">
        <w:rPr>
          <w:szCs w:val="20"/>
          <w:lang w:val="en-GB"/>
        </w:rPr>
        <w:t>m</w:t>
      </w:r>
      <w:r w:rsidRPr="00666B27">
        <w:rPr>
          <w:szCs w:val="20"/>
          <w:lang w:val="en-GB"/>
        </w:rPr>
        <w:t>mes, design and implementation of MVE mechanisms.</w:t>
      </w:r>
    </w:p>
    <w:p w:rsidR="003117E5" w:rsidRPr="00F737AD" w:rsidRDefault="003B753C" w:rsidP="00000E6F">
      <w:pPr>
        <w:tabs>
          <w:tab w:val="left" w:pos="1560"/>
        </w:tabs>
        <w:spacing w:before="60" w:after="0"/>
        <w:rPr>
          <w:rFonts w:cs="Calibri"/>
          <w:szCs w:val="20"/>
          <w:lang w:val="en-GB"/>
        </w:rPr>
      </w:pPr>
      <w:r w:rsidRPr="00F737AD">
        <w:rPr>
          <w:rFonts w:cs="Calibri"/>
          <w:szCs w:val="20"/>
          <w:lang w:val="en-GB"/>
        </w:rPr>
        <w:t xml:space="preserve"> The Project will capitalize on the efforts processes that have already been established in South Africa, incorporating the international experiences in other regions, to further expand the scope of MEPS in South Africa to these two products. The U4E partners (e.g. U4E Centre of Excellence) </w:t>
      </w:r>
      <w:r w:rsidR="00FE3ACE" w:rsidRPr="00F737AD">
        <w:rPr>
          <w:rFonts w:cs="Calibri"/>
          <w:szCs w:val="20"/>
          <w:lang w:val="en-GB"/>
        </w:rPr>
        <w:t>will make available training</w:t>
      </w:r>
      <w:r w:rsidRPr="00F737AD">
        <w:rPr>
          <w:rFonts w:cs="Calibri"/>
          <w:szCs w:val="20"/>
          <w:lang w:val="en-GB"/>
        </w:rPr>
        <w:t xml:space="preserve"> packages and tools on lighting products and training for government officials and private sector representatives.</w:t>
      </w:r>
      <w:r w:rsidR="003B37D0" w:rsidRPr="00666B27">
        <w:rPr>
          <w:lang w:val="en-GB"/>
        </w:rPr>
        <w:t xml:space="preserve"> </w:t>
      </w:r>
      <w:r w:rsidR="003B37D0" w:rsidRPr="00F737AD">
        <w:rPr>
          <w:rFonts w:cs="Calibri"/>
          <w:szCs w:val="20"/>
          <w:lang w:val="en-GB"/>
        </w:rPr>
        <w:t>A public consultation process will be required to engage industry stakeholders regarding the proposed MEPS</w:t>
      </w:r>
      <w:r w:rsidR="00FE3ACE" w:rsidRPr="00F737AD">
        <w:rPr>
          <w:rFonts w:cs="Calibri"/>
          <w:szCs w:val="20"/>
          <w:lang w:val="en-GB"/>
        </w:rPr>
        <w:t xml:space="preserve"> (see Output 1.1). </w:t>
      </w:r>
      <w:r w:rsidR="003B37D0" w:rsidRPr="00F737AD">
        <w:rPr>
          <w:rFonts w:cs="Calibri"/>
          <w:szCs w:val="20"/>
          <w:lang w:val="en-GB"/>
        </w:rPr>
        <w:t>The benefit of drawing on international experience includes using material that had already benefitted from stakeholder consultation</w:t>
      </w:r>
      <w:r w:rsidR="00FE3ACE" w:rsidRPr="00F737AD">
        <w:rPr>
          <w:rFonts w:cs="Calibri"/>
          <w:szCs w:val="20"/>
          <w:lang w:val="en-GB"/>
        </w:rPr>
        <w:t>s in other countries. In addition, t</w:t>
      </w:r>
      <w:r w:rsidR="00442D92" w:rsidRPr="00F737AD">
        <w:rPr>
          <w:rFonts w:cs="Calibri"/>
          <w:szCs w:val="20"/>
          <w:lang w:val="en-GB"/>
        </w:rPr>
        <w:t xml:space="preserve">he Project and its U4E partners will support bundling the lessons learned, technology-neutral lifecycle cost considerations, guidelines, manuals into a </w:t>
      </w:r>
      <w:r w:rsidR="00442D92" w:rsidRPr="00F737AD">
        <w:rPr>
          <w:rFonts w:cs="Calibri"/>
          <w:noProof/>
          <w:szCs w:val="20"/>
          <w:lang w:val="en-GB"/>
        </w:rPr>
        <w:t>harmonised</w:t>
      </w:r>
      <w:r w:rsidR="00442D92" w:rsidRPr="00F737AD">
        <w:rPr>
          <w:rFonts w:cs="Calibri"/>
          <w:szCs w:val="20"/>
          <w:lang w:val="en-GB"/>
        </w:rPr>
        <w:t xml:space="preserve"> set of guidelines and/or made these and/or their weblinks available on the Project/DoE website</w:t>
      </w:r>
      <w:r w:rsidR="00FE3ACE" w:rsidRPr="0057545E">
        <w:rPr>
          <w:rStyle w:val="FootnoteReference"/>
          <w:szCs w:val="20"/>
          <w:lang w:val="en-GB"/>
        </w:rPr>
        <w:footnoteReference w:id="10"/>
      </w:r>
      <w:r w:rsidR="00442D92" w:rsidRPr="00F737AD">
        <w:rPr>
          <w:rFonts w:cs="Calibri"/>
          <w:szCs w:val="20"/>
          <w:lang w:val="en-GB"/>
        </w:rPr>
        <w:t xml:space="preserve">. </w:t>
      </w:r>
    </w:p>
    <w:bookmarkEnd w:id="72"/>
    <w:p w:rsidR="003117E5" w:rsidRPr="00F737AD" w:rsidRDefault="003117E5" w:rsidP="00466CC5">
      <w:pPr>
        <w:tabs>
          <w:tab w:val="left" w:pos="1560"/>
        </w:tabs>
        <w:spacing w:after="0"/>
        <w:jc w:val="left"/>
        <w:rPr>
          <w:rFonts w:cs="Calibri"/>
          <w:szCs w:val="20"/>
          <w:lang w:val="en-GB"/>
        </w:rPr>
      </w:pPr>
    </w:p>
    <w:p w:rsidR="003117E5" w:rsidRPr="00F737AD" w:rsidRDefault="009D4FBB" w:rsidP="009D4FBB">
      <w:pPr>
        <w:tabs>
          <w:tab w:val="left" w:pos="1276"/>
        </w:tabs>
        <w:spacing w:after="0"/>
        <w:jc w:val="left"/>
        <w:rPr>
          <w:rFonts w:cs="Calibri"/>
          <w:b/>
          <w:szCs w:val="20"/>
          <w:lang w:val="en-GB"/>
        </w:rPr>
      </w:pPr>
      <w:r w:rsidRPr="00F737AD">
        <w:rPr>
          <w:rFonts w:cs="Calibri"/>
          <w:b/>
          <w:szCs w:val="20"/>
          <w:lang w:val="en-GB"/>
        </w:rPr>
        <w:t>Output 1.3</w:t>
      </w:r>
      <w:r w:rsidRPr="00F737AD">
        <w:rPr>
          <w:rFonts w:cs="Calibri"/>
          <w:b/>
          <w:szCs w:val="20"/>
          <w:lang w:val="en-GB"/>
        </w:rPr>
        <w:tab/>
        <w:t>Strengthened capacity of testing labs and testing of products</w:t>
      </w:r>
    </w:p>
    <w:p w:rsidR="003117E5" w:rsidRPr="00F737AD" w:rsidRDefault="003117E5" w:rsidP="00466CC5">
      <w:pPr>
        <w:tabs>
          <w:tab w:val="left" w:pos="1560"/>
        </w:tabs>
        <w:spacing w:after="0"/>
        <w:jc w:val="left"/>
        <w:rPr>
          <w:rFonts w:cs="Calibri"/>
          <w:szCs w:val="20"/>
          <w:lang w:val="en-GB"/>
        </w:rPr>
      </w:pPr>
    </w:p>
    <w:p w:rsidR="00E80CC3" w:rsidRPr="00F737AD" w:rsidRDefault="00E80CC3" w:rsidP="00E80CC3">
      <w:pPr>
        <w:tabs>
          <w:tab w:val="left" w:pos="1276"/>
        </w:tabs>
        <w:spacing w:after="0"/>
        <w:jc w:val="left"/>
        <w:rPr>
          <w:rFonts w:cs="Calibri"/>
          <w:i/>
          <w:szCs w:val="20"/>
          <w:lang w:val="en-GB"/>
        </w:rPr>
      </w:pPr>
      <w:r w:rsidRPr="00F737AD">
        <w:rPr>
          <w:rFonts w:cs="Calibri"/>
          <w:i/>
          <w:szCs w:val="20"/>
          <w:lang w:val="en-GB"/>
        </w:rPr>
        <w:t>Activity 1.3.1</w:t>
      </w:r>
      <w:r w:rsidRPr="00F737AD">
        <w:rPr>
          <w:rFonts w:cs="Calibri"/>
          <w:i/>
          <w:szCs w:val="20"/>
          <w:lang w:val="en-GB"/>
        </w:rPr>
        <w:tab/>
        <w:t xml:space="preserve">Assessment of capacity needed to do </w:t>
      </w:r>
      <w:r w:rsidRPr="00F737AD">
        <w:rPr>
          <w:rFonts w:cs="Calibri"/>
          <w:i/>
          <w:noProof/>
          <w:szCs w:val="20"/>
          <w:lang w:val="en-GB"/>
        </w:rPr>
        <w:t>photometric</w:t>
      </w:r>
      <w:r w:rsidRPr="00F737AD">
        <w:rPr>
          <w:rFonts w:cs="Calibri"/>
          <w:i/>
          <w:szCs w:val="20"/>
          <w:lang w:val="en-GB"/>
        </w:rPr>
        <w:t xml:space="preserve"> test (lighting) and transformers in accredited facilities</w:t>
      </w:r>
    </w:p>
    <w:p w:rsidR="00B126C2" w:rsidRPr="00F737AD" w:rsidRDefault="00B126C2" w:rsidP="00967EB1">
      <w:pPr>
        <w:tabs>
          <w:tab w:val="left" w:pos="1560"/>
        </w:tabs>
        <w:spacing w:before="60" w:after="0"/>
        <w:rPr>
          <w:rFonts w:cs="Calibri"/>
          <w:szCs w:val="20"/>
          <w:lang w:val="en-GB"/>
        </w:rPr>
      </w:pPr>
      <w:r w:rsidRPr="00F737AD">
        <w:rPr>
          <w:rFonts w:cs="Calibri"/>
          <w:szCs w:val="20"/>
          <w:lang w:val="en-GB"/>
        </w:rPr>
        <w:t>The Project will carry out an assessment of capacity needed to do photometric test for energy requirements in accredited facilities (status, expected volume of lamps) with recommendations for next steps to get the required accreditation (including Project technical assistance to be provided in Activity 1.3.2). Similarly, the Project will do an assessment of capacity needed to do transformer testing by independent labs for energy requirements in accredited facilities (</w:t>
      </w:r>
      <w:r w:rsidR="00000E6F" w:rsidRPr="00F737AD">
        <w:rPr>
          <w:rFonts w:cs="Calibri"/>
          <w:szCs w:val="20"/>
          <w:lang w:val="en-GB"/>
        </w:rPr>
        <w:t xml:space="preserve">e.g. looking at </w:t>
      </w:r>
      <w:r w:rsidRPr="00F737AD">
        <w:rPr>
          <w:rFonts w:cs="Calibri"/>
          <w:szCs w:val="20"/>
          <w:lang w:val="en-GB"/>
        </w:rPr>
        <w:t>status</w:t>
      </w:r>
      <w:r w:rsidR="00000E6F" w:rsidRPr="00F737AD">
        <w:rPr>
          <w:rFonts w:cs="Calibri"/>
          <w:szCs w:val="20"/>
          <w:lang w:val="en-GB"/>
        </w:rPr>
        <w:t xml:space="preserve"> and capacity, accreditations, </w:t>
      </w:r>
      <w:r w:rsidRPr="00F737AD">
        <w:rPr>
          <w:rFonts w:cs="Calibri"/>
          <w:szCs w:val="20"/>
          <w:lang w:val="en-GB"/>
        </w:rPr>
        <w:t xml:space="preserve">expected </w:t>
      </w:r>
      <w:r w:rsidR="00000E6F" w:rsidRPr="00F737AD">
        <w:rPr>
          <w:rFonts w:cs="Calibri"/>
          <w:szCs w:val="20"/>
          <w:lang w:val="en-GB"/>
        </w:rPr>
        <w:t xml:space="preserve">annual </w:t>
      </w:r>
      <w:r w:rsidRPr="00F737AD">
        <w:rPr>
          <w:rFonts w:cs="Calibri"/>
          <w:szCs w:val="20"/>
          <w:lang w:val="en-GB"/>
        </w:rPr>
        <w:t>volume of lamps</w:t>
      </w:r>
      <w:r w:rsidR="00000E6F" w:rsidRPr="00F737AD">
        <w:rPr>
          <w:rFonts w:cs="Calibri"/>
          <w:szCs w:val="20"/>
          <w:lang w:val="en-GB"/>
        </w:rPr>
        <w:t xml:space="preserve"> to be tested</w:t>
      </w:r>
      <w:r w:rsidRPr="00F737AD">
        <w:rPr>
          <w:rFonts w:cs="Calibri"/>
          <w:szCs w:val="20"/>
          <w:lang w:val="en-GB"/>
        </w:rPr>
        <w:t>)</w:t>
      </w:r>
      <w:r w:rsidR="00D4678A" w:rsidRPr="00F737AD">
        <w:rPr>
          <w:rFonts w:cs="Calibri"/>
          <w:szCs w:val="20"/>
          <w:lang w:val="en-GB"/>
        </w:rPr>
        <w:t>.</w:t>
      </w:r>
    </w:p>
    <w:p w:rsidR="00B126C2" w:rsidRPr="00F737AD" w:rsidRDefault="00B126C2" w:rsidP="00B126C2">
      <w:pPr>
        <w:tabs>
          <w:tab w:val="left" w:pos="1560"/>
        </w:tabs>
        <w:spacing w:after="0"/>
        <w:jc w:val="left"/>
        <w:rPr>
          <w:rFonts w:cs="Calibri"/>
          <w:szCs w:val="20"/>
          <w:lang w:val="en-GB"/>
        </w:rPr>
      </w:pPr>
    </w:p>
    <w:p w:rsidR="00B126C2" w:rsidRPr="00F737AD" w:rsidRDefault="00B126C2" w:rsidP="00B126C2">
      <w:pPr>
        <w:tabs>
          <w:tab w:val="left" w:pos="1276"/>
        </w:tabs>
        <w:spacing w:after="0"/>
        <w:jc w:val="left"/>
        <w:rPr>
          <w:rFonts w:cs="Calibri"/>
          <w:i/>
          <w:szCs w:val="20"/>
          <w:lang w:val="en-GB"/>
        </w:rPr>
      </w:pPr>
      <w:r w:rsidRPr="00F737AD">
        <w:rPr>
          <w:rFonts w:cs="Calibri"/>
          <w:i/>
          <w:szCs w:val="20"/>
          <w:lang w:val="en-GB"/>
        </w:rPr>
        <w:t>Activity 1.3.2</w:t>
      </w:r>
      <w:r w:rsidRPr="00F737AD">
        <w:rPr>
          <w:rFonts w:cs="Calibri"/>
          <w:i/>
          <w:szCs w:val="20"/>
          <w:lang w:val="en-GB"/>
        </w:rPr>
        <w:tab/>
      </w:r>
      <w:proofErr w:type="gramStart"/>
      <w:r w:rsidRPr="00F737AD">
        <w:rPr>
          <w:rFonts w:cs="Calibri"/>
          <w:i/>
          <w:szCs w:val="20"/>
          <w:lang w:val="en-GB"/>
        </w:rPr>
        <w:t>Provide assistance to</w:t>
      </w:r>
      <w:proofErr w:type="gramEnd"/>
      <w:r w:rsidRPr="00F737AD">
        <w:rPr>
          <w:rFonts w:cs="Calibri"/>
          <w:i/>
          <w:szCs w:val="20"/>
          <w:lang w:val="en-GB"/>
        </w:rPr>
        <w:t xml:space="preserve"> upgrade testing facilities and support accreditation</w:t>
      </w:r>
    </w:p>
    <w:p w:rsidR="00D4678A" w:rsidRPr="00F737AD" w:rsidRDefault="00E80CC3" w:rsidP="00967EB1">
      <w:pPr>
        <w:tabs>
          <w:tab w:val="left" w:pos="1560"/>
        </w:tabs>
        <w:spacing w:before="60" w:after="0"/>
        <w:rPr>
          <w:rFonts w:cs="Calibri"/>
          <w:szCs w:val="20"/>
          <w:lang w:val="en-GB"/>
        </w:rPr>
      </w:pPr>
      <w:r w:rsidRPr="00F737AD">
        <w:rPr>
          <w:rFonts w:cs="Calibri"/>
          <w:szCs w:val="20"/>
          <w:lang w:val="en-GB"/>
        </w:rPr>
        <w:t xml:space="preserve">The Project </w:t>
      </w:r>
      <w:bookmarkStart w:id="74" w:name="_Hlk496038051"/>
      <w:r w:rsidR="00000E6F" w:rsidRPr="00F737AD">
        <w:rPr>
          <w:rFonts w:cs="Calibri"/>
          <w:szCs w:val="20"/>
          <w:lang w:val="en-GB"/>
        </w:rPr>
        <w:t xml:space="preserve">will </w:t>
      </w:r>
      <w:proofErr w:type="gramStart"/>
      <w:r w:rsidR="00000E6F" w:rsidRPr="00F737AD">
        <w:rPr>
          <w:rFonts w:cs="Calibri"/>
          <w:szCs w:val="20"/>
          <w:lang w:val="en-GB"/>
        </w:rPr>
        <w:t>provide assistance to</w:t>
      </w:r>
      <w:proofErr w:type="gramEnd"/>
      <w:r w:rsidR="00000E6F" w:rsidRPr="00F737AD">
        <w:rPr>
          <w:rFonts w:cs="Calibri"/>
          <w:szCs w:val="20"/>
          <w:lang w:val="en-GB"/>
        </w:rPr>
        <w:t xml:space="preserve"> strengthen</w:t>
      </w:r>
      <w:r w:rsidRPr="00F737AD">
        <w:rPr>
          <w:rFonts w:cs="Calibri"/>
          <w:szCs w:val="20"/>
          <w:lang w:val="en-GB"/>
        </w:rPr>
        <w:t xml:space="preserve"> testing facilities </w:t>
      </w:r>
      <w:bookmarkEnd w:id="74"/>
      <w:r w:rsidRPr="00F737AD">
        <w:rPr>
          <w:rFonts w:cs="Calibri"/>
          <w:szCs w:val="20"/>
          <w:lang w:val="en-GB"/>
        </w:rPr>
        <w:t>(</w:t>
      </w:r>
      <w:r w:rsidR="00000E6F" w:rsidRPr="00F737AD">
        <w:rPr>
          <w:rFonts w:cs="Calibri"/>
          <w:szCs w:val="20"/>
          <w:lang w:val="en-GB"/>
        </w:rPr>
        <w:t xml:space="preserve">e.g., basic </w:t>
      </w:r>
      <w:r w:rsidRPr="00F737AD">
        <w:rPr>
          <w:rFonts w:cs="Calibri"/>
          <w:szCs w:val="20"/>
          <w:lang w:val="en-GB"/>
        </w:rPr>
        <w:t>equipment</w:t>
      </w:r>
      <w:r w:rsidR="00000E6F" w:rsidRPr="00F737AD">
        <w:rPr>
          <w:rFonts w:cs="Calibri"/>
          <w:szCs w:val="20"/>
          <w:lang w:val="en-GB"/>
        </w:rPr>
        <w:t xml:space="preserve">; </w:t>
      </w:r>
      <w:r w:rsidRPr="00F737AD">
        <w:rPr>
          <w:rFonts w:cs="Calibri"/>
          <w:szCs w:val="20"/>
          <w:lang w:val="en-GB"/>
        </w:rPr>
        <w:t>participation in international training/workshops; visi</w:t>
      </w:r>
      <w:r w:rsidR="00530096" w:rsidRPr="00F737AD">
        <w:rPr>
          <w:rFonts w:cs="Calibri"/>
          <w:szCs w:val="20"/>
          <w:lang w:val="en-GB"/>
        </w:rPr>
        <w:t>t of staff</w:t>
      </w:r>
      <w:r w:rsidRPr="00F737AD">
        <w:rPr>
          <w:rFonts w:cs="Calibri"/>
          <w:szCs w:val="20"/>
          <w:lang w:val="en-GB"/>
        </w:rPr>
        <w:t xml:space="preserve"> to state-of-the-art lighting test labs and learning-by-doing)</w:t>
      </w:r>
      <w:r w:rsidR="00D4678A" w:rsidRPr="00F737AD">
        <w:rPr>
          <w:rFonts w:cs="Calibri"/>
          <w:szCs w:val="20"/>
          <w:lang w:val="en-GB"/>
        </w:rPr>
        <w:t xml:space="preserve">. The Project will work </w:t>
      </w:r>
      <w:r w:rsidR="00530096" w:rsidRPr="00F737AD">
        <w:rPr>
          <w:rFonts w:cs="Calibri"/>
          <w:szCs w:val="20"/>
          <w:lang w:val="en-GB"/>
        </w:rPr>
        <w:t>to achieve</w:t>
      </w:r>
      <w:r w:rsidR="00D4678A" w:rsidRPr="00F737AD">
        <w:rPr>
          <w:rFonts w:cs="Calibri"/>
          <w:szCs w:val="20"/>
          <w:lang w:val="en-GB"/>
        </w:rPr>
        <w:t xml:space="preserve"> accreditation of testing facilities and enforcement institutions and </w:t>
      </w:r>
      <w:r w:rsidR="00530096" w:rsidRPr="00F737AD">
        <w:rPr>
          <w:rFonts w:cs="Calibri"/>
          <w:szCs w:val="20"/>
          <w:lang w:val="en-GB"/>
        </w:rPr>
        <w:t xml:space="preserve">to </w:t>
      </w:r>
      <w:r w:rsidR="00D4678A" w:rsidRPr="00F737AD">
        <w:rPr>
          <w:rFonts w:cs="Calibri"/>
          <w:szCs w:val="20"/>
          <w:lang w:val="en-GB"/>
        </w:rPr>
        <w:t>get accreditation for lighting and transformer testing.</w:t>
      </w:r>
    </w:p>
    <w:p w:rsidR="00D4678A" w:rsidRPr="00F737AD" w:rsidRDefault="007C3833" w:rsidP="00967EB1">
      <w:pPr>
        <w:tabs>
          <w:tab w:val="left" w:pos="1560"/>
        </w:tabs>
        <w:spacing w:before="60" w:after="0"/>
        <w:rPr>
          <w:rFonts w:cs="Calibri"/>
          <w:szCs w:val="20"/>
          <w:lang w:val="en-GB"/>
        </w:rPr>
      </w:pPr>
      <w:r w:rsidRPr="00F737AD">
        <w:rPr>
          <w:rFonts w:cs="Calibri"/>
          <w:szCs w:val="20"/>
          <w:lang w:val="en-GB"/>
        </w:rPr>
        <w:t xml:space="preserve">For a test laboratory to become part of the international accreditation network (headed by ILAC) thereby gaining international recognition for their testing methods and associated test reports, the laboratory will need to obtain accreditation </w:t>
      </w:r>
      <w:r w:rsidR="0060724A" w:rsidRPr="00F737AD">
        <w:rPr>
          <w:rFonts w:cs="Calibri"/>
          <w:szCs w:val="20"/>
          <w:lang w:val="en-GB"/>
        </w:rPr>
        <w:t xml:space="preserve">from the </w:t>
      </w:r>
      <w:r w:rsidRPr="00F737AD">
        <w:rPr>
          <w:rFonts w:cs="Calibri"/>
          <w:szCs w:val="20"/>
          <w:lang w:val="en-GB"/>
        </w:rPr>
        <w:t>national accreditation bod</w:t>
      </w:r>
      <w:r w:rsidR="0060724A" w:rsidRPr="00F737AD">
        <w:rPr>
          <w:rFonts w:cs="Calibri"/>
          <w:szCs w:val="20"/>
          <w:lang w:val="en-GB"/>
        </w:rPr>
        <w:t>y</w:t>
      </w:r>
      <w:r w:rsidRPr="00F737AD">
        <w:rPr>
          <w:rFonts w:cs="Calibri"/>
          <w:szCs w:val="20"/>
          <w:lang w:val="en-GB"/>
        </w:rPr>
        <w:t xml:space="preserve"> (SANAS in South Africa) for each of the desired test methods and demonstrate their compliance with ISO17025 </w:t>
      </w:r>
      <w:r w:rsidR="00530096" w:rsidRPr="00F737AD">
        <w:rPr>
          <w:rFonts w:cs="Calibri"/>
          <w:szCs w:val="20"/>
          <w:lang w:val="en-GB"/>
        </w:rPr>
        <w:t>“</w:t>
      </w:r>
      <w:r w:rsidRPr="00F737AD">
        <w:rPr>
          <w:rFonts w:cs="Calibri"/>
          <w:szCs w:val="20"/>
          <w:lang w:val="en-GB"/>
        </w:rPr>
        <w:t>General requirements for the competence of testing and calibration laboratories</w:t>
      </w:r>
      <w:r w:rsidR="00530096" w:rsidRPr="00F737AD">
        <w:rPr>
          <w:rFonts w:cs="Calibri"/>
          <w:szCs w:val="20"/>
          <w:lang w:val="en-GB"/>
        </w:rPr>
        <w:t>”</w:t>
      </w:r>
      <w:r w:rsidRPr="00F737AD">
        <w:rPr>
          <w:rFonts w:cs="Calibri"/>
          <w:szCs w:val="20"/>
          <w:lang w:val="en-GB"/>
        </w:rPr>
        <w:t>.</w:t>
      </w:r>
      <w:r w:rsidRPr="00666B27">
        <w:rPr>
          <w:lang w:val="en-GB"/>
        </w:rPr>
        <w:t xml:space="preserve"> </w:t>
      </w:r>
      <w:r w:rsidRPr="00F737AD">
        <w:rPr>
          <w:rFonts w:cs="Calibri"/>
          <w:szCs w:val="20"/>
          <w:lang w:val="en-GB"/>
        </w:rPr>
        <w:t xml:space="preserve">The project will ensure South Africa has a well-functioning system of SANAS-accredited photometric testing facilities for LEDs. The U4E partner </w:t>
      </w:r>
      <w:r w:rsidR="009E51BD">
        <w:rPr>
          <w:rFonts w:cs="Calibri"/>
          <w:szCs w:val="20"/>
          <w:lang w:val="en-GB"/>
        </w:rPr>
        <w:t>GELC</w:t>
      </w:r>
      <w:r w:rsidRPr="00F737AD">
        <w:rPr>
          <w:rFonts w:cs="Calibri"/>
          <w:szCs w:val="20"/>
          <w:lang w:val="en-GB"/>
        </w:rPr>
        <w:t xml:space="preserve"> (</w:t>
      </w:r>
      <w:r w:rsidR="009E51BD" w:rsidRPr="009E51BD">
        <w:rPr>
          <w:rFonts w:cs="Calibri"/>
          <w:color w:val="FF0000"/>
          <w:szCs w:val="20"/>
          <w:lang w:val="en-GB"/>
        </w:rPr>
        <w:t>Global Efficient Lighting Centre</w:t>
      </w:r>
      <w:r w:rsidR="009E51BD">
        <w:rPr>
          <w:rFonts w:cs="Calibri"/>
          <w:szCs w:val="20"/>
          <w:lang w:val="en-GB"/>
        </w:rPr>
        <w:t xml:space="preserve">; </w:t>
      </w:r>
      <w:r w:rsidRPr="00F737AD">
        <w:rPr>
          <w:rFonts w:cs="Calibri"/>
          <w:szCs w:val="20"/>
          <w:lang w:val="en-GB"/>
        </w:rPr>
        <w:t xml:space="preserve">China) </w:t>
      </w:r>
      <w:r w:rsidR="00530096" w:rsidRPr="00F737AD">
        <w:rPr>
          <w:rFonts w:cs="Calibri"/>
          <w:szCs w:val="20"/>
          <w:lang w:val="en-GB"/>
        </w:rPr>
        <w:t>can</w:t>
      </w:r>
      <w:r w:rsidRPr="00F737AD">
        <w:rPr>
          <w:rFonts w:cs="Calibri"/>
          <w:szCs w:val="20"/>
          <w:lang w:val="en-GB"/>
        </w:rPr>
        <w:t xml:space="preserve"> provide technical expertise and training on developing and operating a lighting test laboratory.</w:t>
      </w:r>
      <w:r w:rsidR="0060724A" w:rsidRPr="00F737AD">
        <w:rPr>
          <w:rFonts w:cs="Calibri"/>
          <w:szCs w:val="20"/>
          <w:lang w:val="en-GB"/>
        </w:rPr>
        <w:t xml:space="preserve"> A similar approach can be followed for testing of transformers.</w:t>
      </w:r>
    </w:p>
    <w:p w:rsidR="007C3833" w:rsidRPr="00F737AD" w:rsidRDefault="007C3833" w:rsidP="007C3833">
      <w:pPr>
        <w:tabs>
          <w:tab w:val="left" w:pos="1560"/>
        </w:tabs>
        <w:spacing w:after="0"/>
        <w:rPr>
          <w:rFonts w:cs="Calibri"/>
          <w:szCs w:val="20"/>
          <w:lang w:val="en-GB"/>
        </w:rPr>
      </w:pPr>
    </w:p>
    <w:p w:rsidR="007C3833" w:rsidRPr="00F737AD" w:rsidRDefault="007C3833" w:rsidP="007C3833">
      <w:pPr>
        <w:tabs>
          <w:tab w:val="left" w:pos="1276"/>
        </w:tabs>
        <w:spacing w:after="0"/>
        <w:rPr>
          <w:rFonts w:cs="Calibri"/>
          <w:i/>
          <w:szCs w:val="20"/>
          <w:lang w:val="en-GB"/>
        </w:rPr>
      </w:pPr>
      <w:r w:rsidRPr="00F737AD">
        <w:rPr>
          <w:rFonts w:cs="Calibri"/>
          <w:i/>
          <w:szCs w:val="20"/>
          <w:lang w:val="en-GB"/>
        </w:rPr>
        <w:t>Activity 1.3.3</w:t>
      </w:r>
      <w:r w:rsidRPr="00F737AD">
        <w:rPr>
          <w:rFonts w:cs="Calibri"/>
          <w:i/>
          <w:szCs w:val="20"/>
          <w:lang w:val="en-GB"/>
        </w:rPr>
        <w:tab/>
        <w:t>Testing of selected products carried out and publication of results</w:t>
      </w:r>
    </w:p>
    <w:p w:rsidR="00E80CC3" w:rsidRPr="00F737AD" w:rsidRDefault="007C3833" w:rsidP="00967EB1">
      <w:pPr>
        <w:tabs>
          <w:tab w:val="left" w:pos="1560"/>
        </w:tabs>
        <w:spacing w:before="60" w:after="0"/>
        <w:rPr>
          <w:rFonts w:cs="Calibri"/>
          <w:szCs w:val="20"/>
          <w:lang w:val="en-GB"/>
        </w:rPr>
      </w:pPr>
      <w:r w:rsidRPr="00F737AD">
        <w:rPr>
          <w:rFonts w:cs="Calibri"/>
          <w:szCs w:val="20"/>
          <w:lang w:val="en-GB"/>
        </w:rPr>
        <w:t xml:space="preserve">The Project will support the MVE agencies involved with testing of a sample of products carried out and reporting with the establishment of a product registry and communication through </w:t>
      </w:r>
      <w:r w:rsidR="00530096" w:rsidRPr="00F737AD">
        <w:rPr>
          <w:rFonts w:cs="Calibri"/>
          <w:szCs w:val="20"/>
          <w:lang w:val="en-GB"/>
        </w:rPr>
        <w:t xml:space="preserve">a </w:t>
      </w:r>
      <w:r w:rsidRPr="00F737AD">
        <w:rPr>
          <w:rFonts w:cs="Calibri"/>
          <w:szCs w:val="20"/>
          <w:lang w:val="en-GB"/>
        </w:rPr>
        <w:t>web portal (see Activity 1.1) on compliant products</w:t>
      </w:r>
      <w:r w:rsidR="00530096" w:rsidRPr="00F737AD">
        <w:rPr>
          <w:rFonts w:cs="Calibri"/>
          <w:szCs w:val="20"/>
          <w:lang w:val="en-GB"/>
        </w:rPr>
        <w:t>.</w:t>
      </w:r>
    </w:p>
    <w:p w:rsidR="00101DC0" w:rsidRPr="00666B27" w:rsidRDefault="00101DC0" w:rsidP="00101DC0">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666B27">
        <w:rPr>
          <w:rFonts w:eastAsia="Times New Roman" w:cs="Calibri"/>
          <w:bCs/>
          <w:i/>
          <w:color w:val="002060"/>
          <w:sz w:val="22"/>
          <w:szCs w:val="20"/>
          <w:lang w:val="en-GB"/>
        </w:rPr>
        <w:t>Component 2</w:t>
      </w:r>
      <w:r w:rsidRPr="00666B27">
        <w:rPr>
          <w:rFonts w:eastAsia="Times New Roman" w:cs="Calibri"/>
          <w:bCs/>
          <w:i/>
          <w:color w:val="002060"/>
          <w:sz w:val="22"/>
          <w:szCs w:val="20"/>
          <w:lang w:val="en-GB"/>
        </w:rPr>
        <w:tab/>
        <w:t>Support mechanisms to accelerate market penetration of LEDs and HE distribution transformers</w:t>
      </w:r>
    </w:p>
    <w:p w:rsidR="00101DC0" w:rsidRPr="00F737AD" w:rsidRDefault="00101DC0" w:rsidP="00101DC0">
      <w:pPr>
        <w:tabs>
          <w:tab w:val="left" w:pos="1560"/>
        </w:tabs>
        <w:spacing w:after="0"/>
        <w:jc w:val="left"/>
        <w:rPr>
          <w:rFonts w:cs="Calibri"/>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848"/>
      </w:tblGrid>
      <w:tr w:rsidR="00101DC0" w:rsidRPr="0057545E" w:rsidTr="00F737AD">
        <w:tc>
          <w:tcPr>
            <w:tcW w:w="3114" w:type="dxa"/>
            <w:shd w:val="clear" w:color="auto" w:fill="auto"/>
          </w:tcPr>
          <w:p w:rsidR="00101DC0" w:rsidRPr="00F737AD" w:rsidRDefault="00101DC0" w:rsidP="00F737AD">
            <w:pPr>
              <w:tabs>
                <w:tab w:val="left" w:pos="1560"/>
              </w:tabs>
              <w:spacing w:after="0"/>
              <w:jc w:val="left"/>
              <w:rPr>
                <w:rFonts w:cs="Calibri"/>
                <w:i/>
                <w:szCs w:val="20"/>
                <w:lang w:val="en-GB"/>
              </w:rPr>
            </w:pPr>
            <w:bookmarkStart w:id="75" w:name="_Hlk4675497"/>
            <w:r w:rsidRPr="00F737AD">
              <w:rPr>
                <w:rFonts w:cs="Calibri"/>
                <w:i/>
                <w:szCs w:val="20"/>
                <w:lang w:val="en-GB"/>
              </w:rPr>
              <w:t>Output</w:t>
            </w:r>
          </w:p>
        </w:tc>
        <w:tc>
          <w:tcPr>
            <w:tcW w:w="6848" w:type="dxa"/>
            <w:shd w:val="clear" w:color="auto" w:fill="auto"/>
          </w:tcPr>
          <w:p w:rsidR="00101DC0" w:rsidRPr="00F737AD" w:rsidRDefault="00101DC0" w:rsidP="00F737AD">
            <w:pPr>
              <w:tabs>
                <w:tab w:val="left" w:pos="1560"/>
              </w:tabs>
              <w:spacing w:after="0"/>
              <w:jc w:val="left"/>
              <w:rPr>
                <w:rFonts w:cs="Calibri"/>
                <w:i/>
                <w:szCs w:val="20"/>
                <w:lang w:val="en-GB"/>
              </w:rPr>
            </w:pPr>
            <w:r w:rsidRPr="00F737AD">
              <w:rPr>
                <w:rFonts w:cs="Calibri"/>
                <w:i/>
                <w:szCs w:val="20"/>
                <w:lang w:val="en-GB"/>
              </w:rPr>
              <w:t>Activity</w:t>
            </w:r>
          </w:p>
        </w:tc>
      </w:tr>
      <w:tr w:rsidR="00101DC0" w:rsidRPr="0057545E" w:rsidTr="00F737AD">
        <w:tc>
          <w:tcPr>
            <w:tcW w:w="9962" w:type="dxa"/>
            <w:gridSpan w:val="2"/>
            <w:shd w:val="clear" w:color="auto" w:fill="E2EFD9"/>
          </w:tcPr>
          <w:p w:rsidR="00101DC0" w:rsidRPr="00F737AD" w:rsidRDefault="00101DC0" w:rsidP="00F737AD">
            <w:pPr>
              <w:tabs>
                <w:tab w:val="left" w:pos="1164"/>
                <w:tab w:val="left" w:pos="1560"/>
              </w:tabs>
              <w:spacing w:after="0"/>
              <w:ind w:left="1164" w:hanging="1164"/>
              <w:jc w:val="left"/>
              <w:rPr>
                <w:rFonts w:cs="Calibri"/>
                <w:b/>
                <w:szCs w:val="20"/>
                <w:lang w:val="en-GB"/>
              </w:rPr>
            </w:pPr>
            <w:bookmarkStart w:id="76" w:name="_Hlk536712449"/>
            <w:r w:rsidRPr="00F737AD">
              <w:rPr>
                <w:rFonts w:cs="Calibri"/>
                <w:b/>
                <w:szCs w:val="20"/>
                <w:lang w:val="en-GB"/>
              </w:rPr>
              <w:t>Outcome 2</w:t>
            </w:r>
            <w:r w:rsidRPr="00F737AD">
              <w:rPr>
                <w:rFonts w:cs="Calibri"/>
                <w:b/>
                <w:szCs w:val="20"/>
                <w:lang w:val="en-GB"/>
              </w:rPr>
              <w:tab/>
              <w:t>Awareness</w:t>
            </w:r>
            <w:r w:rsidR="00710498" w:rsidRPr="00F737AD">
              <w:rPr>
                <w:rFonts w:cs="Calibri"/>
                <w:b/>
                <w:szCs w:val="20"/>
                <w:lang w:val="en-GB"/>
              </w:rPr>
              <w:t xml:space="preserve">, </w:t>
            </w:r>
            <w:r w:rsidRPr="00F737AD">
              <w:rPr>
                <w:rFonts w:cs="Calibri"/>
                <w:b/>
                <w:szCs w:val="20"/>
                <w:lang w:val="en-GB"/>
              </w:rPr>
              <w:t xml:space="preserve">knowledge </w:t>
            </w:r>
            <w:r w:rsidR="00710498" w:rsidRPr="00F737AD">
              <w:rPr>
                <w:rFonts w:cs="Calibri"/>
                <w:b/>
                <w:szCs w:val="20"/>
                <w:lang w:val="en-GB"/>
              </w:rPr>
              <w:t xml:space="preserve">and capacity </w:t>
            </w:r>
            <w:r w:rsidRPr="00F737AD">
              <w:rPr>
                <w:rFonts w:cs="Calibri"/>
                <w:b/>
                <w:szCs w:val="20"/>
                <w:lang w:val="en-GB"/>
              </w:rPr>
              <w:t>enhanced of end-users, municipalities and private sector</w:t>
            </w:r>
          </w:p>
        </w:tc>
      </w:tr>
      <w:bookmarkEnd w:id="76"/>
      <w:tr w:rsidR="00101DC0" w:rsidRPr="0057545E" w:rsidTr="00F737AD">
        <w:trPr>
          <w:trHeight w:val="648"/>
        </w:trPr>
        <w:tc>
          <w:tcPr>
            <w:tcW w:w="3114" w:type="dxa"/>
            <w:vMerge w:val="restart"/>
            <w:shd w:val="clear" w:color="auto" w:fill="FFF2CC"/>
          </w:tcPr>
          <w:p w:rsidR="00101DC0" w:rsidRPr="00F737AD" w:rsidRDefault="00101DC0" w:rsidP="00F737AD">
            <w:pPr>
              <w:tabs>
                <w:tab w:val="left" w:pos="416"/>
                <w:tab w:val="left" w:pos="1560"/>
              </w:tabs>
              <w:spacing w:after="0"/>
              <w:ind w:left="455" w:hanging="455"/>
              <w:jc w:val="left"/>
              <w:rPr>
                <w:rFonts w:cs="Calibri"/>
                <w:szCs w:val="20"/>
                <w:lang w:val="en-GB"/>
              </w:rPr>
            </w:pPr>
            <w:r w:rsidRPr="00F737AD">
              <w:rPr>
                <w:rFonts w:cs="Calibri"/>
                <w:szCs w:val="20"/>
                <w:lang w:val="en-GB"/>
              </w:rPr>
              <w:t>2.1</w:t>
            </w:r>
            <w:r w:rsidRPr="00F737AD">
              <w:rPr>
                <w:rFonts w:cs="Calibri"/>
                <w:szCs w:val="20"/>
                <w:lang w:val="en-GB"/>
              </w:rPr>
              <w:tab/>
              <w:t>Communication and promotional campaign designed and implemented</w:t>
            </w:r>
          </w:p>
        </w:tc>
        <w:tc>
          <w:tcPr>
            <w:tcW w:w="6848" w:type="dxa"/>
            <w:shd w:val="clear" w:color="auto" w:fill="auto"/>
          </w:tcPr>
          <w:p w:rsidR="00101DC0" w:rsidRPr="00F737AD" w:rsidRDefault="005F00C9" w:rsidP="00F737AD">
            <w:pPr>
              <w:tabs>
                <w:tab w:val="left" w:pos="737"/>
                <w:tab w:val="left" w:pos="1560"/>
              </w:tabs>
              <w:spacing w:after="0"/>
              <w:ind w:left="737" w:hanging="708"/>
              <w:jc w:val="left"/>
              <w:rPr>
                <w:rFonts w:cs="Calibri"/>
                <w:szCs w:val="20"/>
                <w:lang w:val="en-GB"/>
              </w:rPr>
            </w:pPr>
            <w:r w:rsidRPr="00F737AD">
              <w:rPr>
                <w:rFonts w:cs="Calibri"/>
                <w:szCs w:val="20"/>
                <w:lang w:val="en-GB"/>
              </w:rPr>
              <w:t>2</w:t>
            </w:r>
            <w:r w:rsidR="00101DC0" w:rsidRPr="00F737AD">
              <w:rPr>
                <w:rFonts w:cs="Calibri"/>
                <w:szCs w:val="20"/>
                <w:lang w:val="en-GB"/>
              </w:rPr>
              <w:t>.1.1</w:t>
            </w:r>
            <w:r w:rsidR="00101DC0" w:rsidRPr="00F737AD">
              <w:rPr>
                <w:rFonts w:cs="Calibri"/>
                <w:szCs w:val="20"/>
                <w:lang w:val="en-GB"/>
              </w:rPr>
              <w:tab/>
              <w:t xml:space="preserve">Development and implementation of </w:t>
            </w:r>
            <w:r w:rsidR="00E236DA" w:rsidRPr="00F737AD">
              <w:rPr>
                <w:rFonts w:cs="Calibri"/>
                <w:szCs w:val="20"/>
                <w:lang w:val="en-GB"/>
              </w:rPr>
              <w:t xml:space="preserve">a </w:t>
            </w:r>
            <w:r w:rsidR="00101DC0" w:rsidRPr="00F737AD">
              <w:rPr>
                <w:rFonts w:cs="Calibri"/>
                <w:noProof/>
                <w:szCs w:val="20"/>
                <w:lang w:val="en-GB"/>
              </w:rPr>
              <w:t>gender-sensitive</w:t>
            </w:r>
            <w:r w:rsidR="00101DC0" w:rsidRPr="00F737AD">
              <w:rPr>
                <w:rFonts w:cs="Calibri"/>
                <w:szCs w:val="20"/>
                <w:lang w:val="en-GB"/>
              </w:rPr>
              <w:t xml:space="preserve"> campaign for households </w:t>
            </w:r>
            <w:r w:rsidR="007C3833" w:rsidRPr="00F737AD">
              <w:rPr>
                <w:rFonts w:cs="Calibri"/>
                <w:szCs w:val="20"/>
                <w:lang w:val="en-GB"/>
              </w:rPr>
              <w:t xml:space="preserve">and businesses </w:t>
            </w:r>
            <w:r w:rsidR="00101DC0" w:rsidRPr="00F737AD">
              <w:rPr>
                <w:rFonts w:cs="Calibri"/>
                <w:szCs w:val="20"/>
                <w:lang w:val="en-GB"/>
              </w:rPr>
              <w:t>on efficient lighting and waste disposal</w:t>
            </w:r>
          </w:p>
          <w:p w:rsidR="00101DC0" w:rsidRPr="00F737AD" w:rsidRDefault="005F00C9" w:rsidP="00F737AD">
            <w:pPr>
              <w:tabs>
                <w:tab w:val="left" w:pos="737"/>
                <w:tab w:val="left" w:pos="1560"/>
              </w:tabs>
              <w:spacing w:after="0"/>
              <w:ind w:left="737" w:hanging="708"/>
              <w:jc w:val="left"/>
              <w:rPr>
                <w:rFonts w:cs="Calibri"/>
                <w:szCs w:val="20"/>
                <w:lang w:val="en-GB"/>
              </w:rPr>
            </w:pPr>
            <w:r w:rsidRPr="00F737AD">
              <w:rPr>
                <w:rFonts w:cs="Calibri"/>
                <w:szCs w:val="20"/>
                <w:lang w:val="en-GB"/>
              </w:rPr>
              <w:lastRenderedPageBreak/>
              <w:t>2</w:t>
            </w:r>
            <w:r w:rsidR="00101DC0" w:rsidRPr="00F737AD">
              <w:rPr>
                <w:rFonts w:cs="Calibri"/>
                <w:szCs w:val="20"/>
                <w:lang w:val="en-GB"/>
              </w:rPr>
              <w:t>.1.2</w:t>
            </w:r>
            <w:r w:rsidR="00101DC0" w:rsidRPr="00F737AD">
              <w:rPr>
                <w:rFonts w:cs="Calibri"/>
                <w:szCs w:val="20"/>
                <w:lang w:val="en-GB"/>
              </w:rPr>
              <w:tab/>
              <w:t xml:space="preserve">Capacity strengthening of </w:t>
            </w:r>
            <w:r w:rsidR="00A02B81" w:rsidRPr="00F737AD">
              <w:rPr>
                <w:rFonts w:cs="Calibri"/>
                <w:szCs w:val="20"/>
                <w:lang w:val="en-GB"/>
              </w:rPr>
              <w:t>staff of</w:t>
            </w:r>
            <w:r w:rsidR="00101DC0" w:rsidRPr="00F737AD">
              <w:rPr>
                <w:rFonts w:cs="Calibri"/>
                <w:szCs w:val="20"/>
                <w:lang w:val="en-GB"/>
              </w:rPr>
              <w:t xml:space="preserve"> retailers</w:t>
            </w:r>
            <w:r w:rsidR="00A02B81" w:rsidRPr="00F737AD">
              <w:rPr>
                <w:rFonts w:cs="Calibri"/>
                <w:szCs w:val="20"/>
                <w:lang w:val="en-GB"/>
              </w:rPr>
              <w:t xml:space="preserve"> and </w:t>
            </w:r>
            <w:r w:rsidR="00101DC0" w:rsidRPr="00F737AD">
              <w:rPr>
                <w:rFonts w:cs="Calibri"/>
                <w:szCs w:val="20"/>
                <w:lang w:val="en-GB"/>
              </w:rPr>
              <w:t xml:space="preserve">wholesalers </w:t>
            </w:r>
            <w:r w:rsidRPr="00F737AD">
              <w:rPr>
                <w:rFonts w:cs="Calibri"/>
                <w:szCs w:val="20"/>
                <w:lang w:val="en-GB"/>
              </w:rPr>
              <w:t>on EE lighting promotion</w:t>
            </w:r>
          </w:p>
          <w:p w:rsidR="005F00C9" w:rsidRPr="00F737AD" w:rsidRDefault="005F00C9" w:rsidP="00F737AD">
            <w:pPr>
              <w:tabs>
                <w:tab w:val="left" w:pos="737"/>
                <w:tab w:val="left" w:pos="1560"/>
              </w:tabs>
              <w:spacing w:after="0"/>
              <w:ind w:left="737" w:hanging="708"/>
              <w:jc w:val="left"/>
              <w:rPr>
                <w:rFonts w:cs="Calibri"/>
                <w:szCs w:val="20"/>
                <w:lang w:val="en-GB"/>
              </w:rPr>
            </w:pPr>
            <w:r w:rsidRPr="00F737AD">
              <w:rPr>
                <w:rFonts w:cs="Calibri"/>
                <w:szCs w:val="20"/>
                <w:lang w:val="en-GB"/>
              </w:rPr>
              <w:t>2.1.3</w:t>
            </w:r>
            <w:r w:rsidRPr="00F737AD">
              <w:rPr>
                <w:rFonts w:cs="Calibri"/>
                <w:szCs w:val="20"/>
                <w:lang w:val="en-GB"/>
              </w:rPr>
              <w:tab/>
              <w:t xml:space="preserve">Capacity strengthening of </w:t>
            </w:r>
            <w:r w:rsidR="00530096" w:rsidRPr="00F737AD">
              <w:rPr>
                <w:rFonts w:cs="Calibri"/>
                <w:szCs w:val="20"/>
                <w:lang w:val="en-GB"/>
              </w:rPr>
              <w:t>(</w:t>
            </w:r>
            <w:r w:rsidRPr="00F737AD">
              <w:rPr>
                <w:rFonts w:cs="Calibri"/>
                <w:szCs w:val="20"/>
                <w:lang w:val="en-GB"/>
              </w:rPr>
              <w:t>commercial</w:t>
            </w:r>
            <w:r w:rsidR="00530096" w:rsidRPr="00F737AD">
              <w:rPr>
                <w:rFonts w:cs="Calibri"/>
                <w:szCs w:val="20"/>
                <w:lang w:val="en-GB"/>
              </w:rPr>
              <w:t xml:space="preserve">) </w:t>
            </w:r>
            <w:r w:rsidRPr="00F737AD">
              <w:rPr>
                <w:rFonts w:cs="Calibri"/>
                <w:szCs w:val="20"/>
                <w:lang w:val="en-GB"/>
              </w:rPr>
              <w:t>building owners and ESCO</w:t>
            </w:r>
            <w:r w:rsidR="00530096" w:rsidRPr="00F737AD">
              <w:rPr>
                <w:rFonts w:cs="Calibri"/>
                <w:szCs w:val="20"/>
                <w:lang w:val="en-GB"/>
              </w:rPr>
              <w:t>s</w:t>
            </w:r>
          </w:p>
        </w:tc>
      </w:tr>
      <w:tr w:rsidR="00101DC0" w:rsidRPr="0057545E" w:rsidTr="00F737AD">
        <w:trPr>
          <w:trHeight w:val="648"/>
        </w:trPr>
        <w:tc>
          <w:tcPr>
            <w:tcW w:w="3114" w:type="dxa"/>
            <w:vMerge/>
            <w:shd w:val="clear" w:color="auto" w:fill="FFF2CC"/>
          </w:tcPr>
          <w:p w:rsidR="00101DC0" w:rsidRPr="00F737AD" w:rsidRDefault="00101DC0" w:rsidP="00F737AD">
            <w:pPr>
              <w:tabs>
                <w:tab w:val="left" w:pos="416"/>
                <w:tab w:val="left" w:pos="1560"/>
              </w:tabs>
              <w:spacing w:after="0"/>
              <w:ind w:left="455" w:hanging="455"/>
              <w:jc w:val="left"/>
              <w:rPr>
                <w:rFonts w:cs="Calibri"/>
                <w:szCs w:val="20"/>
                <w:lang w:val="en-GB"/>
              </w:rPr>
            </w:pPr>
          </w:p>
        </w:tc>
        <w:tc>
          <w:tcPr>
            <w:tcW w:w="6848" w:type="dxa"/>
            <w:shd w:val="clear" w:color="auto" w:fill="auto"/>
          </w:tcPr>
          <w:p w:rsidR="00101DC0" w:rsidRPr="00F737AD" w:rsidRDefault="00101DC0"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 xml:space="preserve">Main partner: </w:t>
            </w:r>
            <w:r w:rsidR="00A02B81" w:rsidRPr="00F737AD">
              <w:rPr>
                <w:rFonts w:cs="Calibri"/>
                <w:sz w:val="19"/>
                <w:szCs w:val="19"/>
                <w:lang w:val="en-GB"/>
              </w:rPr>
              <w:t>DoE</w:t>
            </w:r>
            <w:r w:rsidR="001A1494" w:rsidRPr="00F737AD">
              <w:rPr>
                <w:rFonts w:cs="Calibri"/>
                <w:sz w:val="19"/>
                <w:szCs w:val="19"/>
                <w:lang w:val="en-GB"/>
              </w:rPr>
              <w:t>, DEA</w:t>
            </w:r>
          </w:p>
          <w:p w:rsidR="00A02B81" w:rsidRPr="00F737AD" w:rsidRDefault="00A02B81"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 xml:space="preserve">Other partners: selected municipalities, SALGA, wholesale and retail chains, </w:t>
            </w:r>
          </w:p>
          <w:p w:rsidR="00101DC0" w:rsidRPr="00F737AD" w:rsidRDefault="00A02B81" w:rsidP="00F737AD">
            <w:pPr>
              <w:tabs>
                <w:tab w:val="left" w:pos="29"/>
                <w:tab w:val="left" w:pos="1560"/>
              </w:tabs>
              <w:spacing w:after="0"/>
              <w:ind w:left="29"/>
              <w:jc w:val="left"/>
              <w:rPr>
                <w:rFonts w:cs="Calibri"/>
                <w:sz w:val="19"/>
                <w:szCs w:val="19"/>
                <w:lang w:val="en-GB"/>
              </w:rPr>
            </w:pPr>
            <w:r w:rsidRPr="00F737AD">
              <w:rPr>
                <w:rFonts w:cs="Calibri"/>
                <w:sz w:val="19"/>
                <w:szCs w:val="19"/>
                <w:lang w:val="en-GB"/>
              </w:rPr>
              <w:t xml:space="preserve">Manufacturer/suppliers and associations or </w:t>
            </w:r>
            <w:r w:rsidRPr="00F737AD">
              <w:rPr>
                <w:rFonts w:cs="Calibri"/>
                <w:noProof/>
                <w:sz w:val="19"/>
                <w:szCs w:val="19"/>
                <w:lang w:val="en-GB"/>
              </w:rPr>
              <w:t>organisations</w:t>
            </w:r>
          </w:p>
        </w:tc>
      </w:tr>
      <w:tr w:rsidR="00101DC0" w:rsidRPr="0057545E" w:rsidTr="00F737AD">
        <w:trPr>
          <w:trHeight w:val="976"/>
        </w:trPr>
        <w:tc>
          <w:tcPr>
            <w:tcW w:w="3114" w:type="dxa"/>
            <w:vMerge w:val="restart"/>
            <w:shd w:val="clear" w:color="auto" w:fill="FFF2CC"/>
          </w:tcPr>
          <w:p w:rsidR="00101DC0" w:rsidRPr="00F737AD" w:rsidRDefault="00101DC0" w:rsidP="00F737AD">
            <w:pPr>
              <w:tabs>
                <w:tab w:val="left" w:pos="455"/>
                <w:tab w:val="left" w:pos="1560"/>
              </w:tabs>
              <w:spacing w:after="0"/>
              <w:ind w:left="455" w:hanging="455"/>
              <w:jc w:val="left"/>
              <w:rPr>
                <w:rFonts w:cs="Calibri"/>
                <w:szCs w:val="20"/>
                <w:lang w:val="en-GB"/>
              </w:rPr>
            </w:pPr>
            <w:r w:rsidRPr="00F737AD">
              <w:rPr>
                <w:rFonts w:cs="Calibri"/>
                <w:szCs w:val="20"/>
                <w:lang w:val="en-GB"/>
              </w:rPr>
              <w:t>2.2</w:t>
            </w:r>
            <w:r w:rsidRPr="00F737AD">
              <w:rPr>
                <w:rFonts w:cs="Calibri"/>
                <w:szCs w:val="20"/>
                <w:lang w:val="en-GB"/>
              </w:rPr>
              <w:tab/>
              <w:t xml:space="preserve">Capacity </w:t>
            </w:r>
            <w:r w:rsidR="00A02B81" w:rsidRPr="00F737AD">
              <w:rPr>
                <w:rFonts w:cs="Calibri"/>
                <w:szCs w:val="20"/>
                <w:lang w:val="en-GB"/>
              </w:rPr>
              <w:t>strengthe</w:t>
            </w:r>
            <w:r w:rsidR="008A437F" w:rsidRPr="00F737AD">
              <w:rPr>
                <w:rFonts w:cs="Calibri"/>
                <w:szCs w:val="20"/>
                <w:lang w:val="en-GB"/>
              </w:rPr>
              <w:t>ned of</w:t>
            </w:r>
            <w:r w:rsidR="00A02B81" w:rsidRPr="00F737AD">
              <w:rPr>
                <w:rFonts w:cs="Calibri"/>
                <w:szCs w:val="20"/>
                <w:lang w:val="en-GB"/>
              </w:rPr>
              <w:t xml:space="preserve"> municipalities</w:t>
            </w:r>
            <w:r w:rsidR="008A437F" w:rsidRPr="00F737AD">
              <w:rPr>
                <w:rFonts w:cs="Calibri"/>
                <w:szCs w:val="20"/>
                <w:lang w:val="en-GB"/>
              </w:rPr>
              <w:t xml:space="preserve"> to formulate EE programmes</w:t>
            </w:r>
          </w:p>
        </w:tc>
        <w:tc>
          <w:tcPr>
            <w:tcW w:w="6848" w:type="dxa"/>
            <w:shd w:val="clear" w:color="auto" w:fill="auto"/>
          </w:tcPr>
          <w:p w:rsidR="00101DC0" w:rsidRPr="00F737AD" w:rsidRDefault="00101DC0" w:rsidP="00F737AD">
            <w:pPr>
              <w:tabs>
                <w:tab w:val="left" w:pos="737"/>
                <w:tab w:val="left" w:pos="1560"/>
              </w:tabs>
              <w:spacing w:after="0"/>
              <w:ind w:left="737" w:hanging="737"/>
              <w:jc w:val="left"/>
              <w:rPr>
                <w:rFonts w:cs="Calibri"/>
                <w:szCs w:val="20"/>
                <w:lang w:val="en-GB"/>
              </w:rPr>
            </w:pPr>
            <w:r w:rsidRPr="00F737AD">
              <w:rPr>
                <w:rFonts w:cs="Calibri"/>
                <w:szCs w:val="20"/>
                <w:lang w:val="en-GB"/>
              </w:rPr>
              <w:t>2.2.1</w:t>
            </w:r>
            <w:r w:rsidRPr="00F737AD">
              <w:rPr>
                <w:rFonts w:cs="Calibri"/>
                <w:szCs w:val="20"/>
                <w:lang w:val="en-GB"/>
              </w:rPr>
              <w:tab/>
              <w:t xml:space="preserve">Capacity </w:t>
            </w:r>
            <w:r w:rsidR="008A437F" w:rsidRPr="00F737AD">
              <w:rPr>
                <w:rFonts w:cs="Calibri"/>
                <w:szCs w:val="20"/>
                <w:lang w:val="en-GB"/>
              </w:rPr>
              <w:t xml:space="preserve">and knowledge </w:t>
            </w:r>
            <w:r w:rsidRPr="00F737AD">
              <w:rPr>
                <w:rFonts w:cs="Calibri"/>
                <w:szCs w:val="20"/>
                <w:lang w:val="en-GB"/>
              </w:rPr>
              <w:t>strengthening of municipal staff</w:t>
            </w:r>
            <w:r w:rsidR="008A437F" w:rsidRPr="00F737AD">
              <w:rPr>
                <w:rFonts w:cs="Calibri"/>
                <w:szCs w:val="20"/>
                <w:lang w:val="en-GB"/>
              </w:rPr>
              <w:t xml:space="preserve"> and decision-makers</w:t>
            </w:r>
          </w:p>
          <w:p w:rsidR="00101DC0" w:rsidRPr="00F737AD" w:rsidRDefault="00101DC0" w:rsidP="00F737AD">
            <w:pPr>
              <w:tabs>
                <w:tab w:val="left" w:pos="737"/>
                <w:tab w:val="left" w:pos="1560"/>
              </w:tabs>
              <w:spacing w:after="0"/>
              <w:ind w:left="737" w:hanging="737"/>
              <w:jc w:val="left"/>
              <w:rPr>
                <w:rFonts w:cs="Calibri"/>
                <w:szCs w:val="20"/>
                <w:lang w:val="en-GB"/>
              </w:rPr>
            </w:pPr>
            <w:r w:rsidRPr="00F737AD">
              <w:rPr>
                <w:rFonts w:cs="Calibri"/>
                <w:szCs w:val="20"/>
                <w:lang w:val="en-GB"/>
              </w:rPr>
              <w:t>2.2.2</w:t>
            </w:r>
            <w:r w:rsidRPr="00F737AD">
              <w:rPr>
                <w:rFonts w:cs="Calibri"/>
                <w:szCs w:val="20"/>
                <w:lang w:val="en-GB"/>
              </w:rPr>
              <w:tab/>
              <w:t xml:space="preserve">Technical assistance support to develop municipal energy efficiency </w:t>
            </w:r>
            <w:r w:rsidR="00640A4E" w:rsidRPr="00F737AD">
              <w:rPr>
                <w:rFonts w:cs="Calibri"/>
                <w:szCs w:val="20"/>
                <w:lang w:val="en-GB"/>
              </w:rPr>
              <w:t>planning</w:t>
            </w:r>
            <w:r w:rsidRPr="00F737AD">
              <w:rPr>
                <w:rFonts w:cs="Calibri"/>
                <w:szCs w:val="20"/>
                <w:lang w:val="en-GB"/>
              </w:rPr>
              <w:t xml:space="preserve"> </w:t>
            </w:r>
          </w:p>
        </w:tc>
      </w:tr>
      <w:tr w:rsidR="00101DC0" w:rsidRPr="0057545E" w:rsidTr="00F737AD">
        <w:trPr>
          <w:trHeight w:val="533"/>
        </w:trPr>
        <w:tc>
          <w:tcPr>
            <w:tcW w:w="3114" w:type="dxa"/>
            <w:vMerge/>
            <w:shd w:val="clear" w:color="auto" w:fill="FFF2CC"/>
          </w:tcPr>
          <w:p w:rsidR="00101DC0" w:rsidRPr="00F737AD" w:rsidRDefault="00101DC0"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A02B81" w:rsidRPr="00F737AD" w:rsidRDefault="00101DC0"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 xml:space="preserve">Main partners: </w:t>
            </w:r>
            <w:r w:rsidR="001A1494" w:rsidRPr="00F737AD">
              <w:rPr>
                <w:rFonts w:cs="Calibri"/>
                <w:sz w:val="19"/>
                <w:szCs w:val="19"/>
                <w:lang w:val="en-GB"/>
              </w:rPr>
              <w:t>DoE</w:t>
            </w:r>
          </w:p>
          <w:p w:rsidR="00101DC0" w:rsidRPr="00F737AD" w:rsidRDefault="00101DC0"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 xml:space="preserve">Other partners: </w:t>
            </w:r>
            <w:r w:rsidR="001A1494" w:rsidRPr="00F737AD">
              <w:rPr>
                <w:rFonts w:cs="Calibri"/>
                <w:sz w:val="19"/>
                <w:szCs w:val="19"/>
                <w:lang w:val="en-GB"/>
              </w:rPr>
              <w:t xml:space="preserve">selected municipalities, SALGA, AMEU; </w:t>
            </w:r>
            <w:r w:rsidR="00AE3D88" w:rsidRPr="00F737AD">
              <w:rPr>
                <w:rFonts w:cs="Calibri"/>
                <w:sz w:val="19"/>
                <w:szCs w:val="19"/>
                <w:lang w:val="en-GB"/>
              </w:rPr>
              <w:t>SACN</w:t>
            </w:r>
          </w:p>
        </w:tc>
      </w:tr>
      <w:tr w:rsidR="001A1494" w:rsidRPr="0057545E" w:rsidTr="00F737AD">
        <w:trPr>
          <w:trHeight w:val="616"/>
        </w:trPr>
        <w:tc>
          <w:tcPr>
            <w:tcW w:w="3114" w:type="dxa"/>
            <w:vMerge w:val="restart"/>
            <w:shd w:val="clear" w:color="auto" w:fill="FFF2CC"/>
          </w:tcPr>
          <w:p w:rsidR="001A1494" w:rsidRPr="00F737AD" w:rsidRDefault="001A1494" w:rsidP="00F737AD">
            <w:pPr>
              <w:tabs>
                <w:tab w:val="left" w:pos="455"/>
                <w:tab w:val="left" w:pos="1560"/>
              </w:tabs>
              <w:spacing w:after="0"/>
              <w:ind w:left="455" w:hanging="455"/>
              <w:jc w:val="left"/>
              <w:rPr>
                <w:rFonts w:cs="Calibri"/>
                <w:szCs w:val="20"/>
                <w:lang w:val="en-GB"/>
              </w:rPr>
            </w:pPr>
            <w:r w:rsidRPr="00F737AD">
              <w:rPr>
                <w:rFonts w:cs="Calibri"/>
                <w:szCs w:val="20"/>
                <w:lang w:val="en-GB"/>
              </w:rPr>
              <w:t>2.3</w:t>
            </w:r>
            <w:r w:rsidRPr="00F737AD">
              <w:rPr>
                <w:rFonts w:cs="Calibri"/>
                <w:szCs w:val="20"/>
                <w:lang w:val="en-GB"/>
              </w:rPr>
              <w:tab/>
              <w:t>Increased capacity for local production of LED products and distribution transformers</w:t>
            </w:r>
          </w:p>
        </w:tc>
        <w:tc>
          <w:tcPr>
            <w:tcW w:w="6848" w:type="dxa"/>
            <w:shd w:val="clear" w:color="auto" w:fill="auto"/>
          </w:tcPr>
          <w:p w:rsidR="001A1494" w:rsidRPr="00F737AD" w:rsidRDefault="001A1494"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2.3.1</w:t>
            </w:r>
            <w:r w:rsidRPr="00F737AD">
              <w:rPr>
                <w:rFonts w:cs="Calibri"/>
                <w:sz w:val="19"/>
                <w:szCs w:val="19"/>
                <w:lang w:val="en-GB"/>
              </w:rPr>
              <w:tab/>
              <w:t>Technical support for manufacturers of local LED products</w:t>
            </w:r>
          </w:p>
          <w:p w:rsidR="001A1494" w:rsidRPr="00F737AD" w:rsidRDefault="001A1494"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2.3.2</w:t>
            </w:r>
            <w:r w:rsidRPr="00F737AD">
              <w:rPr>
                <w:rFonts w:cs="Calibri"/>
                <w:sz w:val="19"/>
                <w:szCs w:val="19"/>
                <w:lang w:val="en-GB"/>
              </w:rPr>
              <w:tab/>
              <w:t>Technical support to suppliers to manufacture high-efficiency distribution transformers</w:t>
            </w:r>
          </w:p>
        </w:tc>
      </w:tr>
      <w:tr w:rsidR="001A1494" w:rsidRPr="0057545E" w:rsidTr="00F737AD">
        <w:trPr>
          <w:trHeight w:val="616"/>
        </w:trPr>
        <w:tc>
          <w:tcPr>
            <w:tcW w:w="3114" w:type="dxa"/>
            <w:vMerge/>
            <w:shd w:val="clear" w:color="auto" w:fill="FFF2CC"/>
          </w:tcPr>
          <w:p w:rsidR="001A1494" w:rsidRPr="00F737AD" w:rsidRDefault="001A1494"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1A1494" w:rsidRPr="00F737AD" w:rsidRDefault="001A1494"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Main partners: DoE, DTI</w:t>
            </w:r>
          </w:p>
          <w:p w:rsidR="001A1494" w:rsidRPr="00F737AD" w:rsidRDefault="001A1494"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 xml:space="preserve">Other partners: </w:t>
            </w:r>
            <w:r w:rsidR="00AE3D88" w:rsidRPr="00F737AD">
              <w:rPr>
                <w:rFonts w:cs="Calibri"/>
                <w:sz w:val="19"/>
                <w:szCs w:val="19"/>
                <w:lang w:val="en-GB"/>
              </w:rPr>
              <w:t>IIESA, NBI, chambers of commerce and industry</w:t>
            </w:r>
          </w:p>
        </w:tc>
      </w:tr>
      <w:tr w:rsidR="0012486F" w:rsidRPr="0057545E" w:rsidTr="00F737AD">
        <w:trPr>
          <w:trHeight w:val="352"/>
        </w:trPr>
        <w:tc>
          <w:tcPr>
            <w:tcW w:w="9962" w:type="dxa"/>
            <w:gridSpan w:val="2"/>
            <w:shd w:val="clear" w:color="auto" w:fill="E2EFD9"/>
          </w:tcPr>
          <w:p w:rsidR="0012486F" w:rsidRPr="00F737AD" w:rsidRDefault="0012486F" w:rsidP="00F737AD">
            <w:pPr>
              <w:tabs>
                <w:tab w:val="left" w:pos="737"/>
                <w:tab w:val="left" w:pos="1560"/>
              </w:tabs>
              <w:spacing w:after="0"/>
              <w:ind w:left="737" w:hanging="737"/>
              <w:jc w:val="left"/>
              <w:rPr>
                <w:rFonts w:cs="Calibri"/>
                <w:b/>
                <w:sz w:val="19"/>
                <w:szCs w:val="19"/>
                <w:lang w:val="en-GB"/>
              </w:rPr>
            </w:pPr>
            <w:r w:rsidRPr="00F737AD">
              <w:rPr>
                <w:rFonts w:cs="Calibri"/>
                <w:b/>
                <w:sz w:val="19"/>
                <w:szCs w:val="19"/>
                <w:lang w:val="en-GB"/>
              </w:rPr>
              <w:t>Responsible GEF agency: UNDP</w:t>
            </w:r>
          </w:p>
        </w:tc>
      </w:tr>
      <w:bookmarkEnd w:id="75"/>
    </w:tbl>
    <w:p w:rsidR="00101DC0" w:rsidRPr="0057545E" w:rsidRDefault="00101DC0" w:rsidP="00101DC0">
      <w:pPr>
        <w:spacing w:after="0"/>
        <w:rPr>
          <w:rStyle w:val="Hyperlink"/>
          <w:i/>
          <w:color w:val="auto"/>
          <w:szCs w:val="20"/>
          <w:u w:val="none"/>
          <w:lang w:val="en-GB"/>
        </w:rPr>
      </w:pPr>
    </w:p>
    <w:p w:rsidR="00101DC0" w:rsidRPr="00F737AD" w:rsidRDefault="007C3833" w:rsidP="007C3833">
      <w:pPr>
        <w:tabs>
          <w:tab w:val="left" w:pos="1276"/>
        </w:tabs>
        <w:spacing w:after="0"/>
        <w:jc w:val="left"/>
        <w:rPr>
          <w:rFonts w:cs="Calibri"/>
          <w:b/>
          <w:szCs w:val="20"/>
          <w:lang w:val="en-GB"/>
        </w:rPr>
      </w:pPr>
      <w:r w:rsidRPr="00F737AD">
        <w:rPr>
          <w:rFonts w:cs="Calibri"/>
          <w:b/>
          <w:szCs w:val="20"/>
          <w:lang w:val="en-GB"/>
        </w:rPr>
        <w:t>Output 2.1</w:t>
      </w:r>
      <w:r w:rsidRPr="00F737AD">
        <w:rPr>
          <w:rFonts w:cs="Calibri"/>
          <w:b/>
          <w:szCs w:val="20"/>
          <w:lang w:val="en-GB"/>
        </w:rPr>
        <w:tab/>
        <w:t>Communication and promotional campaign designed and implemented</w:t>
      </w:r>
    </w:p>
    <w:p w:rsidR="00101DC0" w:rsidRPr="00F737AD" w:rsidRDefault="00101DC0" w:rsidP="00101DC0">
      <w:pPr>
        <w:tabs>
          <w:tab w:val="left" w:pos="1560"/>
        </w:tabs>
        <w:spacing w:after="0"/>
        <w:jc w:val="left"/>
        <w:rPr>
          <w:rFonts w:cs="Calibri"/>
          <w:szCs w:val="20"/>
          <w:lang w:val="en-GB"/>
        </w:rPr>
      </w:pPr>
    </w:p>
    <w:p w:rsidR="007C3833" w:rsidRPr="00F737AD" w:rsidRDefault="007C3833" w:rsidP="007C3833">
      <w:pPr>
        <w:tabs>
          <w:tab w:val="left" w:pos="1418"/>
        </w:tabs>
        <w:spacing w:after="0"/>
        <w:ind w:left="1418" w:hanging="1418"/>
        <w:jc w:val="left"/>
        <w:rPr>
          <w:rFonts w:cs="Calibri"/>
          <w:i/>
          <w:szCs w:val="20"/>
          <w:lang w:val="en-GB"/>
        </w:rPr>
      </w:pPr>
      <w:r w:rsidRPr="00F737AD">
        <w:rPr>
          <w:rFonts w:cs="Calibri"/>
          <w:i/>
          <w:szCs w:val="20"/>
          <w:lang w:val="en-GB"/>
        </w:rPr>
        <w:t>Activity 2.1.1</w:t>
      </w:r>
      <w:r w:rsidRPr="00F737AD">
        <w:rPr>
          <w:rFonts w:cs="Calibri"/>
          <w:i/>
          <w:szCs w:val="20"/>
          <w:lang w:val="en-GB"/>
        </w:rPr>
        <w:tab/>
        <w:t xml:space="preserve">Development and implementation of </w:t>
      </w:r>
      <w:r w:rsidR="00E236DA" w:rsidRPr="00F737AD">
        <w:rPr>
          <w:rFonts w:cs="Calibri"/>
          <w:i/>
          <w:szCs w:val="20"/>
          <w:lang w:val="en-GB"/>
        </w:rPr>
        <w:t xml:space="preserve">a </w:t>
      </w:r>
      <w:r w:rsidRPr="00F737AD">
        <w:rPr>
          <w:rFonts w:cs="Calibri"/>
          <w:i/>
          <w:noProof/>
          <w:szCs w:val="20"/>
          <w:lang w:val="en-GB"/>
        </w:rPr>
        <w:t>gender-sensitive</w:t>
      </w:r>
      <w:r w:rsidRPr="00F737AD">
        <w:rPr>
          <w:rFonts w:cs="Calibri"/>
          <w:i/>
          <w:szCs w:val="20"/>
          <w:lang w:val="en-GB"/>
        </w:rPr>
        <w:t xml:space="preserve"> campaign for households and businesses on efficient lighting and waste disposal</w:t>
      </w:r>
    </w:p>
    <w:p w:rsidR="00DD2EBE" w:rsidRPr="00F737AD" w:rsidRDefault="00DD2EBE" w:rsidP="00BE18B5">
      <w:pPr>
        <w:tabs>
          <w:tab w:val="left" w:pos="1560"/>
        </w:tabs>
        <w:spacing w:before="60" w:after="0"/>
        <w:rPr>
          <w:rFonts w:cs="Calibri"/>
          <w:szCs w:val="20"/>
          <w:lang w:val="en-GB"/>
        </w:rPr>
      </w:pPr>
      <w:bookmarkStart w:id="77" w:name="_Hlk4672194"/>
      <w:r w:rsidRPr="00F737AD">
        <w:rPr>
          <w:rFonts w:cs="Calibri"/>
          <w:szCs w:val="20"/>
          <w:lang w:val="en-GB"/>
        </w:rPr>
        <w:t xml:space="preserve">Building on the awareness creation efforts carried by DOE with the support of the S&amp;L Project on energy-efficient appliances, and taking into account is lessons learned and experience, the Project </w:t>
      </w:r>
      <w:r w:rsidR="00FB71AD" w:rsidRPr="00F737AD">
        <w:rPr>
          <w:rFonts w:cs="Calibri"/>
          <w:noProof/>
          <w:szCs w:val="20"/>
          <w:lang w:val="en-GB"/>
        </w:rPr>
        <w:t>continue</w:t>
      </w:r>
      <w:r w:rsidR="00E236DA" w:rsidRPr="00F737AD">
        <w:rPr>
          <w:rFonts w:cs="Calibri"/>
          <w:noProof/>
          <w:szCs w:val="20"/>
          <w:lang w:val="en-GB"/>
        </w:rPr>
        <w:t>s</w:t>
      </w:r>
      <w:r w:rsidR="00FB71AD" w:rsidRPr="00F737AD">
        <w:rPr>
          <w:rFonts w:cs="Calibri"/>
          <w:szCs w:val="20"/>
          <w:lang w:val="en-GB"/>
        </w:rPr>
        <w:t xml:space="preserve"> with </w:t>
      </w:r>
      <w:r w:rsidRPr="00F737AD">
        <w:rPr>
          <w:rFonts w:cs="Calibri"/>
          <w:szCs w:val="20"/>
          <w:lang w:val="en-GB"/>
        </w:rPr>
        <w:t>awareness and knowledge campaign</w:t>
      </w:r>
      <w:r w:rsidR="00E236DA" w:rsidRPr="00F737AD">
        <w:rPr>
          <w:rFonts w:cs="Calibri"/>
          <w:szCs w:val="20"/>
          <w:lang w:val="en-GB"/>
        </w:rPr>
        <w:t>ing</w:t>
      </w:r>
      <w:r w:rsidRPr="00F737AD">
        <w:rPr>
          <w:rFonts w:cs="Calibri"/>
          <w:szCs w:val="20"/>
          <w:lang w:val="en-GB"/>
        </w:rPr>
        <w:t xml:space="preserve"> </w:t>
      </w:r>
      <w:r w:rsidR="00FB71AD" w:rsidRPr="00F737AD">
        <w:rPr>
          <w:rFonts w:cs="Calibri"/>
          <w:szCs w:val="20"/>
          <w:lang w:val="en-GB"/>
        </w:rPr>
        <w:t>focuss</w:t>
      </w:r>
      <w:r w:rsidR="00E236DA" w:rsidRPr="00F737AD">
        <w:rPr>
          <w:rFonts w:cs="Calibri"/>
          <w:szCs w:val="20"/>
          <w:lang w:val="en-GB"/>
        </w:rPr>
        <w:t>ing</w:t>
      </w:r>
      <w:r w:rsidR="00FB71AD" w:rsidRPr="00F737AD">
        <w:rPr>
          <w:rFonts w:cs="Calibri"/>
          <w:szCs w:val="20"/>
          <w:lang w:val="en-GB"/>
        </w:rPr>
        <w:t xml:space="preserve"> </w:t>
      </w:r>
      <w:r w:rsidRPr="00F737AD">
        <w:rPr>
          <w:rFonts w:cs="Calibri"/>
          <w:szCs w:val="20"/>
          <w:lang w:val="en-GB"/>
        </w:rPr>
        <w:t>on lighting (for residential and commercial lamp users</w:t>
      </w:r>
      <w:r w:rsidR="00FB71AD" w:rsidRPr="00F737AD">
        <w:rPr>
          <w:rFonts w:cs="Calibri"/>
          <w:szCs w:val="20"/>
          <w:lang w:val="en-GB"/>
        </w:rPr>
        <w:t>), which will be</w:t>
      </w:r>
      <w:r w:rsidR="00A02B81" w:rsidRPr="00F737AD">
        <w:rPr>
          <w:rFonts w:cs="Calibri"/>
          <w:szCs w:val="20"/>
          <w:lang w:val="en-GB"/>
        </w:rPr>
        <w:t xml:space="preserve"> gender-sensitive </w:t>
      </w:r>
      <w:r w:rsidR="00FB71AD" w:rsidRPr="00F737AD">
        <w:rPr>
          <w:rFonts w:cs="Calibri"/>
          <w:szCs w:val="20"/>
          <w:lang w:val="en-GB"/>
        </w:rPr>
        <w:t xml:space="preserve">and </w:t>
      </w:r>
      <w:r w:rsidR="0057545E" w:rsidRPr="00F737AD">
        <w:rPr>
          <w:rFonts w:cs="Calibri"/>
          <w:szCs w:val="20"/>
          <w:lang w:val="en-GB"/>
        </w:rPr>
        <w:t xml:space="preserve">tailored to </w:t>
      </w:r>
      <w:r w:rsidR="00A02B81" w:rsidRPr="00F737AD">
        <w:rPr>
          <w:rFonts w:cs="Calibri"/>
          <w:szCs w:val="20"/>
          <w:lang w:val="en-GB"/>
        </w:rPr>
        <w:t xml:space="preserve">different </w:t>
      </w:r>
      <w:r w:rsidR="0057545E" w:rsidRPr="00F737AD">
        <w:rPr>
          <w:rFonts w:cs="Calibri"/>
          <w:szCs w:val="20"/>
          <w:lang w:val="en-GB"/>
        </w:rPr>
        <w:t>groups of end-users.</w:t>
      </w:r>
      <w:r w:rsidR="00A02B81" w:rsidRPr="00F737AD">
        <w:rPr>
          <w:rFonts w:cs="Calibri"/>
          <w:szCs w:val="20"/>
          <w:lang w:val="en-GB"/>
        </w:rPr>
        <w:t xml:space="preserve"> </w:t>
      </w:r>
      <w:r w:rsidR="00FB71AD" w:rsidRPr="00F737AD">
        <w:rPr>
          <w:rFonts w:cs="Calibri"/>
          <w:szCs w:val="20"/>
          <w:lang w:val="en-GB"/>
        </w:rPr>
        <w:t xml:space="preserve">The campaign will stress energy and cost savings of different types of lamps and environmentally sound disposal. It is envisaged hat </w:t>
      </w:r>
      <w:r w:rsidR="00A02B81" w:rsidRPr="00F737AD">
        <w:rPr>
          <w:rFonts w:cs="Calibri"/>
          <w:szCs w:val="20"/>
          <w:lang w:val="en-GB"/>
        </w:rPr>
        <w:t>DOE</w:t>
      </w:r>
      <w:r w:rsidR="00FB71AD" w:rsidRPr="00F737AD">
        <w:rPr>
          <w:rFonts w:cs="Calibri"/>
          <w:szCs w:val="20"/>
          <w:lang w:val="en-GB"/>
        </w:rPr>
        <w:t xml:space="preserve"> works with </w:t>
      </w:r>
      <w:r w:rsidR="00A02B81" w:rsidRPr="00F737AD">
        <w:rPr>
          <w:rFonts w:cs="Calibri"/>
          <w:szCs w:val="20"/>
          <w:lang w:val="en-GB"/>
        </w:rPr>
        <w:t>municipalities, SALGA</w:t>
      </w:r>
      <w:r w:rsidR="00FB71AD" w:rsidRPr="00F737AD">
        <w:rPr>
          <w:rFonts w:cs="Calibri"/>
          <w:szCs w:val="20"/>
          <w:lang w:val="en-GB"/>
        </w:rPr>
        <w:t xml:space="preserve">, </w:t>
      </w:r>
      <w:r w:rsidR="00A02B81" w:rsidRPr="00F737AD">
        <w:rPr>
          <w:rFonts w:cs="Calibri"/>
          <w:szCs w:val="20"/>
          <w:lang w:val="en-GB"/>
        </w:rPr>
        <w:t>NGOs.</w:t>
      </w:r>
      <w:r w:rsidR="00A02B81" w:rsidRPr="0057545E">
        <w:rPr>
          <w:lang w:val="en-GB"/>
        </w:rPr>
        <w:t xml:space="preserve"> </w:t>
      </w:r>
      <w:r w:rsidR="00A02B81" w:rsidRPr="00F737AD">
        <w:rPr>
          <w:rFonts w:cs="Calibri"/>
          <w:szCs w:val="20"/>
          <w:lang w:val="en-GB"/>
        </w:rPr>
        <w:t xml:space="preserve"> </w:t>
      </w:r>
      <w:r w:rsidR="00FB71AD" w:rsidRPr="00F737AD">
        <w:rPr>
          <w:rFonts w:cs="Calibri"/>
          <w:szCs w:val="20"/>
          <w:lang w:val="en-GB"/>
        </w:rPr>
        <w:t>The Project support will be for campaign design and materials, flyers/pamphlets and mass media advertisements to be supplemented by private sector activities (</w:t>
      </w:r>
      <w:r w:rsidR="00A02B81" w:rsidRPr="00F737AD">
        <w:rPr>
          <w:rFonts w:cs="Calibri"/>
          <w:szCs w:val="20"/>
          <w:lang w:val="en-GB"/>
        </w:rPr>
        <w:t>retailer displays, special offers, multiple lamps pack</w:t>
      </w:r>
      <w:r w:rsidR="00FB71AD" w:rsidRPr="00F737AD">
        <w:rPr>
          <w:rFonts w:cs="Calibri"/>
          <w:szCs w:val="20"/>
          <w:lang w:val="en-GB"/>
        </w:rPr>
        <w:t xml:space="preserve"> offer</w:t>
      </w:r>
      <w:r w:rsidR="00A02B81" w:rsidRPr="00F737AD">
        <w:rPr>
          <w:rFonts w:cs="Calibri"/>
          <w:szCs w:val="20"/>
          <w:lang w:val="en-GB"/>
        </w:rPr>
        <w:t>s</w:t>
      </w:r>
      <w:r w:rsidR="00FB71AD" w:rsidRPr="00F737AD">
        <w:rPr>
          <w:rFonts w:cs="Calibri"/>
          <w:szCs w:val="20"/>
          <w:lang w:val="en-GB"/>
        </w:rPr>
        <w:t>). Accompanying the campaign, t</w:t>
      </w:r>
      <w:r w:rsidR="003E12A1" w:rsidRPr="00F737AD">
        <w:rPr>
          <w:rFonts w:cs="Calibri"/>
          <w:szCs w:val="20"/>
          <w:lang w:val="en-GB"/>
        </w:rPr>
        <w:t xml:space="preserve">he Project will support bundling the lessons learned, guidelines, manuals into a </w:t>
      </w:r>
      <w:r w:rsidR="003E12A1" w:rsidRPr="00F737AD">
        <w:rPr>
          <w:rFonts w:cs="Calibri"/>
          <w:noProof/>
          <w:szCs w:val="20"/>
          <w:lang w:val="en-GB"/>
        </w:rPr>
        <w:t>harmonised</w:t>
      </w:r>
      <w:r w:rsidR="003E12A1" w:rsidRPr="00F737AD">
        <w:rPr>
          <w:rFonts w:cs="Calibri"/>
          <w:szCs w:val="20"/>
          <w:lang w:val="en-GB"/>
        </w:rPr>
        <w:t xml:space="preserve"> set of guides for municipalities and/or made these and/or their weblinks available on the </w:t>
      </w:r>
      <w:r w:rsidR="00A02B81" w:rsidRPr="00F737AD">
        <w:rPr>
          <w:rFonts w:cs="Calibri"/>
          <w:szCs w:val="20"/>
          <w:lang w:val="en-GB"/>
        </w:rPr>
        <w:t xml:space="preserve">existing </w:t>
      </w:r>
      <w:r w:rsidR="003E12A1" w:rsidRPr="00F737AD">
        <w:rPr>
          <w:rFonts w:cs="Calibri"/>
          <w:szCs w:val="20"/>
          <w:lang w:val="en-GB"/>
        </w:rPr>
        <w:t>Project/DoE website (</w:t>
      </w:r>
      <w:r w:rsidR="00A02B81" w:rsidRPr="00F737AD">
        <w:rPr>
          <w:rStyle w:val="Hyperlink"/>
          <w:rFonts w:cs="Calibri"/>
          <w:color w:val="auto"/>
          <w:szCs w:val="20"/>
          <w:u w:val="none"/>
          <w:lang w:val="en-GB"/>
        </w:rPr>
        <w:t>www.savingenergy.org.za</w:t>
      </w:r>
      <w:r w:rsidR="003E12A1" w:rsidRPr="00F737AD">
        <w:rPr>
          <w:rFonts w:cs="Calibri"/>
          <w:szCs w:val="20"/>
          <w:lang w:val="en-GB"/>
        </w:rPr>
        <w:t>)</w:t>
      </w:r>
      <w:r w:rsidR="00A02B81" w:rsidRPr="00F737AD">
        <w:rPr>
          <w:rFonts w:cs="Calibri"/>
          <w:szCs w:val="20"/>
          <w:lang w:val="en-GB"/>
        </w:rPr>
        <w:t>.</w:t>
      </w:r>
    </w:p>
    <w:bookmarkEnd w:id="77"/>
    <w:p w:rsidR="00A02B81" w:rsidRPr="00F737AD" w:rsidRDefault="00A02B81" w:rsidP="00640A4E">
      <w:pPr>
        <w:tabs>
          <w:tab w:val="left" w:pos="1560"/>
        </w:tabs>
        <w:spacing w:after="0"/>
        <w:rPr>
          <w:rFonts w:cs="Calibri"/>
          <w:szCs w:val="20"/>
          <w:lang w:val="en-GB"/>
        </w:rPr>
      </w:pPr>
    </w:p>
    <w:p w:rsidR="00A02B81" w:rsidRPr="00F737AD" w:rsidRDefault="00A02B81" w:rsidP="00640A4E">
      <w:pPr>
        <w:tabs>
          <w:tab w:val="left" w:pos="1418"/>
        </w:tabs>
        <w:spacing w:after="0"/>
        <w:rPr>
          <w:rFonts w:cs="Calibri"/>
          <w:i/>
          <w:szCs w:val="20"/>
          <w:lang w:val="en-GB"/>
        </w:rPr>
      </w:pPr>
      <w:r w:rsidRPr="00F737AD">
        <w:rPr>
          <w:rFonts w:cs="Calibri"/>
          <w:i/>
          <w:szCs w:val="20"/>
          <w:lang w:val="en-GB"/>
        </w:rPr>
        <w:t>Activity 2.1.2</w:t>
      </w:r>
      <w:r w:rsidRPr="00F737AD">
        <w:rPr>
          <w:rFonts w:cs="Calibri"/>
          <w:i/>
          <w:szCs w:val="20"/>
          <w:lang w:val="en-GB"/>
        </w:rPr>
        <w:tab/>
        <w:t>Capacity strengthening of staff of retailers, wholesalers</w:t>
      </w:r>
      <w:r w:rsidR="005F00C9" w:rsidRPr="00F737AD">
        <w:rPr>
          <w:rFonts w:cs="Calibri"/>
          <w:i/>
          <w:szCs w:val="20"/>
          <w:lang w:val="en-GB"/>
        </w:rPr>
        <w:t xml:space="preserve"> on EE lighting promotion</w:t>
      </w:r>
    </w:p>
    <w:p w:rsidR="00DD2EBE" w:rsidRPr="00F737AD" w:rsidRDefault="00A02B81" w:rsidP="00BE18B5">
      <w:pPr>
        <w:tabs>
          <w:tab w:val="left" w:pos="1560"/>
        </w:tabs>
        <w:spacing w:before="60" w:after="0"/>
        <w:rPr>
          <w:rFonts w:cs="Calibri"/>
          <w:szCs w:val="20"/>
          <w:lang w:val="en-GB"/>
        </w:rPr>
      </w:pPr>
      <w:bookmarkStart w:id="78" w:name="_Hlk4672211"/>
      <w:r w:rsidRPr="00F737AD">
        <w:rPr>
          <w:rFonts w:cs="Calibri"/>
          <w:szCs w:val="20"/>
          <w:lang w:val="en-GB"/>
        </w:rPr>
        <w:t xml:space="preserve">The campaign will be carried out in cooperation with wholesalers and retailers </w:t>
      </w:r>
      <w:r w:rsidR="00BE18B5" w:rsidRPr="00F737AD">
        <w:rPr>
          <w:rFonts w:cs="Calibri"/>
          <w:szCs w:val="20"/>
          <w:lang w:val="en-GB"/>
        </w:rPr>
        <w:t xml:space="preserve">to </w:t>
      </w:r>
      <w:r w:rsidR="00BE18B5" w:rsidRPr="00F737AD">
        <w:rPr>
          <w:rFonts w:cs="Calibri"/>
          <w:noProof/>
          <w:szCs w:val="20"/>
          <w:lang w:val="en-GB"/>
        </w:rPr>
        <w:t>realise</w:t>
      </w:r>
      <w:r w:rsidR="00BE18B5" w:rsidRPr="00F737AD">
        <w:rPr>
          <w:rFonts w:cs="Calibri"/>
          <w:szCs w:val="20"/>
          <w:lang w:val="en-GB"/>
        </w:rPr>
        <w:t xml:space="preserve"> a </w:t>
      </w:r>
      <w:r w:rsidRPr="00F737AD">
        <w:rPr>
          <w:rFonts w:cs="Calibri"/>
          <w:szCs w:val="20"/>
          <w:lang w:val="en-GB"/>
        </w:rPr>
        <w:t xml:space="preserve">rapid uptake of LEDs. This includes a nation-wide </w:t>
      </w:r>
      <w:r w:rsidR="00FB71AD" w:rsidRPr="00F737AD">
        <w:rPr>
          <w:rFonts w:cs="Calibri"/>
          <w:szCs w:val="20"/>
          <w:lang w:val="en-GB"/>
        </w:rPr>
        <w:t>tr</w:t>
      </w:r>
      <w:r w:rsidRPr="00F737AD">
        <w:rPr>
          <w:rFonts w:cs="Calibri"/>
          <w:szCs w:val="20"/>
          <w:lang w:val="en-GB"/>
        </w:rPr>
        <w:t xml:space="preserve">aining program (with seminars and </w:t>
      </w:r>
      <w:r w:rsidR="00BE18B5" w:rsidRPr="00F737AD">
        <w:rPr>
          <w:rFonts w:cs="Calibri"/>
          <w:szCs w:val="20"/>
          <w:lang w:val="en-GB"/>
        </w:rPr>
        <w:t>on-the-job support</w:t>
      </w:r>
      <w:r w:rsidRPr="00F737AD">
        <w:rPr>
          <w:rFonts w:cs="Calibri"/>
          <w:szCs w:val="20"/>
          <w:lang w:val="en-GB"/>
        </w:rPr>
        <w:t xml:space="preserve">) for distributor and retailer sales staff, focusing on the sales of </w:t>
      </w:r>
      <w:r w:rsidR="00BE18B5" w:rsidRPr="00F737AD">
        <w:rPr>
          <w:rFonts w:cs="Calibri"/>
          <w:szCs w:val="20"/>
          <w:lang w:val="en-GB"/>
        </w:rPr>
        <w:t xml:space="preserve">LED products. This will </w:t>
      </w:r>
      <w:proofErr w:type="gramStart"/>
      <w:r w:rsidR="00BE18B5" w:rsidRPr="00F737AD">
        <w:rPr>
          <w:rFonts w:cs="Calibri"/>
          <w:szCs w:val="20"/>
          <w:lang w:val="en-GB"/>
        </w:rPr>
        <w:t>take into account</w:t>
      </w:r>
      <w:proofErr w:type="gramEnd"/>
      <w:r w:rsidR="00BE18B5" w:rsidRPr="00F737AD">
        <w:rPr>
          <w:rFonts w:cs="Calibri"/>
          <w:szCs w:val="20"/>
          <w:lang w:val="en-GB"/>
        </w:rPr>
        <w:t xml:space="preserve"> lessons from t</w:t>
      </w:r>
      <w:r w:rsidRPr="00F737AD">
        <w:rPr>
          <w:rFonts w:cs="Calibri"/>
          <w:szCs w:val="20"/>
          <w:lang w:val="en-GB"/>
        </w:rPr>
        <w:t>he trial run with a major retailer carried out by the UNDP/GEF EE S&amp;L Project</w:t>
      </w:r>
      <w:r w:rsidR="00BE18B5" w:rsidRPr="00F737AD">
        <w:rPr>
          <w:rFonts w:cs="Calibri"/>
          <w:szCs w:val="20"/>
          <w:lang w:val="en-GB"/>
        </w:rPr>
        <w:t xml:space="preserve"> (in Gauteng area) in 2018/19</w:t>
      </w:r>
      <w:r w:rsidRPr="00F737AD">
        <w:rPr>
          <w:rFonts w:cs="Calibri"/>
          <w:szCs w:val="20"/>
          <w:lang w:val="en-GB"/>
        </w:rPr>
        <w:t>.</w:t>
      </w:r>
    </w:p>
    <w:bookmarkEnd w:id="78"/>
    <w:p w:rsidR="005F00C9" w:rsidRPr="00F737AD" w:rsidRDefault="005F00C9" w:rsidP="00640A4E">
      <w:pPr>
        <w:tabs>
          <w:tab w:val="left" w:pos="1560"/>
        </w:tabs>
        <w:spacing w:after="0"/>
        <w:rPr>
          <w:rFonts w:cs="Calibri"/>
          <w:szCs w:val="20"/>
          <w:lang w:val="en-GB"/>
        </w:rPr>
      </w:pPr>
    </w:p>
    <w:p w:rsidR="005F00C9" w:rsidRPr="00F737AD" w:rsidRDefault="005F00C9" w:rsidP="00640A4E">
      <w:pPr>
        <w:tabs>
          <w:tab w:val="left" w:pos="1560"/>
        </w:tabs>
        <w:spacing w:after="0"/>
        <w:rPr>
          <w:rFonts w:cs="Calibri"/>
          <w:i/>
          <w:szCs w:val="20"/>
          <w:lang w:val="en-GB"/>
        </w:rPr>
      </w:pPr>
      <w:r w:rsidRPr="00F737AD">
        <w:rPr>
          <w:rFonts w:cs="Calibri"/>
          <w:i/>
          <w:szCs w:val="20"/>
          <w:lang w:val="en-GB"/>
        </w:rPr>
        <w:t>Activity 2.1.3</w:t>
      </w:r>
      <w:r w:rsidRPr="00F737AD">
        <w:rPr>
          <w:rFonts w:cs="Calibri"/>
          <w:i/>
          <w:szCs w:val="20"/>
          <w:lang w:val="en-GB"/>
        </w:rPr>
        <w:tab/>
        <w:t>Capacity</w:t>
      </w:r>
      <w:r w:rsidR="00C108F9" w:rsidRPr="00F737AD">
        <w:rPr>
          <w:rFonts w:cs="Calibri"/>
          <w:i/>
          <w:szCs w:val="20"/>
          <w:lang w:val="en-GB"/>
        </w:rPr>
        <w:t xml:space="preserve"> enhancement of private sector entities and energy service providers (ESCOs)</w:t>
      </w:r>
    </w:p>
    <w:p w:rsidR="00C108F9" w:rsidRPr="00F737AD" w:rsidRDefault="00C108F9" w:rsidP="00BE18B5">
      <w:pPr>
        <w:tabs>
          <w:tab w:val="left" w:pos="1560"/>
        </w:tabs>
        <w:spacing w:before="60" w:after="0"/>
        <w:rPr>
          <w:rFonts w:cs="Calibri"/>
          <w:szCs w:val="20"/>
          <w:lang w:val="en-GB"/>
        </w:rPr>
      </w:pPr>
      <w:bookmarkStart w:id="79" w:name="_Hlk4672227"/>
      <w:r w:rsidRPr="00F737AD">
        <w:rPr>
          <w:rFonts w:cs="Calibri"/>
          <w:szCs w:val="20"/>
          <w:lang w:val="en-GB"/>
        </w:rPr>
        <w:t xml:space="preserve">The Project will support </w:t>
      </w:r>
      <w:r w:rsidR="00BE18B5" w:rsidRPr="00F737AD">
        <w:rPr>
          <w:rFonts w:cs="Calibri"/>
          <w:szCs w:val="20"/>
          <w:lang w:val="en-GB"/>
        </w:rPr>
        <w:t xml:space="preserve">increasing the knowledge of </w:t>
      </w:r>
      <w:r w:rsidRPr="00F737AD">
        <w:rPr>
          <w:rFonts w:cs="Calibri"/>
          <w:szCs w:val="20"/>
          <w:lang w:val="en-GB"/>
        </w:rPr>
        <w:t>commercial buildings owners and energy service providers on energy efficiency opportunities (on high-efficiency lighting in particular) and the role of energy efficiency financing (loans, grants, PPP, performance contractin</w:t>
      </w:r>
      <w:r w:rsidR="00BE18B5" w:rsidRPr="00F737AD">
        <w:rPr>
          <w:rFonts w:cs="Calibri"/>
          <w:szCs w:val="20"/>
          <w:lang w:val="en-GB"/>
        </w:rPr>
        <w:t>g</w:t>
      </w:r>
      <w:r w:rsidRPr="00F737AD">
        <w:rPr>
          <w:rFonts w:cs="Calibri"/>
          <w:szCs w:val="20"/>
          <w:lang w:val="en-GB"/>
        </w:rPr>
        <w:t>) and regulations.</w:t>
      </w:r>
      <w:r w:rsidR="00BE18B5" w:rsidRPr="00F737AD">
        <w:rPr>
          <w:rFonts w:cs="Calibri"/>
          <w:szCs w:val="20"/>
          <w:lang w:val="en-GB"/>
        </w:rPr>
        <w:t xml:space="preserve"> For ESCOs, financing modalities in working with the public sector will be discussed and explained</w:t>
      </w:r>
      <w:bookmarkEnd w:id="79"/>
      <w:r w:rsidR="00BE18B5" w:rsidRPr="00F737AD">
        <w:rPr>
          <w:rFonts w:cs="Calibri"/>
          <w:szCs w:val="20"/>
          <w:lang w:val="en-GB"/>
        </w:rPr>
        <w:t>.</w:t>
      </w:r>
    </w:p>
    <w:p w:rsidR="00DD2EBE" w:rsidRPr="00F737AD" w:rsidRDefault="00DD2EBE" w:rsidP="00101DC0">
      <w:pPr>
        <w:tabs>
          <w:tab w:val="left" w:pos="1560"/>
        </w:tabs>
        <w:spacing w:after="0"/>
        <w:jc w:val="left"/>
        <w:rPr>
          <w:rFonts w:cs="Calibri"/>
          <w:szCs w:val="20"/>
          <w:lang w:val="en-GB"/>
        </w:rPr>
      </w:pPr>
    </w:p>
    <w:p w:rsidR="00DD2EBE" w:rsidRPr="00F737AD" w:rsidRDefault="008A437F" w:rsidP="008A437F">
      <w:pPr>
        <w:tabs>
          <w:tab w:val="left" w:pos="1276"/>
        </w:tabs>
        <w:spacing w:after="0"/>
        <w:jc w:val="left"/>
        <w:rPr>
          <w:rFonts w:cs="Calibri"/>
          <w:b/>
          <w:szCs w:val="20"/>
          <w:lang w:val="en-GB"/>
        </w:rPr>
      </w:pPr>
      <w:r w:rsidRPr="00F737AD">
        <w:rPr>
          <w:rFonts w:cs="Calibri"/>
          <w:b/>
          <w:szCs w:val="20"/>
          <w:lang w:val="en-GB"/>
        </w:rPr>
        <w:t>Output 2.2</w:t>
      </w:r>
      <w:r w:rsidRPr="00F737AD">
        <w:rPr>
          <w:rFonts w:cs="Calibri"/>
          <w:b/>
          <w:szCs w:val="20"/>
          <w:lang w:val="en-GB"/>
        </w:rPr>
        <w:tab/>
        <w:t>Capacity strengthened of municipalities to formulate EE programmes</w:t>
      </w:r>
    </w:p>
    <w:p w:rsidR="00DD2EBE" w:rsidRPr="00F737AD" w:rsidRDefault="00DD2EBE" w:rsidP="00101DC0">
      <w:pPr>
        <w:tabs>
          <w:tab w:val="left" w:pos="1560"/>
        </w:tabs>
        <w:spacing w:after="0"/>
        <w:jc w:val="left"/>
        <w:rPr>
          <w:rFonts w:cs="Calibri"/>
          <w:szCs w:val="20"/>
          <w:lang w:val="en-GB"/>
        </w:rPr>
      </w:pPr>
    </w:p>
    <w:p w:rsidR="008A437F" w:rsidRPr="00F737AD" w:rsidRDefault="008A437F" w:rsidP="00640A4E">
      <w:pPr>
        <w:tabs>
          <w:tab w:val="left" w:pos="1276"/>
        </w:tabs>
        <w:spacing w:after="0"/>
        <w:rPr>
          <w:rFonts w:cs="Calibri"/>
          <w:i/>
          <w:szCs w:val="20"/>
          <w:lang w:val="en-GB"/>
        </w:rPr>
      </w:pPr>
      <w:r w:rsidRPr="00F737AD">
        <w:rPr>
          <w:rFonts w:cs="Calibri"/>
          <w:i/>
          <w:szCs w:val="20"/>
          <w:lang w:val="en-GB"/>
        </w:rPr>
        <w:t>Activity 2.2.1</w:t>
      </w:r>
      <w:r w:rsidRPr="00F737AD">
        <w:rPr>
          <w:rFonts w:cs="Calibri"/>
          <w:i/>
          <w:szCs w:val="20"/>
          <w:lang w:val="en-GB"/>
        </w:rPr>
        <w:tab/>
        <w:t>Capacity and knowledge strengthening of municipal staff and decision-makers</w:t>
      </w:r>
    </w:p>
    <w:p w:rsidR="008A437F" w:rsidRPr="00F737AD" w:rsidRDefault="008A437F" w:rsidP="00BE18B5">
      <w:pPr>
        <w:tabs>
          <w:tab w:val="left" w:pos="1560"/>
        </w:tabs>
        <w:spacing w:before="60" w:after="0"/>
        <w:rPr>
          <w:rFonts w:cs="Calibri"/>
          <w:szCs w:val="20"/>
          <w:lang w:val="en-GB"/>
        </w:rPr>
      </w:pPr>
      <w:bookmarkStart w:id="80" w:name="_Hlk4672243"/>
      <w:r w:rsidRPr="00F737AD">
        <w:rPr>
          <w:rFonts w:cs="Calibri"/>
          <w:szCs w:val="20"/>
          <w:lang w:val="en-GB"/>
        </w:rPr>
        <w:t xml:space="preserve">The Project will support awareness creation </w:t>
      </w:r>
      <w:r w:rsidR="00EF3EC6" w:rsidRPr="00F737AD">
        <w:rPr>
          <w:rFonts w:cs="Calibri"/>
          <w:szCs w:val="20"/>
          <w:lang w:val="en-GB"/>
        </w:rPr>
        <w:t>in</w:t>
      </w:r>
      <w:r w:rsidRPr="00F737AD">
        <w:rPr>
          <w:rFonts w:cs="Calibri"/>
          <w:szCs w:val="20"/>
          <w:lang w:val="en-GB"/>
        </w:rPr>
        <w:t xml:space="preserve"> seminars and </w:t>
      </w:r>
      <w:r w:rsidR="00EF3EC6" w:rsidRPr="00F737AD">
        <w:rPr>
          <w:rFonts w:cs="Calibri"/>
          <w:szCs w:val="20"/>
          <w:lang w:val="en-GB"/>
        </w:rPr>
        <w:t xml:space="preserve">technical </w:t>
      </w:r>
      <w:r w:rsidR="005F00C9" w:rsidRPr="00F737AD">
        <w:rPr>
          <w:rFonts w:cs="Calibri"/>
          <w:szCs w:val="20"/>
          <w:lang w:val="en-GB"/>
        </w:rPr>
        <w:t xml:space="preserve">capacity enhancement in </w:t>
      </w:r>
      <w:r w:rsidR="00EF3EC6" w:rsidRPr="00F737AD">
        <w:rPr>
          <w:rFonts w:cs="Calibri"/>
          <w:szCs w:val="20"/>
          <w:lang w:val="en-GB"/>
        </w:rPr>
        <w:t xml:space="preserve">special </w:t>
      </w:r>
      <w:r w:rsidRPr="00F737AD">
        <w:rPr>
          <w:rFonts w:cs="Calibri"/>
          <w:szCs w:val="20"/>
          <w:lang w:val="en-GB"/>
        </w:rPr>
        <w:t xml:space="preserve">workshops </w:t>
      </w:r>
      <w:r w:rsidR="00EF3EC6" w:rsidRPr="00F737AD">
        <w:rPr>
          <w:rFonts w:cs="Calibri"/>
          <w:szCs w:val="20"/>
          <w:lang w:val="en-GB"/>
        </w:rPr>
        <w:t xml:space="preserve">for </w:t>
      </w:r>
      <w:r w:rsidRPr="00F737AD">
        <w:rPr>
          <w:rFonts w:cs="Calibri"/>
          <w:szCs w:val="20"/>
          <w:lang w:val="en-GB"/>
        </w:rPr>
        <w:t xml:space="preserve">municipal staff (technical and decision-making) </w:t>
      </w:r>
      <w:r w:rsidR="005F00C9" w:rsidRPr="00F737AD">
        <w:rPr>
          <w:rFonts w:cs="Calibri"/>
          <w:szCs w:val="20"/>
          <w:lang w:val="en-GB"/>
        </w:rPr>
        <w:t xml:space="preserve">that work on public infrastructure, public building and municipal power </w:t>
      </w:r>
      <w:r w:rsidR="005F00C9" w:rsidRPr="00F737AD">
        <w:rPr>
          <w:rFonts w:cs="Calibri"/>
          <w:szCs w:val="20"/>
          <w:lang w:val="en-GB"/>
        </w:rPr>
        <w:lastRenderedPageBreak/>
        <w:t>distributio</w:t>
      </w:r>
      <w:r w:rsidR="00EF3EC6" w:rsidRPr="00F737AD">
        <w:rPr>
          <w:rFonts w:cs="Calibri"/>
          <w:szCs w:val="20"/>
          <w:lang w:val="en-GB"/>
        </w:rPr>
        <w:t xml:space="preserve">n on the role of LED lighting in public building and street lighting. This will be accompanied by technology information sheets, procurement guidelines and training material for municipal staff. Similarly, </w:t>
      </w:r>
      <w:r w:rsidRPr="00F737AD">
        <w:rPr>
          <w:rFonts w:cs="Calibri"/>
          <w:szCs w:val="20"/>
          <w:lang w:val="en-GB"/>
        </w:rPr>
        <w:t>information and know-how packages on distribution transformers for municipal</w:t>
      </w:r>
      <w:r w:rsidR="00EF3EC6" w:rsidRPr="00F737AD">
        <w:rPr>
          <w:rFonts w:cs="Calibri"/>
          <w:szCs w:val="20"/>
          <w:lang w:val="en-GB"/>
        </w:rPr>
        <w:t xml:space="preserve"> staff and utilities</w:t>
      </w:r>
      <w:bookmarkEnd w:id="80"/>
      <w:r w:rsidRPr="00F737AD">
        <w:rPr>
          <w:rFonts w:cs="Calibri"/>
          <w:szCs w:val="20"/>
          <w:lang w:val="en-GB"/>
        </w:rPr>
        <w:t xml:space="preserve">.  </w:t>
      </w:r>
    </w:p>
    <w:p w:rsidR="008A437F" w:rsidRPr="00F737AD" w:rsidRDefault="008A437F" w:rsidP="00640A4E">
      <w:pPr>
        <w:tabs>
          <w:tab w:val="left" w:pos="1560"/>
        </w:tabs>
        <w:spacing w:after="0"/>
        <w:rPr>
          <w:rFonts w:cs="Calibri"/>
          <w:szCs w:val="20"/>
          <w:lang w:val="en-GB"/>
        </w:rPr>
      </w:pPr>
    </w:p>
    <w:p w:rsidR="008A437F" w:rsidRPr="00F737AD" w:rsidRDefault="008A437F" w:rsidP="005F00C9">
      <w:pPr>
        <w:tabs>
          <w:tab w:val="left" w:pos="1276"/>
        </w:tabs>
        <w:spacing w:after="0"/>
        <w:rPr>
          <w:rFonts w:cs="Calibri"/>
          <w:i/>
          <w:szCs w:val="20"/>
          <w:lang w:val="en-GB"/>
        </w:rPr>
      </w:pPr>
      <w:r w:rsidRPr="00F737AD">
        <w:rPr>
          <w:rFonts w:cs="Calibri"/>
          <w:i/>
          <w:szCs w:val="20"/>
          <w:lang w:val="en-GB"/>
        </w:rPr>
        <w:t>Activity 2.2.2</w:t>
      </w:r>
      <w:r w:rsidRPr="00F737AD">
        <w:rPr>
          <w:rFonts w:cs="Calibri"/>
          <w:i/>
          <w:szCs w:val="20"/>
          <w:lang w:val="en-GB"/>
        </w:rPr>
        <w:tab/>
      </w:r>
      <w:r w:rsidR="00640A4E" w:rsidRPr="00F737AD">
        <w:rPr>
          <w:rFonts w:cs="Calibri"/>
          <w:i/>
          <w:szCs w:val="20"/>
          <w:lang w:val="en-GB"/>
        </w:rPr>
        <w:t>Technical assistance support to develop municipal energy efficiency planning</w:t>
      </w:r>
    </w:p>
    <w:p w:rsidR="008A437F" w:rsidRPr="00F737AD" w:rsidRDefault="008A437F" w:rsidP="00640A4E">
      <w:pPr>
        <w:tabs>
          <w:tab w:val="left" w:pos="1560"/>
        </w:tabs>
        <w:spacing w:after="0"/>
        <w:rPr>
          <w:rFonts w:cs="Calibri"/>
          <w:szCs w:val="20"/>
          <w:lang w:val="en-GB"/>
        </w:rPr>
      </w:pPr>
    </w:p>
    <w:p w:rsidR="00075E6A" w:rsidRPr="00F737AD" w:rsidRDefault="00640A4E" w:rsidP="00640A4E">
      <w:pPr>
        <w:tabs>
          <w:tab w:val="left" w:pos="1560"/>
        </w:tabs>
        <w:spacing w:after="0"/>
        <w:rPr>
          <w:rFonts w:cs="Calibri"/>
          <w:szCs w:val="20"/>
          <w:lang w:val="en-GB"/>
        </w:rPr>
      </w:pPr>
      <w:bookmarkStart w:id="81" w:name="_Hlk4672255"/>
      <w:r w:rsidRPr="00F737AD">
        <w:rPr>
          <w:rFonts w:cs="Calibri"/>
          <w:szCs w:val="20"/>
          <w:lang w:val="en-GB"/>
        </w:rPr>
        <w:t xml:space="preserve">The </w:t>
      </w:r>
      <w:r w:rsidR="00206020" w:rsidRPr="00F737AD">
        <w:rPr>
          <w:rFonts w:cs="Calibri"/>
          <w:szCs w:val="20"/>
          <w:lang w:val="en-GB"/>
        </w:rPr>
        <w:t>Project will support partner municipalities to develop</w:t>
      </w:r>
      <w:r w:rsidR="008A437F" w:rsidRPr="00F737AD">
        <w:rPr>
          <w:rFonts w:cs="Calibri"/>
          <w:szCs w:val="20"/>
          <w:lang w:val="en-GB"/>
        </w:rPr>
        <w:t xml:space="preserve"> pipeline of bankable proposals on energy efficiency in municipalities</w:t>
      </w:r>
      <w:r w:rsidRPr="00F737AD">
        <w:rPr>
          <w:rFonts w:cs="Calibri"/>
          <w:szCs w:val="20"/>
          <w:lang w:val="en-GB"/>
        </w:rPr>
        <w:t xml:space="preserve"> </w:t>
      </w:r>
      <w:r w:rsidR="00075E6A" w:rsidRPr="00F737AD">
        <w:rPr>
          <w:rFonts w:cs="Calibri"/>
          <w:szCs w:val="20"/>
          <w:lang w:val="en-GB"/>
        </w:rPr>
        <w:t>to present to traditional</w:t>
      </w:r>
      <w:r w:rsidR="00206020" w:rsidRPr="00F737AD">
        <w:rPr>
          <w:rFonts w:cs="Calibri"/>
          <w:szCs w:val="20"/>
          <w:lang w:val="en-GB"/>
        </w:rPr>
        <w:t xml:space="preserve"> </w:t>
      </w:r>
      <w:r w:rsidR="00075E6A" w:rsidRPr="00F737AD">
        <w:rPr>
          <w:rFonts w:cs="Calibri"/>
          <w:szCs w:val="20"/>
          <w:lang w:val="en-GB"/>
        </w:rPr>
        <w:t xml:space="preserve">financing sources </w:t>
      </w:r>
      <w:r w:rsidR="00B34745" w:rsidRPr="00F737AD">
        <w:rPr>
          <w:rFonts w:cs="Calibri"/>
          <w:szCs w:val="20"/>
          <w:lang w:val="en-GB"/>
        </w:rPr>
        <w:t xml:space="preserve">(government funding, such as </w:t>
      </w:r>
      <w:r w:rsidR="00B34745" w:rsidRPr="00F737AD">
        <w:rPr>
          <w:rFonts w:cs="Calibri"/>
          <w:noProof/>
          <w:szCs w:val="20"/>
          <w:lang w:val="en-GB"/>
        </w:rPr>
        <w:t>MEESP</w:t>
      </w:r>
      <w:r w:rsidR="00B34745" w:rsidRPr="00F737AD">
        <w:rPr>
          <w:rFonts w:cs="Calibri"/>
          <w:szCs w:val="20"/>
          <w:lang w:val="en-GB"/>
        </w:rPr>
        <w:t xml:space="preserve">, infrastructure grants </w:t>
      </w:r>
      <w:r w:rsidR="00B34745" w:rsidRPr="00F737AD">
        <w:rPr>
          <w:rFonts w:cs="Calibri"/>
          <w:noProof/>
          <w:szCs w:val="20"/>
          <w:lang w:val="en-GB"/>
        </w:rPr>
        <w:t>and</w:t>
      </w:r>
      <w:r w:rsidR="00B34745" w:rsidRPr="00F737AD">
        <w:rPr>
          <w:rFonts w:cs="Calibri"/>
          <w:szCs w:val="20"/>
          <w:lang w:val="en-GB"/>
        </w:rPr>
        <w:t xml:space="preserve"> own budget</w:t>
      </w:r>
      <w:r w:rsidR="00075E6A" w:rsidRPr="00F737AD">
        <w:rPr>
          <w:rFonts w:cs="Calibri"/>
          <w:szCs w:val="20"/>
          <w:lang w:val="en-GB"/>
        </w:rPr>
        <w:t xml:space="preserve">) </w:t>
      </w:r>
      <w:r w:rsidR="00F24FEC" w:rsidRPr="00F737AD">
        <w:rPr>
          <w:rFonts w:cs="Calibri"/>
          <w:szCs w:val="20"/>
          <w:lang w:val="en-GB"/>
        </w:rPr>
        <w:t>or for more innovative financing (e.g. with ESCO involvement, see Annex E.5</w:t>
      </w:r>
      <w:r w:rsidR="00075E6A" w:rsidRPr="00F737AD">
        <w:rPr>
          <w:rFonts w:cs="Calibri"/>
          <w:szCs w:val="20"/>
          <w:lang w:val="en-GB"/>
        </w:rPr>
        <w:t>)</w:t>
      </w:r>
      <w:r w:rsidR="00F24FEC" w:rsidRPr="00F737AD">
        <w:rPr>
          <w:rFonts w:cs="Calibri"/>
          <w:szCs w:val="20"/>
          <w:lang w:val="en-GB"/>
        </w:rPr>
        <w:t>, including the Project-supported Energy Efficiency Finance Instrument (EEFI)</w:t>
      </w:r>
      <w:r w:rsidR="00075E6A" w:rsidRPr="00F737AD">
        <w:rPr>
          <w:rFonts w:cs="Calibri"/>
          <w:szCs w:val="20"/>
          <w:lang w:val="en-GB"/>
        </w:rPr>
        <w:t xml:space="preserve">. </w:t>
      </w:r>
      <w:r w:rsidR="00E77CFC" w:rsidRPr="00F737AD">
        <w:rPr>
          <w:rFonts w:cs="Calibri"/>
          <w:szCs w:val="20"/>
          <w:lang w:val="en-GB"/>
        </w:rPr>
        <w:t xml:space="preserve">In collaboration with the existing programs of DoE and GIZ, the technical assistance will also support the monitoring of the projects developed. </w:t>
      </w:r>
      <w:r w:rsidR="00F24FEC" w:rsidRPr="00F737AD">
        <w:rPr>
          <w:rFonts w:cs="Calibri"/>
          <w:szCs w:val="20"/>
          <w:lang w:val="en-GB"/>
        </w:rPr>
        <w:t xml:space="preserve">Technical assistance may be </w:t>
      </w:r>
      <w:r w:rsidR="00E236DA" w:rsidRPr="00F737AD">
        <w:rPr>
          <w:rFonts w:cs="Calibri"/>
          <w:szCs w:val="20"/>
          <w:lang w:val="en-GB"/>
        </w:rPr>
        <w:t xml:space="preserve">delivered </w:t>
      </w:r>
      <w:r w:rsidR="00F24FEC" w:rsidRPr="00F737AD">
        <w:rPr>
          <w:rFonts w:cs="Calibri"/>
          <w:szCs w:val="20"/>
          <w:lang w:val="en-GB"/>
        </w:rPr>
        <w:t xml:space="preserve">by </w:t>
      </w:r>
      <w:r w:rsidR="00F24FEC" w:rsidRPr="00F737AD">
        <w:rPr>
          <w:rFonts w:cs="Calibri"/>
          <w:noProof/>
          <w:szCs w:val="20"/>
          <w:lang w:val="en-GB"/>
        </w:rPr>
        <w:t>short-term</w:t>
      </w:r>
      <w:r w:rsidR="00F24FEC" w:rsidRPr="00F737AD">
        <w:rPr>
          <w:rFonts w:cs="Calibri"/>
          <w:szCs w:val="20"/>
          <w:lang w:val="en-GB"/>
        </w:rPr>
        <w:t xml:space="preserve"> expert or by</w:t>
      </w:r>
      <w:r w:rsidR="00E77CFC" w:rsidRPr="00F737AD">
        <w:rPr>
          <w:rFonts w:cs="Calibri"/>
          <w:szCs w:val="20"/>
          <w:lang w:val="en-GB"/>
        </w:rPr>
        <w:t xml:space="preserve"> means of secondment of staff to selected municipalities</w:t>
      </w:r>
      <w:r w:rsidR="00F24FEC" w:rsidRPr="00F737AD">
        <w:rPr>
          <w:rFonts w:cs="Calibri"/>
          <w:szCs w:val="20"/>
          <w:lang w:val="en-GB"/>
        </w:rPr>
        <w:t xml:space="preserve"> </w:t>
      </w:r>
      <w:r w:rsidR="00E77CFC" w:rsidRPr="00F737AD">
        <w:rPr>
          <w:rFonts w:cs="Calibri"/>
          <w:szCs w:val="20"/>
          <w:lang w:val="en-GB"/>
        </w:rPr>
        <w:t xml:space="preserve">to provide advice on the </w:t>
      </w:r>
      <w:r w:rsidR="00F24FEC" w:rsidRPr="00F737AD">
        <w:rPr>
          <w:rFonts w:cs="Calibri"/>
          <w:szCs w:val="20"/>
          <w:lang w:val="en-GB"/>
        </w:rPr>
        <w:t xml:space="preserve">design, financing </w:t>
      </w:r>
      <w:r w:rsidR="00F24FEC" w:rsidRPr="00F737AD">
        <w:rPr>
          <w:rFonts w:cs="Calibri"/>
          <w:noProof/>
          <w:szCs w:val="20"/>
          <w:lang w:val="en-GB"/>
        </w:rPr>
        <w:t>and</w:t>
      </w:r>
      <w:r w:rsidR="00F24FEC" w:rsidRPr="00F737AD">
        <w:rPr>
          <w:rFonts w:cs="Calibri"/>
          <w:szCs w:val="20"/>
          <w:lang w:val="en-GB"/>
        </w:rPr>
        <w:t xml:space="preserve"> </w:t>
      </w:r>
      <w:r w:rsidR="00E77CFC" w:rsidRPr="00F737AD">
        <w:rPr>
          <w:rFonts w:cs="Calibri"/>
          <w:szCs w:val="20"/>
          <w:lang w:val="en-GB"/>
        </w:rPr>
        <w:t xml:space="preserve">implementation of EE plans and </w:t>
      </w:r>
      <w:r w:rsidR="00F24FEC" w:rsidRPr="00F737AD">
        <w:rPr>
          <w:rFonts w:cs="Calibri"/>
          <w:szCs w:val="20"/>
          <w:lang w:val="en-GB"/>
        </w:rPr>
        <w:t>specific LED and distribution transformer projects</w:t>
      </w:r>
      <w:r w:rsidR="00E77CFC" w:rsidRPr="00F737AD">
        <w:rPr>
          <w:rFonts w:cs="Calibri"/>
          <w:szCs w:val="20"/>
          <w:lang w:val="en-GB"/>
        </w:rPr>
        <w:t>, accompanied by business-plan development workshops.</w:t>
      </w:r>
    </w:p>
    <w:p w:rsidR="00E77CFC" w:rsidRPr="00F737AD" w:rsidRDefault="00E77CFC" w:rsidP="00640A4E">
      <w:pPr>
        <w:tabs>
          <w:tab w:val="left" w:pos="1560"/>
        </w:tabs>
        <w:spacing w:after="0"/>
        <w:rPr>
          <w:rFonts w:cs="Calibri"/>
          <w:szCs w:val="20"/>
          <w:lang w:val="en-GB"/>
        </w:rPr>
      </w:pPr>
    </w:p>
    <w:p w:rsidR="00E77CFC" w:rsidRPr="00F737AD" w:rsidRDefault="00E77CFC" w:rsidP="00640A4E">
      <w:pPr>
        <w:tabs>
          <w:tab w:val="left" w:pos="1560"/>
        </w:tabs>
        <w:spacing w:after="0"/>
        <w:rPr>
          <w:rFonts w:cs="Calibri"/>
          <w:szCs w:val="20"/>
          <w:lang w:val="en-GB"/>
        </w:rPr>
      </w:pPr>
      <w:r w:rsidRPr="00F737AD">
        <w:rPr>
          <w:rFonts w:cs="Calibri"/>
          <w:szCs w:val="20"/>
          <w:lang w:val="en-GB"/>
        </w:rPr>
        <w:t>The project will also seek a peer-to-peer exchange between municipalities on the benefits of LED street-lighting and distribution transformers. The peer-to-peer exchange will address both the operational-level staff and the higher-levels of the municipal organization. This is expected to lower the awareness and capacity barriers of smaller municipalities and enhance the access to government and other funding and sources of financing</w:t>
      </w:r>
      <w:bookmarkEnd w:id="81"/>
      <w:r w:rsidRPr="00F737AD">
        <w:rPr>
          <w:rFonts w:cs="Calibri"/>
          <w:szCs w:val="20"/>
          <w:lang w:val="en-GB"/>
        </w:rPr>
        <w:t>.</w:t>
      </w:r>
    </w:p>
    <w:p w:rsidR="00E77CFC" w:rsidRPr="00F737AD" w:rsidRDefault="00E77CFC" w:rsidP="00640A4E">
      <w:pPr>
        <w:tabs>
          <w:tab w:val="left" w:pos="1560"/>
        </w:tabs>
        <w:spacing w:after="0"/>
        <w:rPr>
          <w:rFonts w:cs="Calibri"/>
          <w:szCs w:val="20"/>
          <w:lang w:val="en-GB"/>
        </w:rPr>
      </w:pPr>
    </w:p>
    <w:p w:rsidR="00075E6A" w:rsidRPr="00F737AD" w:rsidRDefault="00A837B9" w:rsidP="005F00C9">
      <w:pPr>
        <w:tabs>
          <w:tab w:val="left" w:pos="1276"/>
        </w:tabs>
        <w:spacing w:after="0"/>
        <w:rPr>
          <w:rFonts w:cs="Calibri"/>
          <w:b/>
          <w:szCs w:val="20"/>
          <w:lang w:val="en-GB"/>
        </w:rPr>
      </w:pPr>
      <w:r w:rsidRPr="00F737AD">
        <w:rPr>
          <w:rFonts w:cs="Calibri"/>
          <w:b/>
          <w:szCs w:val="20"/>
          <w:lang w:val="en-GB"/>
        </w:rPr>
        <w:t>Output 2.3</w:t>
      </w:r>
      <w:r w:rsidRPr="00F737AD">
        <w:rPr>
          <w:rFonts w:cs="Calibri"/>
          <w:b/>
          <w:szCs w:val="20"/>
          <w:lang w:val="en-GB"/>
        </w:rPr>
        <w:tab/>
      </w:r>
      <w:r w:rsidR="005F00C9" w:rsidRPr="00F737AD">
        <w:rPr>
          <w:rFonts w:cs="Calibri"/>
          <w:b/>
          <w:szCs w:val="20"/>
          <w:lang w:val="en-GB"/>
        </w:rPr>
        <w:t>Increased capacity for local production of LED products and distribution transformers</w:t>
      </w:r>
    </w:p>
    <w:p w:rsidR="00075E6A" w:rsidRPr="00F737AD" w:rsidRDefault="00075E6A" w:rsidP="00640A4E">
      <w:pPr>
        <w:tabs>
          <w:tab w:val="left" w:pos="1560"/>
        </w:tabs>
        <w:spacing w:after="0"/>
        <w:rPr>
          <w:rFonts w:cs="Calibri"/>
          <w:szCs w:val="20"/>
          <w:lang w:val="en-GB"/>
        </w:rPr>
      </w:pPr>
    </w:p>
    <w:p w:rsidR="00075E6A" w:rsidRPr="00F737AD" w:rsidRDefault="005F00C9" w:rsidP="005F00C9">
      <w:pPr>
        <w:tabs>
          <w:tab w:val="left" w:pos="1276"/>
        </w:tabs>
        <w:spacing w:after="0"/>
        <w:rPr>
          <w:rFonts w:cs="Calibri"/>
          <w:i/>
          <w:szCs w:val="20"/>
          <w:lang w:val="en-GB"/>
        </w:rPr>
      </w:pPr>
      <w:r w:rsidRPr="00F737AD">
        <w:rPr>
          <w:rFonts w:cs="Calibri"/>
          <w:i/>
          <w:szCs w:val="20"/>
          <w:lang w:val="en-GB"/>
        </w:rPr>
        <w:t>Activity 2.3.1</w:t>
      </w:r>
      <w:r w:rsidRPr="00F737AD">
        <w:rPr>
          <w:rFonts w:cs="Calibri"/>
          <w:i/>
          <w:szCs w:val="20"/>
          <w:lang w:val="en-GB"/>
        </w:rPr>
        <w:tab/>
        <w:t>Technical support for manufacturers of local LED products</w:t>
      </w:r>
    </w:p>
    <w:p w:rsidR="005F00C9" w:rsidRPr="00F737AD" w:rsidRDefault="005F00C9" w:rsidP="005F00C9">
      <w:pPr>
        <w:tabs>
          <w:tab w:val="left" w:pos="1276"/>
        </w:tabs>
        <w:spacing w:after="0"/>
        <w:rPr>
          <w:rFonts w:cs="Calibri"/>
          <w:szCs w:val="20"/>
          <w:lang w:val="en-GB"/>
        </w:rPr>
      </w:pPr>
    </w:p>
    <w:p w:rsidR="008A437F" w:rsidRPr="00F737AD" w:rsidRDefault="00E115F8" w:rsidP="005431FB">
      <w:pPr>
        <w:tabs>
          <w:tab w:val="left" w:pos="1276"/>
        </w:tabs>
        <w:spacing w:after="0"/>
        <w:rPr>
          <w:rFonts w:cs="Calibri"/>
          <w:szCs w:val="20"/>
          <w:lang w:val="en-GB"/>
        </w:rPr>
      </w:pPr>
      <w:bookmarkStart w:id="82" w:name="_Hlk4672268"/>
      <w:r w:rsidRPr="00F737AD">
        <w:rPr>
          <w:rFonts w:cs="Calibri"/>
          <w:szCs w:val="20"/>
          <w:lang w:val="en-GB"/>
        </w:rPr>
        <w:t xml:space="preserve">The Project will support </w:t>
      </w:r>
      <w:r w:rsidR="00F24FEC" w:rsidRPr="00F737AD">
        <w:rPr>
          <w:rFonts w:cs="Calibri"/>
          <w:szCs w:val="20"/>
          <w:lang w:val="en-GB"/>
        </w:rPr>
        <w:t xml:space="preserve">the </w:t>
      </w:r>
      <w:r w:rsidRPr="00F737AD">
        <w:rPr>
          <w:rFonts w:cs="Calibri"/>
          <w:szCs w:val="20"/>
          <w:lang w:val="en-GB"/>
        </w:rPr>
        <w:t xml:space="preserve">assessment </w:t>
      </w:r>
      <w:r w:rsidR="005431FB" w:rsidRPr="00F737AD">
        <w:rPr>
          <w:rFonts w:cs="Calibri"/>
          <w:szCs w:val="20"/>
          <w:lang w:val="en-GB"/>
        </w:rPr>
        <w:t>of issues and</w:t>
      </w:r>
      <w:r w:rsidRPr="00F737AD">
        <w:rPr>
          <w:rFonts w:cs="Calibri"/>
          <w:szCs w:val="20"/>
          <w:lang w:val="en-GB"/>
        </w:rPr>
        <w:t xml:space="preserve"> options and </w:t>
      </w:r>
      <w:r w:rsidR="00F24FEC" w:rsidRPr="00F737AD">
        <w:rPr>
          <w:rFonts w:cs="Calibri"/>
          <w:szCs w:val="20"/>
          <w:lang w:val="en-GB"/>
        </w:rPr>
        <w:t>capacity building</w:t>
      </w:r>
      <w:r w:rsidRPr="00F737AD">
        <w:rPr>
          <w:rFonts w:cs="Calibri"/>
          <w:szCs w:val="20"/>
          <w:lang w:val="en-GB"/>
        </w:rPr>
        <w:t xml:space="preserve"> needs</w:t>
      </w:r>
      <w:r w:rsidR="005431FB" w:rsidRPr="00F737AD">
        <w:rPr>
          <w:rFonts w:cs="Calibri"/>
          <w:szCs w:val="20"/>
          <w:lang w:val="en-GB"/>
        </w:rPr>
        <w:t xml:space="preserve"> for local production of LED lighting products.</w:t>
      </w:r>
      <w:r w:rsidRPr="00F737AD">
        <w:rPr>
          <w:rFonts w:cs="Calibri"/>
          <w:szCs w:val="20"/>
          <w:lang w:val="en-GB"/>
        </w:rPr>
        <w:t xml:space="preserve"> The project will organize training sessions to enhance the capacity of the energy service firms, designers, architects, and market partners to install efficient and effective lighting (LED luminaires) in buildings</w:t>
      </w:r>
      <w:r w:rsidR="005431FB" w:rsidRPr="00F737AD">
        <w:rPr>
          <w:rFonts w:cs="Calibri"/>
          <w:szCs w:val="20"/>
          <w:lang w:val="en-GB"/>
        </w:rPr>
        <w:t xml:space="preserve">. </w:t>
      </w:r>
      <w:r w:rsidR="00F24FEC" w:rsidRPr="00F737AD">
        <w:rPr>
          <w:rFonts w:cs="Calibri"/>
          <w:szCs w:val="20"/>
          <w:lang w:val="en-GB"/>
        </w:rPr>
        <w:t xml:space="preserve">The Project </w:t>
      </w:r>
      <w:r w:rsidR="005431FB" w:rsidRPr="00F737AD">
        <w:rPr>
          <w:rFonts w:cs="Calibri"/>
          <w:szCs w:val="20"/>
          <w:lang w:val="en-GB"/>
        </w:rPr>
        <w:t xml:space="preserve">can </w:t>
      </w:r>
      <w:r w:rsidR="00F24FEC" w:rsidRPr="00F737AD">
        <w:rPr>
          <w:rFonts w:cs="Calibri"/>
          <w:szCs w:val="20"/>
          <w:lang w:val="en-GB"/>
        </w:rPr>
        <w:t>provide technical assistance support to local manufacturing companies to introduce these locally manufactured in the local market</w:t>
      </w:r>
      <w:r w:rsidR="005431FB" w:rsidRPr="00F737AD">
        <w:rPr>
          <w:rFonts w:cs="Calibri"/>
          <w:szCs w:val="20"/>
          <w:lang w:val="en-GB"/>
        </w:rPr>
        <w:t xml:space="preserve"> (feasibility studies). Companies will be selected in a competitive basis, e.g. in a Call for Proposals</w:t>
      </w:r>
      <w:bookmarkEnd w:id="82"/>
      <w:r w:rsidR="005431FB" w:rsidRPr="00F737AD">
        <w:rPr>
          <w:rFonts w:cs="Calibri"/>
          <w:szCs w:val="20"/>
          <w:lang w:val="en-GB"/>
        </w:rPr>
        <w:t>.</w:t>
      </w:r>
    </w:p>
    <w:p w:rsidR="005431FB" w:rsidRPr="00F737AD" w:rsidRDefault="005431FB" w:rsidP="006A68A3">
      <w:pPr>
        <w:tabs>
          <w:tab w:val="left" w:pos="1276"/>
        </w:tabs>
        <w:spacing w:after="0"/>
        <w:rPr>
          <w:rFonts w:cs="Calibri"/>
          <w:szCs w:val="20"/>
          <w:lang w:val="en-GB"/>
        </w:rPr>
      </w:pPr>
    </w:p>
    <w:p w:rsidR="008A437F" w:rsidRPr="00F737AD" w:rsidRDefault="00E115F8" w:rsidP="00002746">
      <w:pPr>
        <w:tabs>
          <w:tab w:val="left" w:pos="1276"/>
        </w:tabs>
        <w:spacing w:after="0"/>
        <w:rPr>
          <w:rFonts w:cs="Calibri"/>
          <w:i/>
          <w:szCs w:val="20"/>
          <w:lang w:val="en-GB"/>
        </w:rPr>
      </w:pPr>
      <w:r w:rsidRPr="00F737AD">
        <w:rPr>
          <w:rFonts w:cs="Calibri"/>
          <w:i/>
          <w:szCs w:val="20"/>
          <w:lang w:val="en-GB"/>
        </w:rPr>
        <w:t>Activity 2.3.2</w:t>
      </w:r>
      <w:r w:rsidRPr="00F737AD">
        <w:rPr>
          <w:rFonts w:cs="Calibri"/>
          <w:i/>
          <w:szCs w:val="20"/>
          <w:lang w:val="en-GB"/>
        </w:rPr>
        <w:tab/>
        <w:t>Technical support to suppliers to manufacture high-efficiency distribution transformers</w:t>
      </w:r>
    </w:p>
    <w:p w:rsidR="008A437F" w:rsidRPr="00F737AD" w:rsidRDefault="008A437F" w:rsidP="00640A4E">
      <w:pPr>
        <w:tabs>
          <w:tab w:val="left" w:pos="1560"/>
        </w:tabs>
        <w:spacing w:after="0"/>
        <w:rPr>
          <w:rFonts w:cs="Calibri"/>
          <w:szCs w:val="20"/>
          <w:lang w:val="en-GB"/>
        </w:rPr>
      </w:pPr>
    </w:p>
    <w:p w:rsidR="007C3833" w:rsidRPr="00F737AD" w:rsidRDefault="002C0609" w:rsidP="002C0609">
      <w:pPr>
        <w:tabs>
          <w:tab w:val="left" w:pos="1560"/>
        </w:tabs>
        <w:spacing w:after="0"/>
        <w:rPr>
          <w:rFonts w:cs="Calibri"/>
          <w:szCs w:val="20"/>
          <w:lang w:val="en-GB"/>
        </w:rPr>
      </w:pPr>
      <w:bookmarkStart w:id="83" w:name="_Hlk4672282"/>
      <w:r w:rsidRPr="00F737AD">
        <w:rPr>
          <w:rFonts w:cs="Calibri"/>
          <w:szCs w:val="20"/>
          <w:lang w:val="en-GB"/>
        </w:rPr>
        <w:t xml:space="preserve">Similarly, the </w:t>
      </w:r>
      <w:r w:rsidR="005C107C" w:rsidRPr="00F737AD">
        <w:rPr>
          <w:rFonts w:cs="Calibri"/>
          <w:szCs w:val="20"/>
          <w:lang w:val="en-GB"/>
        </w:rPr>
        <w:t>P</w:t>
      </w:r>
      <w:r w:rsidRPr="00F737AD">
        <w:rPr>
          <w:rFonts w:cs="Calibri"/>
          <w:szCs w:val="20"/>
          <w:lang w:val="en-GB"/>
        </w:rPr>
        <w:t xml:space="preserve">roject will carry out a detailed assessment of </w:t>
      </w:r>
      <w:r w:rsidR="00E236DA" w:rsidRPr="00F737AD">
        <w:rPr>
          <w:rFonts w:cs="Calibri"/>
          <w:szCs w:val="20"/>
          <w:lang w:val="en-GB"/>
        </w:rPr>
        <w:t xml:space="preserve">the </w:t>
      </w:r>
      <w:r w:rsidRPr="00F737AD">
        <w:rPr>
          <w:rFonts w:cs="Calibri"/>
          <w:noProof/>
          <w:szCs w:val="20"/>
          <w:lang w:val="en-GB"/>
        </w:rPr>
        <w:t>state</w:t>
      </w:r>
      <w:r w:rsidRPr="00F737AD">
        <w:rPr>
          <w:rFonts w:cs="Calibri"/>
          <w:szCs w:val="20"/>
          <w:lang w:val="en-GB"/>
        </w:rPr>
        <w:t xml:space="preserve"> of local production of transformers </w:t>
      </w:r>
      <w:r w:rsidR="005C107C" w:rsidRPr="00F737AD">
        <w:rPr>
          <w:rFonts w:cs="Calibri"/>
          <w:szCs w:val="20"/>
          <w:lang w:val="en-GB"/>
        </w:rPr>
        <w:t xml:space="preserve">with </w:t>
      </w:r>
      <w:r w:rsidRPr="00F737AD">
        <w:rPr>
          <w:rFonts w:cs="Calibri"/>
          <w:szCs w:val="20"/>
          <w:lang w:val="en-GB"/>
        </w:rPr>
        <w:t xml:space="preserve">recommendations for </w:t>
      </w:r>
      <w:r w:rsidR="005C107C" w:rsidRPr="00F737AD">
        <w:rPr>
          <w:rFonts w:cs="Calibri"/>
          <w:szCs w:val="20"/>
          <w:lang w:val="en-GB"/>
        </w:rPr>
        <w:t>technical and/or financial support (</w:t>
      </w:r>
      <w:r w:rsidRPr="00F737AD">
        <w:rPr>
          <w:rFonts w:cs="Calibri"/>
          <w:szCs w:val="20"/>
          <w:lang w:val="en-GB"/>
        </w:rPr>
        <w:t>see Output 5.2) to the local manufacturing industry to enhance skills of staff and upgrade production facilities to be able to produce high-efficiency transformers</w:t>
      </w:r>
      <w:r w:rsidR="00002746" w:rsidRPr="00F737AD">
        <w:rPr>
          <w:rFonts w:cs="Calibri"/>
          <w:szCs w:val="20"/>
          <w:lang w:val="en-GB"/>
        </w:rPr>
        <w:t>.</w:t>
      </w:r>
      <w:r w:rsidR="005431FB" w:rsidRPr="00F737AD">
        <w:rPr>
          <w:rFonts w:cs="Calibri"/>
          <w:szCs w:val="20"/>
          <w:lang w:val="en-GB"/>
        </w:rPr>
        <w:t xml:space="preserve"> Companies will be selected in a competitive basis, e.g. in a Call for Proposals</w:t>
      </w:r>
      <w:bookmarkEnd w:id="83"/>
      <w:r w:rsidR="005431FB" w:rsidRPr="00F737AD">
        <w:rPr>
          <w:rFonts w:cs="Calibri"/>
          <w:szCs w:val="20"/>
          <w:lang w:val="en-GB"/>
        </w:rPr>
        <w:t>.</w:t>
      </w:r>
    </w:p>
    <w:p w:rsidR="008839FE" w:rsidRPr="00F737AD" w:rsidRDefault="008839FE" w:rsidP="002C0609">
      <w:pPr>
        <w:tabs>
          <w:tab w:val="left" w:pos="1560"/>
        </w:tabs>
        <w:spacing w:after="0"/>
        <w:rPr>
          <w:rFonts w:cs="Calibri"/>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848"/>
      </w:tblGrid>
      <w:tr w:rsidR="00101DC0" w:rsidRPr="0057545E" w:rsidTr="00F737AD">
        <w:tc>
          <w:tcPr>
            <w:tcW w:w="3114" w:type="dxa"/>
            <w:shd w:val="clear" w:color="auto" w:fill="auto"/>
          </w:tcPr>
          <w:p w:rsidR="00101DC0" w:rsidRPr="00F737AD" w:rsidRDefault="00101DC0" w:rsidP="00F737AD">
            <w:pPr>
              <w:tabs>
                <w:tab w:val="left" w:pos="1560"/>
              </w:tabs>
              <w:spacing w:after="0"/>
              <w:jc w:val="left"/>
              <w:rPr>
                <w:rFonts w:cs="Calibri"/>
                <w:i/>
                <w:szCs w:val="20"/>
                <w:lang w:val="en-GB"/>
              </w:rPr>
            </w:pPr>
            <w:bookmarkStart w:id="84" w:name="_Hlk4672320"/>
            <w:r w:rsidRPr="00F737AD">
              <w:rPr>
                <w:rFonts w:cs="Calibri"/>
                <w:i/>
                <w:szCs w:val="20"/>
                <w:lang w:val="en-GB"/>
              </w:rPr>
              <w:t>Output</w:t>
            </w:r>
          </w:p>
        </w:tc>
        <w:tc>
          <w:tcPr>
            <w:tcW w:w="6848" w:type="dxa"/>
            <w:shd w:val="clear" w:color="auto" w:fill="auto"/>
          </w:tcPr>
          <w:p w:rsidR="00101DC0" w:rsidRPr="00F737AD" w:rsidRDefault="00101DC0" w:rsidP="00F737AD">
            <w:pPr>
              <w:tabs>
                <w:tab w:val="left" w:pos="1560"/>
              </w:tabs>
              <w:spacing w:after="0"/>
              <w:jc w:val="left"/>
              <w:rPr>
                <w:rFonts w:cs="Calibri"/>
                <w:i/>
                <w:szCs w:val="20"/>
                <w:lang w:val="en-GB"/>
              </w:rPr>
            </w:pPr>
            <w:r w:rsidRPr="00F737AD">
              <w:rPr>
                <w:rFonts w:cs="Calibri"/>
                <w:i/>
                <w:szCs w:val="20"/>
                <w:lang w:val="en-GB"/>
              </w:rPr>
              <w:t>Activity</w:t>
            </w:r>
          </w:p>
        </w:tc>
      </w:tr>
      <w:tr w:rsidR="00101DC0" w:rsidRPr="0057545E" w:rsidTr="00F737AD">
        <w:tc>
          <w:tcPr>
            <w:tcW w:w="9962" w:type="dxa"/>
            <w:gridSpan w:val="2"/>
            <w:shd w:val="clear" w:color="auto" w:fill="D9E2F3"/>
          </w:tcPr>
          <w:p w:rsidR="00101DC0" w:rsidRPr="00F737AD" w:rsidRDefault="00101DC0" w:rsidP="00F737AD">
            <w:pPr>
              <w:tabs>
                <w:tab w:val="left" w:pos="1164"/>
                <w:tab w:val="left" w:pos="1560"/>
              </w:tabs>
              <w:spacing w:after="0"/>
              <w:ind w:left="1164" w:hanging="1164"/>
              <w:jc w:val="left"/>
              <w:rPr>
                <w:rFonts w:cs="Calibri"/>
                <w:b/>
                <w:szCs w:val="20"/>
                <w:lang w:val="en-GB"/>
              </w:rPr>
            </w:pPr>
            <w:r w:rsidRPr="00F737AD">
              <w:rPr>
                <w:rFonts w:cs="Calibri"/>
                <w:b/>
                <w:szCs w:val="20"/>
                <w:lang w:val="en-GB"/>
              </w:rPr>
              <w:t>Outcome 3</w:t>
            </w:r>
            <w:r w:rsidRPr="00F737AD">
              <w:rPr>
                <w:rFonts w:cs="Calibri"/>
                <w:b/>
                <w:szCs w:val="20"/>
                <w:lang w:val="en-GB"/>
              </w:rPr>
              <w:tab/>
              <w:t>Financial support programmes designed and operational</w:t>
            </w:r>
          </w:p>
        </w:tc>
      </w:tr>
      <w:tr w:rsidR="00101DC0" w:rsidRPr="0057545E" w:rsidTr="00F737AD">
        <w:trPr>
          <w:trHeight w:val="648"/>
        </w:trPr>
        <w:tc>
          <w:tcPr>
            <w:tcW w:w="3114" w:type="dxa"/>
            <w:vMerge w:val="restart"/>
            <w:shd w:val="clear" w:color="auto" w:fill="FFF2CC"/>
          </w:tcPr>
          <w:p w:rsidR="00101DC0" w:rsidRPr="00F737AD" w:rsidRDefault="00101DC0" w:rsidP="00F737AD">
            <w:pPr>
              <w:tabs>
                <w:tab w:val="left" w:pos="416"/>
                <w:tab w:val="left" w:pos="1560"/>
              </w:tabs>
              <w:spacing w:after="0"/>
              <w:ind w:left="455" w:hanging="455"/>
              <w:jc w:val="left"/>
              <w:rPr>
                <w:rFonts w:cs="Calibri"/>
                <w:szCs w:val="20"/>
                <w:lang w:val="en-GB"/>
              </w:rPr>
            </w:pPr>
            <w:r w:rsidRPr="00F737AD">
              <w:rPr>
                <w:rFonts w:cs="Calibri"/>
                <w:szCs w:val="20"/>
                <w:lang w:val="en-GB"/>
              </w:rPr>
              <w:t>3.1</w:t>
            </w:r>
            <w:r w:rsidRPr="00F737AD">
              <w:rPr>
                <w:rFonts w:cs="Calibri"/>
                <w:szCs w:val="20"/>
                <w:lang w:val="en-GB"/>
              </w:rPr>
              <w:tab/>
            </w:r>
            <w:r w:rsidR="004A78B7" w:rsidRPr="00F737AD">
              <w:rPr>
                <w:rFonts w:cs="Calibri"/>
                <w:szCs w:val="20"/>
                <w:lang w:val="en-GB"/>
              </w:rPr>
              <w:t xml:space="preserve">EEFI set up and providing financing </w:t>
            </w:r>
            <w:r w:rsidRPr="00F737AD">
              <w:rPr>
                <w:rFonts w:cs="Calibri"/>
                <w:szCs w:val="20"/>
                <w:lang w:val="en-GB"/>
              </w:rPr>
              <w:t>to municipalities, municipally- owned entities, ESKOM</w:t>
            </w:r>
          </w:p>
        </w:tc>
        <w:tc>
          <w:tcPr>
            <w:tcW w:w="6848" w:type="dxa"/>
            <w:shd w:val="clear" w:color="auto" w:fill="auto"/>
          </w:tcPr>
          <w:p w:rsidR="001B59B8" w:rsidRPr="00F737AD" w:rsidRDefault="00101DC0" w:rsidP="00F737AD">
            <w:pPr>
              <w:tabs>
                <w:tab w:val="left" w:pos="737"/>
                <w:tab w:val="left" w:pos="1560"/>
              </w:tabs>
              <w:spacing w:after="0"/>
              <w:ind w:left="737" w:hanging="708"/>
              <w:jc w:val="left"/>
              <w:rPr>
                <w:rFonts w:cs="Calibri"/>
                <w:szCs w:val="20"/>
                <w:lang w:val="en-GB"/>
              </w:rPr>
            </w:pPr>
            <w:r w:rsidRPr="00F737AD">
              <w:rPr>
                <w:rFonts w:cs="Calibri"/>
                <w:szCs w:val="20"/>
                <w:lang w:val="en-GB"/>
              </w:rPr>
              <w:t>3.1.1</w:t>
            </w:r>
            <w:r w:rsidRPr="00F737AD">
              <w:rPr>
                <w:rFonts w:cs="Calibri"/>
                <w:szCs w:val="20"/>
                <w:lang w:val="en-GB"/>
              </w:rPr>
              <w:tab/>
            </w:r>
            <w:r w:rsidR="001B59B8" w:rsidRPr="00F737AD">
              <w:rPr>
                <w:rFonts w:cs="Calibri"/>
                <w:szCs w:val="20"/>
                <w:lang w:val="en-GB"/>
              </w:rPr>
              <w:t>EEFI governance structure set up</w:t>
            </w:r>
          </w:p>
          <w:p w:rsidR="00101DC0" w:rsidRPr="00F737AD" w:rsidRDefault="001B59B8" w:rsidP="00F737AD">
            <w:pPr>
              <w:tabs>
                <w:tab w:val="left" w:pos="737"/>
                <w:tab w:val="left" w:pos="1560"/>
              </w:tabs>
              <w:spacing w:after="0"/>
              <w:ind w:left="737" w:hanging="708"/>
              <w:jc w:val="left"/>
              <w:rPr>
                <w:rFonts w:cs="Calibri"/>
                <w:szCs w:val="20"/>
                <w:lang w:val="en-GB"/>
              </w:rPr>
            </w:pPr>
            <w:r w:rsidRPr="00F737AD">
              <w:rPr>
                <w:rFonts w:cs="Calibri"/>
                <w:szCs w:val="20"/>
                <w:lang w:val="en-GB"/>
              </w:rPr>
              <w:t>3.1.2</w:t>
            </w:r>
            <w:r w:rsidRPr="00F737AD">
              <w:rPr>
                <w:rFonts w:cs="Calibri"/>
                <w:szCs w:val="20"/>
                <w:lang w:val="en-GB"/>
              </w:rPr>
              <w:tab/>
            </w:r>
            <w:r w:rsidR="00F71564" w:rsidRPr="00F737AD">
              <w:rPr>
                <w:rFonts w:cs="Calibri"/>
                <w:szCs w:val="20"/>
                <w:lang w:val="en-GB"/>
              </w:rPr>
              <w:t>F</w:t>
            </w:r>
            <w:r w:rsidR="00D37503" w:rsidRPr="00F737AD">
              <w:rPr>
                <w:rFonts w:cs="Calibri"/>
                <w:szCs w:val="20"/>
                <w:lang w:val="en-GB"/>
              </w:rPr>
              <w:t>inancing is provided by EEFI</w:t>
            </w:r>
            <w:r w:rsidR="00F71564" w:rsidRPr="00F737AD">
              <w:rPr>
                <w:rFonts w:cs="Calibri"/>
                <w:szCs w:val="20"/>
                <w:lang w:val="en-GB"/>
              </w:rPr>
              <w:t xml:space="preserve"> for </w:t>
            </w:r>
            <w:r w:rsidR="00F71564" w:rsidRPr="00F737AD">
              <w:rPr>
                <w:rFonts w:cs="Calibri"/>
                <w:noProof/>
                <w:szCs w:val="20"/>
                <w:lang w:val="en-GB"/>
              </w:rPr>
              <w:t>high</w:t>
            </w:r>
            <w:r w:rsidR="00E236DA" w:rsidRPr="00F737AD">
              <w:rPr>
                <w:rFonts w:cs="Calibri"/>
                <w:noProof/>
                <w:szCs w:val="20"/>
                <w:lang w:val="en-GB"/>
              </w:rPr>
              <w:t>-</w:t>
            </w:r>
            <w:r w:rsidR="00F71564" w:rsidRPr="00F737AD">
              <w:rPr>
                <w:rFonts w:cs="Calibri"/>
                <w:noProof/>
                <w:szCs w:val="20"/>
                <w:lang w:val="en-GB"/>
              </w:rPr>
              <w:t>efficiency</w:t>
            </w:r>
            <w:r w:rsidR="00F71564" w:rsidRPr="00F737AD">
              <w:rPr>
                <w:rFonts w:cs="Calibri"/>
                <w:szCs w:val="20"/>
                <w:lang w:val="en-GB"/>
              </w:rPr>
              <w:t xml:space="preserve"> lighting and distribution transformers</w:t>
            </w:r>
            <w:r w:rsidR="00F06810" w:rsidRPr="00F737AD">
              <w:rPr>
                <w:rFonts w:cs="Calibri"/>
                <w:szCs w:val="20"/>
                <w:lang w:val="en-GB"/>
              </w:rPr>
              <w:t xml:space="preserve"> projects</w:t>
            </w:r>
          </w:p>
          <w:p w:rsidR="00101DC0" w:rsidRPr="00F737AD" w:rsidRDefault="00101DC0" w:rsidP="00F737AD">
            <w:pPr>
              <w:tabs>
                <w:tab w:val="left" w:pos="737"/>
                <w:tab w:val="left" w:pos="1560"/>
              </w:tabs>
              <w:spacing w:after="0"/>
              <w:jc w:val="left"/>
              <w:rPr>
                <w:rFonts w:cs="Calibri"/>
                <w:szCs w:val="20"/>
                <w:lang w:val="en-GB"/>
              </w:rPr>
            </w:pPr>
            <w:r w:rsidRPr="00F737AD">
              <w:rPr>
                <w:rFonts w:cs="Calibri"/>
                <w:szCs w:val="20"/>
                <w:lang w:val="en-GB"/>
              </w:rPr>
              <w:tab/>
            </w:r>
          </w:p>
        </w:tc>
      </w:tr>
      <w:tr w:rsidR="00101DC0" w:rsidRPr="0057545E" w:rsidTr="00F737AD">
        <w:trPr>
          <w:trHeight w:val="708"/>
        </w:trPr>
        <w:tc>
          <w:tcPr>
            <w:tcW w:w="3114" w:type="dxa"/>
            <w:vMerge/>
            <w:shd w:val="clear" w:color="auto" w:fill="FFF2CC"/>
          </w:tcPr>
          <w:p w:rsidR="00101DC0" w:rsidRPr="00F737AD" w:rsidRDefault="00101DC0" w:rsidP="00F737AD">
            <w:pPr>
              <w:tabs>
                <w:tab w:val="left" w:pos="416"/>
                <w:tab w:val="left" w:pos="1560"/>
              </w:tabs>
              <w:spacing w:after="0"/>
              <w:ind w:left="455" w:hanging="455"/>
              <w:jc w:val="left"/>
              <w:rPr>
                <w:rFonts w:cs="Calibri"/>
                <w:szCs w:val="20"/>
                <w:lang w:val="en-GB"/>
              </w:rPr>
            </w:pPr>
          </w:p>
        </w:tc>
        <w:tc>
          <w:tcPr>
            <w:tcW w:w="6848" w:type="dxa"/>
            <w:shd w:val="clear" w:color="auto" w:fill="auto"/>
          </w:tcPr>
          <w:p w:rsidR="00101DC0" w:rsidRPr="00F737AD" w:rsidRDefault="00101DC0"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 xml:space="preserve">Main partner: </w:t>
            </w:r>
            <w:r w:rsidR="007255C5" w:rsidRPr="00F737AD">
              <w:rPr>
                <w:rFonts w:cs="Calibri"/>
                <w:sz w:val="19"/>
                <w:szCs w:val="19"/>
                <w:lang w:val="en-GB"/>
              </w:rPr>
              <w:t>DBSA</w:t>
            </w:r>
            <w:r w:rsidR="0012486F" w:rsidRPr="00F737AD">
              <w:rPr>
                <w:rFonts w:cs="Calibri"/>
                <w:sz w:val="19"/>
                <w:szCs w:val="19"/>
                <w:lang w:val="en-GB"/>
              </w:rPr>
              <w:t xml:space="preserve"> (EEFI), DOE</w:t>
            </w:r>
          </w:p>
          <w:p w:rsidR="00101DC0" w:rsidRPr="00F737AD" w:rsidRDefault="007255C5" w:rsidP="00F737AD">
            <w:pPr>
              <w:tabs>
                <w:tab w:val="left" w:pos="29"/>
                <w:tab w:val="left" w:pos="1560"/>
              </w:tabs>
              <w:spacing w:after="0"/>
              <w:ind w:left="29"/>
              <w:jc w:val="left"/>
              <w:rPr>
                <w:rFonts w:cs="Calibri"/>
                <w:szCs w:val="20"/>
                <w:lang w:val="en-GB"/>
              </w:rPr>
            </w:pPr>
            <w:r w:rsidRPr="00F737AD">
              <w:rPr>
                <w:rFonts w:cs="Calibri"/>
                <w:szCs w:val="20"/>
                <w:lang w:val="en-GB"/>
              </w:rPr>
              <w:t>Financial institutions, municipalities, private sector (ESCOs)</w:t>
            </w:r>
          </w:p>
        </w:tc>
      </w:tr>
      <w:tr w:rsidR="00101DC0" w:rsidRPr="0057545E" w:rsidTr="00F737AD">
        <w:trPr>
          <w:trHeight w:val="548"/>
        </w:trPr>
        <w:tc>
          <w:tcPr>
            <w:tcW w:w="3114" w:type="dxa"/>
            <w:vMerge w:val="restart"/>
            <w:shd w:val="clear" w:color="auto" w:fill="FFF2CC"/>
          </w:tcPr>
          <w:p w:rsidR="00101DC0" w:rsidRPr="00F737AD" w:rsidRDefault="00101DC0" w:rsidP="00F737AD">
            <w:pPr>
              <w:tabs>
                <w:tab w:val="left" w:pos="455"/>
                <w:tab w:val="left" w:pos="1560"/>
              </w:tabs>
              <w:spacing w:after="0"/>
              <w:ind w:left="455" w:hanging="455"/>
              <w:jc w:val="left"/>
              <w:rPr>
                <w:rFonts w:cs="Calibri"/>
                <w:szCs w:val="20"/>
                <w:lang w:val="en-GB"/>
              </w:rPr>
            </w:pPr>
            <w:r w:rsidRPr="00F737AD">
              <w:rPr>
                <w:rFonts w:cs="Calibri"/>
                <w:szCs w:val="20"/>
                <w:lang w:val="en-GB"/>
              </w:rPr>
              <w:t>3.2</w:t>
            </w:r>
            <w:r w:rsidRPr="00F737AD">
              <w:rPr>
                <w:rFonts w:cs="Calibri"/>
                <w:szCs w:val="20"/>
                <w:lang w:val="en-GB"/>
              </w:rPr>
              <w:tab/>
              <w:t xml:space="preserve">Financial </w:t>
            </w:r>
            <w:r w:rsidR="001B59B8" w:rsidRPr="00F737AD">
              <w:rPr>
                <w:rFonts w:cs="Calibri"/>
                <w:szCs w:val="20"/>
                <w:lang w:val="en-GB"/>
              </w:rPr>
              <w:t>advice service</w:t>
            </w:r>
            <w:r w:rsidR="00D37503" w:rsidRPr="00F737AD">
              <w:rPr>
                <w:rFonts w:cs="Calibri"/>
                <w:szCs w:val="20"/>
                <w:lang w:val="en-GB"/>
              </w:rPr>
              <w:t xml:space="preserve">s </w:t>
            </w:r>
            <w:r w:rsidR="001B59B8" w:rsidRPr="00F737AD">
              <w:rPr>
                <w:rFonts w:cs="Calibri"/>
                <w:szCs w:val="20"/>
                <w:lang w:val="en-GB"/>
              </w:rPr>
              <w:t>provided to prospective applicants</w:t>
            </w:r>
          </w:p>
        </w:tc>
        <w:tc>
          <w:tcPr>
            <w:tcW w:w="6848" w:type="dxa"/>
            <w:shd w:val="clear" w:color="auto" w:fill="auto"/>
          </w:tcPr>
          <w:p w:rsidR="00101DC0" w:rsidRPr="00F737AD" w:rsidRDefault="00101DC0" w:rsidP="00F737AD">
            <w:pPr>
              <w:tabs>
                <w:tab w:val="left" w:pos="737"/>
                <w:tab w:val="left" w:pos="1560"/>
              </w:tabs>
              <w:spacing w:after="0"/>
              <w:ind w:left="737" w:hanging="737"/>
              <w:jc w:val="left"/>
              <w:rPr>
                <w:rFonts w:cs="Calibri"/>
                <w:szCs w:val="20"/>
                <w:lang w:val="en-GB"/>
              </w:rPr>
            </w:pPr>
            <w:r w:rsidRPr="00F737AD">
              <w:rPr>
                <w:rFonts w:cs="Calibri"/>
                <w:szCs w:val="20"/>
                <w:lang w:val="en-GB"/>
              </w:rPr>
              <w:t>3.2.1</w:t>
            </w:r>
            <w:r w:rsidRPr="00F737AD">
              <w:rPr>
                <w:rFonts w:cs="Calibri"/>
                <w:szCs w:val="20"/>
                <w:lang w:val="en-GB"/>
              </w:rPr>
              <w:tab/>
            </w:r>
            <w:bookmarkStart w:id="85" w:name="_Hlk536519586"/>
            <w:r w:rsidR="001B59B8" w:rsidRPr="00F737AD">
              <w:rPr>
                <w:rFonts w:cs="Calibri"/>
                <w:szCs w:val="20"/>
                <w:lang w:val="en-GB"/>
              </w:rPr>
              <w:t>Advice services provided to prospective applicants on financing modalities and structuring of proposals</w:t>
            </w:r>
            <w:bookmarkEnd w:id="85"/>
          </w:p>
        </w:tc>
      </w:tr>
      <w:tr w:rsidR="007255C5" w:rsidRPr="0057545E" w:rsidTr="00F737AD">
        <w:trPr>
          <w:trHeight w:val="570"/>
        </w:trPr>
        <w:tc>
          <w:tcPr>
            <w:tcW w:w="3114" w:type="dxa"/>
            <w:vMerge/>
            <w:shd w:val="clear" w:color="auto" w:fill="FFF2CC"/>
          </w:tcPr>
          <w:p w:rsidR="007255C5" w:rsidRPr="00F737AD" w:rsidRDefault="007255C5"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7255C5" w:rsidRPr="00F737AD" w:rsidRDefault="007255C5"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Main partner: D</w:t>
            </w:r>
            <w:r w:rsidR="0012486F" w:rsidRPr="00F737AD">
              <w:rPr>
                <w:rFonts w:cs="Calibri"/>
                <w:sz w:val="19"/>
                <w:szCs w:val="19"/>
                <w:lang w:val="en-GB"/>
              </w:rPr>
              <w:t>BSA (EEFI), DOE</w:t>
            </w:r>
          </w:p>
          <w:p w:rsidR="007255C5" w:rsidRPr="00F737AD" w:rsidRDefault="007255C5" w:rsidP="00F737AD">
            <w:pPr>
              <w:tabs>
                <w:tab w:val="left" w:pos="29"/>
                <w:tab w:val="left" w:pos="1560"/>
              </w:tabs>
              <w:spacing w:after="0"/>
              <w:jc w:val="left"/>
              <w:rPr>
                <w:rFonts w:cs="Calibri"/>
                <w:szCs w:val="20"/>
                <w:lang w:val="en-GB"/>
              </w:rPr>
            </w:pPr>
            <w:r w:rsidRPr="00F737AD">
              <w:rPr>
                <w:rFonts w:cs="Calibri"/>
                <w:szCs w:val="20"/>
                <w:lang w:val="en-GB"/>
              </w:rPr>
              <w:t>Financial institutions, municipalities, private sector (ESCOs; manufacturers and suppliers)</w:t>
            </w:r>
          </w:p>
        </w:tc>
      </w:tr>
      <w:tr w:rsidR="0012486F" w:rsidRPr="0057545E" w:rsidTr="00F737AD">
        <w:trPr>
          <w:trHeight w:val="400"/>
        </w:trPr>
        <w:tc>
          <w:tcPr>
            <w:tcW w:w="9962" w:type="dxa"/>
            <w:gridSpan w:val="2"/>
            <w:shd w:val="clear" w:color="auto" w:fill="D9E2F3"/>
          </w:tcPr>
          <w:p w:rsidR="0012486F" w:rsidRPr="00F737AD" w:rsidRDefault="0012486F" w:rsidP="00F737AD">
            <w:pPr>
              <w:tabs>
                <w:tab w:val="left" w:pos="737"/>
                <w:tab w:val="left" w:pos="1560"/>
              </w:tabs>
              <w:spacing w:after="0"/>
              <w:ind w:left="737" w:hanging="708"/>
              <w:jc w:val="left"/>
              <w:rPr>
                <w:rFonts w:cs="Calibri"/>
                <w:sz w:val="19"/>
                <w:szCs w:val="19"/>
                <w:lang w:val="en-GB"/>
              </w:rPr>
            </w:pPr>
            <w:r w:rsidRPr="00F737AD">
              <w:rPr>
                <w:rFonts w:cs="Calibri"/>
                <w:b/>
                <w:sz w:val="19"/>
                <w:szCs w:val="19"/>
                <w:lang w:val="en-GB"/>
              </w:rPr>
              <w:t>Responsible GEF Implementing agency: DBSA</w:t>
            </w:r>
          </w:p>
        </w:tc>
      </w:tr>
      <w:bookmarkEnd w:id="84"/>
    </w:tbl>
    <w:p w:rsidR="00FF30CB" w:rsidRPr="00F737AD" w:rsidRDefault="00FF30CB" w:rsidP="00FF30CB">
      <w:pPr>
        <w:tabs>
          <w:tab w:val="left" w:pos="1560"/>
        </w:tabs>
        <w:spacing w:after="0"/>
        <w:jc w:val="left"/>
        <w:rPr>
          <w:rFonts w:cs="Calibri"/>
          <w:szCs w:val="20"/>
          <w:lang w:val="en-GB"/>
        </w:rPr>
      </w:pPr>
    </w:p>
    <w:p w:rsidR="00FF30CB" w:rsidRPr="00F737AD" w:rsidRDefault="00FF30CB" w:rsidP="004211D6">
      <w:pPr>
        <w:tabs>
          <w:tab w:val="left" w:pos="1560"/>
        </w:tabs>
        <w:spacing w:after="0"/>
        <w:rPr>
          <w:rFonts w:cs="Calibri"/>
          <w:szCs w:val="20"/>
          <w:lang w:val="en-GB"/>
        </w:rPr>
      </w:pPr>
      <w:bookmarkStart w:id="86" w:name="_Hlk4672328"/>
      <w:r w:rsidRPr="00F737AD">
        <w:rPr>
          <w:rFonts w:cs="Calibri"/>
          <w:szCs w:val="20"/>
          <w:lang w:val="en-GB"/>
        </w:rPr>
        <w:t>The Project will supplement and/or continue the funding provided through GIZ-supported programmes (street lighting retrofits, V- NAMA) as well as the National Budget (DoE municipal funding for energy efficiency)</w:t>
      </w:r>
      <w:r w:rsidR="005C107C" w:rsidRPr="00F737AD">
        <w:rPr>
          <w:rFonts w:cs="Calibri"/>
          <w:szCs w:val="20"/>
          <w:lang w:val="en-GB"/>
        </w:rPr>
        <w:t>.</w:t>
      </w:r>
      <w:r w:rsidRPr="00F737AD">
        <w:rPr>
          <w:rFonts w:cs="Calibri"/>
          <w:szCs w:val="20"/>
          <w:lang w:val="en-GB"/>
        </w:rPr>
        <w:t xml:space="preserve"> The </w:t>
      </w:r>
      <w:r w:rsidR="004211D6" w:rsidRPr="00F737AD">
        <w:rPr>
          <w:rFonts w:cs="Calibri"/>
          <w:szCs w:val="20"/>
          <w:lang w:val="en-GB"/>
        </w:rPr>
        <w:t>Project’s</w:t>
      </w:r>
      <w:r w:rsidR="00FD16F4" w:rsidRPr="00F737AD">
        <w:rPr>
          <w:rFonts w:cs="Calibri"/>
          <w:szCs w:val="20"/>
          <w:lang w:val="en-GB"/>
        </w:rPr>
        <w:t xml:space="preserve"> will help </w:t>
      </w:r>
      <w:r w:rsidR="00FD16F4" w:rsidRPr="00F737AD">
        <w:rPr>
          <w:rFonts w:cs="Calibri"/>
          <w:noProof/>
          <w:szCs w:val="20"/>
          <w:lang w:val="en-GB"/>
        </w:rPr>
        <w:t>set</w:t>
      </w:r>
      <w:r w:rsidR="00E236DA" w:rsidRPr="00F737AD">
        <w:rPr>
          <w:rFonts w:cs="Calibri"/>
          <w:noProof/>
          <w:szCs w:val="20"/>
          <w:lang w:val="en-GB"/>
        </w:rPr>
        <w:t xml:space="preserve"> </w:t>
      </w:r>
      <w:r w:rsidR="00FD16F4" w:rsidRPr="00F737AD">
        <w:rPr>
          <w:rFonts w:cs="Calibri"/>
          <w:noProof/>
          <w:szCs w:val="20"/>
          <w:lang w:val="en-GB"/>
        </w:rPr>
        <w:t>up</w:t>
      </w:r>
      <w:r w:rsidR="00FD16F4" w:rsidRPr="00F737AD">
        <w:rPr>
          <w:rFonts w:cs="Calibri"/>
          <w:szCs w:val="20"/>
          <w:lang w:val="en-GB"/>
        </w:rPr>
        <w:t xml:space="preserve"> an Energy Efficiency</w:t>
      </w:r>
      <w:r w:rsidR="004211D6" w:rsidRPr="00F737AD">
        <w:rPr>
          <w:rFonts w:cs="Calibri"/>
          <w:szCs w:val="20"/>
          <w:lang w:val="en-GB"/>
        </w:rPr>
        <w:t xml:space="preserve"> Financ</w:t>
      </w:r>
      <w:r w:rsidRPr="00F737AD">
        <w:rPr>
          <w:rFonts w:cs="Calibri"/>
          <w:szCs w:val="20"/>
          <w:lang w:val="en-GB"/>
        </w:rPr>
        <w:t>ial</w:t>
      </w:r>
      <w:r w:rsidR="00FD16F4" w:rsidRPr="00F737AD">
        <w:rPr>
          <w:rFonts w:cs="Calibri"/>
          <w:szCs w:val="20"/>
          <w:lang w:val="en-GB"/>
        </w:rPr>
        <w:t xml:space="preserve"> Instrument </w:t>
      </w:r>
      <w:r w:rsidR="004211D6" w:rsidRPr="00F737AD">
        <w:rPr>
          <w:rFonts w:cs="Calibri"/>
          <w:szCs w:val="20"/>
          <w:lang w:val="en-GB"/>
        </w:rPr>
        <w:t>(</w:t>
      </w:r>
      <w:r w:rsidR="00FD16F4" w:rsidRPr="00F737AD">
        <w:rPr>
          <w:rFonts w:cs="Calibri"/>
          <w:szCs w:val="20"/>
          <w:lang w:val="en-GB"/>
        </w:rPr>
        <w:t>EEFI</w:t>
      </w:r>
      <w:r w:rsidR="004211D6" w:rsidRPr="00F737AD">
        <w:rPr>
          <w:rFonts w:cs="Calibri"/>
          <w:szCs w:val="20"/>
          <w:lang w:val="en-GB"/>
        </w:rPr>
        <w:t xml:space="preserve">) </w:t>
      </w:r>
      <w:r w:rsidR="0060724A" w:rsidRPr="00F737AD">
        <w:rPr>
          <w:rFonts w:cs="Calibri"/>
          <w:szCs w:val="20"/>
          <w:lang w:val="en-GB"/>
        </w:rPr>
        <w:t xml:space="preserve">which </w:t>
      </w:r>
      <w:r w:rsidRPr="00F737AD">
        <w:rPr>
          <w:rFonts w:cs="Calibri"/>
          <w:szCs w:val="20"/>
          <w:lang w:val="en-GB"/>
        </w:rPr>
        <w:t xml:space="preserve">is designed to complement current and planned </w:t>
      </w:r>
      <w:r w:rsidR="004211D6" w:rsidRPr="00F737AD">
        <w:rPr>
          <w:rFonts w:cs="Calibri"/>
          <w:szCs w:val="20"/>
          <w:lang w:val="en-GB"/>
        </w:rPr>
        <w:t>these programmes</w:t>
      </w:r>
      <w:r w:rsidRPr="00F737AD">
        <w:rPr>
          <w:rFonts w:cs="Calibri"/>
          <w:szCs w:val="20"/>
          <w:lang w:val="en-GB"/>
        </w:rPr>
        <w:t xml:space="preserve"> without making it dependent on their success.</w:t>
      </w:r>
      <w:r w:rsidR="004211D6" w:rsidRPr="00F737AD">
        <w:rPr>
          <w:rFonts w:cs="Calibri"/>
          <w:szCs w:val="20"/>
          <w:lang w:val="en-GB"/>
        </w:rPr>
        <w:t xml:space="preserve"> A description is provided in </w:t>
      </w:r>
      <w:r w:rsidR="004211D6" w:rsidRPr="00F737AD">
        <w:rPr>
          <w:rFonts w:cs="Calibri"/>
          <w:szCs w:val="20"/>
          <w:lang w:val="en-GB"/>
        </w:rPr>
        <w:fldChar w:fldCharType="begin"/>
      </w:r>
      <w:r w:rsidR="004211D6" w:rsidRPr="00F737AD">
        <w:rPr>
          <w:rFonts w:cs="Calibri"/>
          <w:szCs w:val="20"/>
          <w:lang w:val="en-GB"/>
        </w:rPr>
        <w:instrText xml:space="preserve"> REF _Ref536125228 \h  \* MERGEFORMAT </w:instrText>
      </w:r>
      <w:r w:rsidR="004211D6" w:rsidRPr="00F737AD">
        <w:rPr>
          <w:rFonts w:cs="Calibri"/>
          <w:szCs w:val="20"/>
          <w:lang w:val="en-GB"/>
        </w:rPr>
      </w:r>
      <w:r w:rsidR="004211D6" w:rsidRPr="00F737AD">
        <w:rPr>
          <w:rFonts w:cs="Calibri"/>
          <w:szCs w:val="20"/>
          <w:lang w:val="en-GB"/>
        </w:rPr>
        <w:fldChar w:fldCharType="separate"/>
      </w:r>
      <w:r w:rsidR="005C107C" w:rsidRPr="0057545E">
        <w:rPr>
          <w:rFonts w:ascii="Arial" w:hAnsi="Arial" w:cs="Arial"/>
          <w:color w:val="2E74B5"/>
          <w:sz w:val="18"/>
          <w:lang w:val="en-GB"/>
        </w:rPr>
        <w:t xml:space="preserve">Box </w:t>
      </w:r>
      <w:r w:rsidR="005C107C" w:rsidRPr="0057545E">
        <w:rPr>
          <w:rFonts w:ascii="Arial" w:hAnsi="Arial" w:cs="Arial"/>
          <w:noProof/>
          <w:color w:val="2E74B5"/>
          <w:sz w:val="18"/>
          <w:lang w:val="en-GB"/>
        </w:rPr>
        <w:t>8</w:t>
      </w:r>
      <w:r w:rsidR="004211D6" w:rsidRPr="00F737AD">
        <w:rPr>
          <w:rFonts w:cs="Calibri"/>
          <w:szCs w:val="20"/>
          <w:lang w:val="en-GB"/>
        </w:rPr>
        <w:fldChar w:fldCharType="end"/>
      </w:r>
      <w:r w:rsidR="004211D6" w:rsidRPr="00F737AD">
        <w:rPr>
          <w:rFonts w:cs="Calibri"/>
          <w:szCs w:val="20"/>
          <w:lang w:val="en-GB"/>
        </w:rPr>
        <w:t xml:space="preserve">. </w:t>
      </w:r>
      <w:r w:rsidRPr="00F737AD">
        <w:rPr>
          <w:rFonts w:cs="Calibri"/>
          <w:szCs w:val="20"/>
          <w:lang w:val="en-GB"/>
        </w:rPr>
        <w:t xml:space="preserve">Co-financing requirements are included by default in </w:t>
      </w:r>
      <w:r w:rsidR="005C107C" w:rsidRPr="00F737AD">
        <w:rPr>
          <w:rFonts w:cs="Calibri"/>
          <w:szCs w:val="20"/>
          <w:lang w:val="en-GB"/>
        </w:rPr>
        <w:t>the EEFI</w:t>
      </w:r>
      <w:r w:rsidR="00DA143E" w:rsidRPr="00F737AD">
        <w:rPr>
          <w:rFonts w:cs="Calibri"/>
          <w:szCs w:val="20"/>
          <w:lang w:val="en-GB"/>
        </w:rPr>
        <w:t>. S</w:t>
      </w:r>
      <w:r w:rsidR="00FD16F4" w:rsidRPr="00F737AD">
        <w:rPr>
          <w:rFonts w:cs="Calibri"/>
          <w:szCs w:val="20"/>
          <w:lang w:val="en-GB"/>
        </w:rPr>
        <w:t>ince</w:t>
      </w:r>
      <w:r w:rsidR="00DA143E" w:rsidRPr="00F737AD">
        <w:rPr>
          <w:rFonts w:cs="Calibri"/>
          <w:szCs w:val="20"/>
          <w:lang w:val="en-GB"/>
        </w:rPr>
        <w:t xml:space="preserve"> the EEFI financing</w:t>
      </w:r>
      <w:r w:rsidR="00FD16F4" w:rsidRPr="00F737AD">
        <w:rPr>
          <w:rFonts w:cs="Calibri"/>
          <w:szCs w:val="20"/>
          <w:lang w:val="en-GB"/>
        </w:rPr>
        <w:t xml:space="preserve"> recipients are not known at this stage, </w:t>
      </w:r>
      <w:r w:rsidR="005C107C" w:rsidRPr="00F737AD">
        <w:rPr>
          <w:rFonts w:cs="Calibri"/>
          <w:szCs w:val="20"/>
          <w:lang w:val="en-GB"/>
        </w:rPr>
        <w:t xml:space="preserve">this co-financing </w:t>
      </w:r>
      <w:r w:rsidR="0060724A" w:rsidRPr="00F737AD">
        <w:rPr>
          <w:rFonts w:cs="Calibri"/>
          <w:szCs w:val="20"/>
          <w:lang w:val="en-GB"/>
        </w:rPr>
        <w:t xml:space="preserve">can </w:t>
      </w:r>
      <w:r w:rsidR="00DA143E" w:rsidRPr="00F737AD">
        <w:rPr>
          <w:rFonts w:cs="Calibri"/>
          <w:szCs w:val="20"/>
          <w:lang w:val="en-GB"/>
        </w:rPr>
        <w:t xml:space="preserve">only be </w:t>
      </w:r>
      <w:r w:rsidR="005C107C" w:rsidRPr="00F737AD">
        <w:rPr>
          <w:rFonts w:cs="Calibri"/>
          <w:szCs w:val="20"/>
          <w:lang w:val="en-GB"/>
        </w:rPr>
        <w:t>confirmed</w:t>
      </w:r>
      <w:r w:rsidR="00FD16F4" w:rsidRPr="00F737AD">
        <w:rPr>
          <w:rFonts w:cs="Calibri"/>
          <w:szCs w:val="20"/>
          <w:lang w:val="en-GB"/>
        </w:rPr>
        <w:t xml:space="preserve"> </w:t>
      </w:r>
      <w:r w:rsidR="00DA143E" w:rsidRPr="00F737AD">
        <w:rPr>
          <w:rFonts w:cs="Calibri"/>
          <w:szCs w:val="20"/>
          <w:lang w:val="en-GB"/>
        </w:rPr>
        <w:t xml:space="preserve">during project implementation as part of the agreed package for each applicant. </w:t>
      </w:r>
      <w:r w:rsidR="00927E57" w:rsidRPr="00F737AD">
        <w:rPr>
          <w:rFonts w:cs="Calibri"/>
          <w:szCs w:val="20"/>
          <w:lang w:val="en-GB"/>
        </w:rPr>
        <w:t>The estimated co-financing figures of the Project are given in Section 9.</w:t>
      </w:r>
    </w:p>
    <w:bookmarkEnd w:id="86"/>
    <w:p w:rsidR="00101DC0" w:rsidRPr="00666B27" w:rsidRDefault="00101DC0" w:rsidP="00101DC0">
      <w:pPr>
        <w:spacing w:after="0"/>
        <w:rPr>
          <w:rStyle w:val="Hyperlink"/>
          <w:i/>
          <w:color w:val="auto"/>
          <w:szCs w:val="20"/>
          <w:u w:val="none"/>
          <w:lang w:val="en-GB"/>
        </w:rPr>
      </w:pPr>
    </w:p>
    <w:p w:rsidR="00101DC0" w:rsidRPr="00666B27" w:rsidRDefault="00002746" w:rsidP="00002746">
      <w:pPr>
        <w:tabs>
          <w:tab w:val="left" w:pos="1134"/>
        </w:tabs>
        <w:spacing w:after="0"/>
        <w:rPr>
          <w:rStyle w:val="Hyperlink"/>
          <w:b/>
          <w:color w:val="auto"/>
          <w:szCs w:val="20"/>
          <w:u w:val="none"/>
          <w:lang w:val="en-GB"/>
        </w:rPr>
      </w:pPr>
      <w:r w:rsidRPr="00666B27">
        <w:rPr>
          <w:rStyle w:val="Hyperlink"/>
          <w:b/>
          <w:color w:val="auto"/>
          <w:szCs w:val="20"/>
          <w:u w:val="none"/>
          <w:lang w:val="en-GB"/>
        </w:rPr>
        <w:t>Output 3.1</w:t>
      </w:r>
      <w:r w:rsidRPr="00666B27">
        <w:rPr>
          <w:rStyle w:val="Hyperlink"/>
          <w:b/>
          <w:color w:val="auto"/>
          <w:szCs w:val="20"/>
          <w:u w:val="none"/>
          <w:lang w:val="en-GB"/>
        </w:rPr>
        <w:tab/>
        <w:t>Financial support to municipalities, municipally-owned entities, ESKOM or ESCOs</w:t>
      </w:r>
      <w:r w:rsidR="001B59B8" w:rsidRPr="00666B27">
        <w:rPr>
          <w:rStyle w:val="Hyperlink"/>
          <w:b/>
          <w:color w:val="auto"/>
          <w:szCs w:val="20"/>
          <w:u w:val="none"/>
          <w:lang w:val="en-GB"/>
        </w:rPr>
        <w:t>,</w:t>
      </w:r>
      <w:r w:rsidR="001B59B8" w:rsidRPr="00666B27">
        <w:rPr>
          <w:lang w:val="en-GB"/>
        </w:rPr>
        <w:t xml:space="preserve"> </w:t>
      </w:r>
      <w:r w:rsidR="001B59B8" w:rsidRPr="00666B27">
        <w:rPr>
          <w:rStyle w:val="Hyperlink"/>
          <w:b/>
          <w:color w:val="auto"/>
          <w:szCs w:val="20"/>
          <w:u w:val="none"/>
          <w:lang w:val="en-GB"/>
        </w:rPr>
        <w:t>and local suppliers</w:t>
      </w:r>
    </w:p>
    <w:p w:rsidR="00002746" w:rsidRPr="00666B27" w:rsidRDefault="00002746" w:rsidP="00101DC0">
      <w:pPr>
        <w:spacing w:after="0"/>
        <w:rPr>
          <w:rStyle w:val="Hyperlink"/>
          <w:i/>
          <w:color w:val="auto"/>
          <w:szCs w:val="20"/>
          <w:u w:val="none"/>
          <w:lang w:val="en-GB"/>
        </w:rPr>
      </w:pPr>
    </w:p>
    <w:p w:rsidR="001B59B8" w:rsidRPr="00666B27" w:rsidRDefault="001B59B8" w:rsidP="00101DC0">
      <w:pPr>
        <w:spacing w:after="0"/>
        <w:rPr>
          <w:rStyle w:val="Hyperlink"/>
          <w:i/>
          <w:color w:val="auto"/>
          <w:szCs w:val="20"/>
          <w:u w:val="none"/>
          <w:lang w:val="en-GB"/>
        </w:rPr>
      </w:pPr>
      <w:r w:rsidRPr="00666B27">
        <w:rPr>
          <w:rStyle w:val="Hyperlink"/>
          <w:i/>
          <w:color w:val="auto"/>
          <w:szCs w:val="20"/>
          <w:u w:val="none"/>
          <w:lang w:val="en-GB"/>
        </w:rPr>
        <w:t>Activity 3.1.1</w:t>
      </w:r>
      <w:r w:rsidRPr="00666B27">
        <w:rPr>
          <w:rStyle w:val="Hyperlink"/>
          <w:i/>
          <w:color w:val="auto"/>
          <w:szCs w:val="20"/>
          <w:u w:val="none"/>
          <w:lang w:val="en-GB"/>
        </w:rPr>
        <w:tab/>
        <w:t>EEFI governance structure set up</w:t>
      </w:r>
    </w:p>
    <w:p w:rsidR="00927E57" w:rsidRPr="0057545E" w:rsidRDefault="00927E57" w:rsidP="0012486F">
      <w:pPr>
        <w:spacing w:before="60" w:after="0"/>
        <w:rPr>
          <w:rStyle w:val="Hyperlink"/>
          <w:i/>
          <w:color w:val="auto"/>
          <w:szCs w:val="20"/>
          <w:u w:val="none"/>
          <w:lang w:val="en-GB"/>
        </w:rPr>
      </w:pPr>
      <w:bookmarkStart w:id="87" w:name="_Hlk4672356"/>
      <w:r w:rsidRPr="00927E57">
        <w:rPr>
          <w:rStyle w:val="Hyperlink"/>
          <w:color w:val="auto"/>
          <w:szCs w:val="20"/>
          <w:u w:val="none"/>
          <w:lang w:val="en-GB"/>
        </w:rPr>
        <w:t>With GEF financial support, DBSA will set up the Energy Efficiency Financial instruments (EEFI) that is to provide partial grant financing for end-users in addition to a credit guarantee facility for loans to ESCOs investing in high-efficiency lighting and distribution transformer applications.  The governance structure, operational modality and conditions and requirements for loans and application process will be defined at project inception</w:t>
      </w:r>
      <w:bookmarkEnd w:id="87"/>
      <w:r w:rsidRPr="00927E57">
        <w:rPr>
          <w:rStyle w:val="Hyperlink"/>
          <w:color w:val="auto"/>
          <w:szCs w:val="20"/>
          <w:u w:val="none"/>
          <w:lang w:val="en-GB"/>
        </w:rPr>
        <w:t xml:space="preserve">. EEFI is described in more detail in Box 8. </w:t>
      </w:r>
    </w:p>
    <w:p w:rsidR="001B59B8" w:rsidRPr="00353542" w:rsidRDefault="001B59B8" w:rsidP="00101DC0">
      <w:pPr>
        <w:spacing w:after="0"/>
        <w:rPr>
          <w:rStyle w:val="Hyperlink"/>
          <w:i/>
          <w:color w:val="auto"/>
          <w:szCs w:val="20"/>
          <w:u w:val="none"/>
          <w:lang w:val="en-GB"/>
        </w:rPr>
      </w:pPr>
    </w:p>
    <w:p w:rsidR="00002746" w:rsidRPr="00666B27" w:rsidRDefault="00002746" w:rsidP="00E41DC0">
      <w:pPr>
        <w:spacing w:after="0"/>
        <w:ind w:left="1276" w:hanging="1276"/>
        <w:rPr>
          <w:rStyle w:val="Hyperlink"/>
          <w:i/>
          <w:color w:val="auto"/>
          <w:szCs w:val="20"/>
          <w:u w:val="none"/>
          <w:lang w:val="en-GB"/>
        </w:rPr>
      </w:pPr>
      <w:r w:rsidRPr="003B7D62">
        <w:rPr>
          <w:rStyle w:val="Hyperlink"/>
          <w:i/>
          <w:color w:val="auto"/>
          <w:szCs w:val="20"/>
          <w:u w:val="none"/>
          <w:lang w:val="en-GB"/>
        </w:rPr>
        <w:t>Activity 3.1.</w:t>
      </w:r>
      <w:r w:rsidR="004A78B7" w:rsidRPr="003B7D62">
        <w:rPr>
          <w:rStyle w:val="Hyperlink"/>
          <w:i/>
          <w:color w:val="auto"/>
          <w:szCs w:val="20"/>
          <w:u w:val="none"/>
          <w:lang w:val="en-GB"/>
        </w:rPr>
        <w:t>2</w:t>
      </w:r>
      <w:r w:rsidRPr="00666B27">
        <w:rPr>
          <w:rStyle w:val="Hyperlink"/>
          <w:i/>
          <w:color w:val="auto"/>
          <w:szCs w:val="20"/>
          <w:u w:val="none"/>
          <w:lang w:val="en-GB"/>
        </w:rPr>
        <w:tab/>
      </w:r>
      <w:r w:rsidR="00F06810" w:rsidRPr="00666B27">
        <w:rPr>
          <w:rStyle w:val="Hyperlink"/>
          <w:i/>
          <w:color w:val="auto"/>
          <w:szCs w:val="20"/>
          <w:u w:val="none"/>
          <w:lang w:val="en-GB"/>
        </w:rPr>
        <w:t xml:space="preserve">Financing is provided by EEFI for </w:t>
      </w:r>
      <w:r w:rsidR="00F06810" w:rsidRPr="00666B27">
        <w:rPr>
          <w:rStyle w:val="Hyperlink"/>
          <w:i/>
          <w:noProof/>
          <w:color w:val="auto"/>
          <w:szCs w:val="20"/>
          <w:u w:val="none"/>
          <w:lang w:val="en-GB"/>
        </w:rPr>
        <w:t>high</w:t>
      </w:r>
      <w:r w:rsidR="00E236DA" w:rsidRPr="00666B27">
        <w:rPr>
          <w:rStyle w:val="Hyperlink"/>
          <w:i/>
          <w:noProof/>
          <w:color w:val="auto"/>
          <w:szCs w:val="20"/>
          <w:u w:val="none"/>
          <w:lang w:val="en-GB"/>
        </w:rPr>
        <w:t>-</w:t>
      </w:r>
      <w:r w:rsidR="00F06810" w:rsidRPr="00666B27">
        <w:rPr>
          <w:rStyle w:val="Hyperlink"/>
          <w:i/>
          <w:noProof/>
          <w:color w:val="auto"/>
          <w:szCs w:val="20"/>
          <w:u w:val="none"/>
          <w:lang w:val="en-GB"/>
        </w:rPr>
        <w:t>efficiency</w:t>
      </w:r>
      <w:r w:rsidR="00F06810" w:rsidRPr="00666B27">
        <w:rPr>
          <w:rStyle w:val="Hyperlink"/>
          <w:i/>
          <w:color w:val="auto"/>
          <w:szCs w:val="20"/>
          <w:u w:val="none"/>
          <w:lang w:val="en-GB"/>
        </w:rPr>
        <w:t xml:space="preserve"> lighting and distribution transformers projects</w:t>
      </w:r>
    </w:p>
    <w:p w:rsidR="00927E57" w:rsidRPr="00F737AD" w:rsidRDefault="00927E57" w:rsidP="00927E57">
      <w:pPr>
        <w:tabs>
          <w:tab w:val="left" w:pos="1560"/>
        </w:tabs>
        <w:spacing w:beforeLines="60" w:before="144" w:after="0"/>
        <w:rPr>
          <w:rFonts w:cs="Calibri"/>
          <w:szCs w:val="20"/>
          <w:lang w:val="en-GB"/>
        </w:rPr>
      </w:pPr>
      <w:bookmarkStart w:id="88" w:name="_Hlk4672416"/>
      <w:r w:rsidRPr="00F737AD">
        <w:rPr>
          <w:rFonts w:cs="Calibri"/>
          <w:szCs w:val="20"/>
          <w:lang w:val="en-GB"/>
        </w:rPr>
        <w:t xml:space="preserve">The main function of the Project’s EEFI is to make grants and/or a credit guarantee facility available as co-financing for a) LED street lighting and LED lighting (for application in buildings), and b) high-efficiency distribution transformer projects.  </w:t>
      </w:r>
    </w:p>
    <w:p w:rsidR="00927E57" w:rsidRPr="00F737AD" w:rsidRDefault="00927E57" w:rsidP="00927E57">
      <w:pPr>
        <w:tabs>
          <w:tab w:val="left" w:pos="1560"/>
        </w:tabs>
        <w:spacing w:beforeLines="60" w:before="144" w:after="0"/>
        <w:rPr>
          <w:rFonts w:cs="Calibri"/>
          <w:szCs w:val="20"/>
          <w:lang w:val="en-GB"/>
        </w:rPr>
      </w:pPr>
      <w:r w:rsidRPr="00F737AD">
        <w:rPr>
          <w:rFonts w:cs="Calibri"/>
          <w:szCs w:val="20"/>
          <w:lang w:val="en-GB"/>
        </w:rPr>
        <w:t xml:space="preserve">The main targeted group of EEFI consists of the public sector end-recipients </w:t>
      </w:r>
      <w:r w:rsidRPr="00F737AD">
        <w:rPr>
          <w:rFonts w:cs="Calibri"/>
          <w:noProof/>
          <w:szCs w:val="20"/>
          <w:lang w:val="en-GB"/>
        </w:rPr>
        <w:t>is formed by</w:t>
      </w:r>
      <w:r w:rsidRPr="00F737AD">
        <w:rPr>
          <w:rFonts w:cs="Calibri"/>
          <w:szCs w:val="20"/>
          <w:lang w:val="en-GB"/>
        </w:rPr>
        <w:t xml:space="preserve"> municipalities or municipally-owned entities, Eskom and ESCOs. A condition for the disbursement of </w:t>
      </w:r>
      <w:r w:rsidRPr="00F737AD">
        <w:rPr>
          <w:rFonts w:cs="Calibri"/>
          <w:noProof/>
          <w:szCs w:val="20"/>
          <w:lang w:val="en-GB"/>
        </w:rPr>
        <w:t>EEFI’s</w:t>
      </w:r>
      <w:r w:rsidRPr="00F737AD">
        <w:rPr>
          <w:rFonts w:cs="Calibri"/>
          <w:szCs w:val="20"/>
          <w:lang w:val="en-GB"/>
        </w:rPr>
        <w:t xml:space="preserve"> financing for a project will be the sourcing and partial disbursement of co-financing by the applicant. The level of </w:t>
      </w:r>
      <w:r w:rsidRPr="00F737AD">
        <w:rPr>
          <w:rFonts w:cs="Calibri"/>
          <w:noProof/>
          <w:szCs w:val="20"/>
          <w:lang w:val="en-GB"/>
        </w:rPr>
        <w:t>co-financing</w:t>
      </w:r>
      <w:r w:rsidRPr="00F737AD">
        <w:rPr>
          <w:rFonts w:cs="Calibri"/>
          <w:szCs w:val="20"/>
          <w:lang w:val="en-GB"/>
        </w:rPr>
        <w:t xml:space="preserve"> of the Instrument will depend on the type of technology (street lighting, residential lighting, lighting in public buildings, distribution transformers</w:t>
      </w:r>
      <w:r w:rsidRPr="0057545E">
        <w:rPr>
          <w:rStyle w:val="FootnoteReference"/>
          <w:szCs w:val="20"/>
          <w:lang w:val="en-GB"/>
        </w:rPr>
        <w:footnoteReference w:id="11"/>
      </w:r>
      <w:r w:rsidRPr="00F737AD">
        <w:rPr>
          <w:rFonts w:cs="Calibri"/>
          <w:szCs w:val="20"/>
          <w:lang w:val="en-GB"/>
        </w:rPr>
        <w:t xml:space="preserve">) and type of recipient (small or metro municipality, with or without ESCO involvement) and may range between four and eight  for grants and a guarantee of between 50 % and 75% for eligible loans to ESCOs. Co-financing funds may include other loans to ESCOs (e.g. through IDC), internal budgets of municipalities/ESKOM, credit lines from DBSA to municipalities or other private financial institutions loans. </w:t>
      </w:r>
    </w:p>
    <w:p w:rsidR="00927E57" w:rsidRPr="00F737AD" w:rsidRDefault="00927E57" w:rsidP="00927E57">
      <w:pPr>
        <w:tabs>
          <w:tab w:val="left" w:pos="1560"/>
        </w:tabs>
        <w:spacing w:beforeLines="60" w:before="144" w:after="0"/>
        <w:rPr>
          <w:rFonts w:cs="Calibri"/>
          <w:szCs w:val="20"/>
          <w:lang w:val="en-GB"/>
        </w:rPr>
      </w:pPr>
      <w:bookmarkStart w:id="89" w:name="_Hlk4672443"/>
      <w:r w:rsidRPr="00F737AD">
        <w:rPr>
          <w:rFonts w:cs="Calibri"/>
          <w:szCs w:val="20"/>
          <w:lang w:val="en-GB"/>
        </w:rPr>
        <w:t xml:space="preserve">The EEFI can provide bridge finance for the mass-procurement of residential LED lamps, working in collaboration with existing energy programs of the municipalities and/or lighting retailers. Implementing such a mass-procurement program will further reduce the price of LED lights and pushes the market to adapt to these prices.  In the programme, LED lamps will be sold at-cost to interested municipalities/distributors. The project will seek to integrate with existing energy programs of one or more municipalities (e.g. </w:t>
      </w:r>
      <w:proofErr w:type="spellStart"/>
      <w:r w:rsidRPr="00F737AD">
        <w:rPr>
          <w:rFonts w:cs="Calibri"/>
          <w:szCs w:val="20"/>
          <w:lang w:val="en-GB"/>
        </w:rPr>
        <w:t>Shisa</w:t>
      </w:r>
      <w:proofErr w:type="spellEnd"/>
      <w:r w:rsidRPr="00F737AD">
        <w:rPr>
          <w:rFonts w:cs="Calibri"/>
          <w:szCs w:val="20"/>
          <w:lang w:val="en-GB"/>
        </w:rPr>
        <w:t xml:space="preserve"> Solar in Durban or the Smart metering program in Johannesburg) to support the mass rollout of LED lamps to residential users. Should the program for residential users be successful, the Project will seek to support these sectors through a municipal utility implementation and financing program, such as an on-bill financing mechanism and relatively low co-financing multiplier.</w:t>
      </w:r>
    </w:p>
    <w:bookmarkEnd w:id="88"/>
    <w:p w:rsidR="00927E57" w:rsidRPr="00F737AD" w:rsidRDefault="00927E57" w:rsidP="00927E57">
      <w:pPr>
        <w:tabs>
          <w:tab w:val="left" w:pos="1134"/>
        </w:tabs>
        <w:spacing w:beforeLines="60" w:before="144" w:after="0"/>
        <w:rPr>
          <w:rFonts w:cs="Calibri"/>
          <w:szCs w:val="20"/>
          <w:lang w:val="en-GB"/>
        </w:rPr>
      </w:pPr>
      <w:r w:rsidRPr="00F737AD">
        <w:rPr>
          <w:rFonts w:cs="Calibri"/>
          <w:szCs w:val="20"/>
          <w:lang w:val="en-GB"/>
        </w:rPr>
        <w:t xml:space="preserve">Although not the main target group, it may be considered during project implementation, to provide through EEFI for one or more companies to set up or expand a local production facility of innovative LED products, and to transformer manufacturers to upgrade their production lines to produce low-loss transformers and/or the production of transformers using vegetable oil (instead of mineral oils).  </w:t>
      </w:r>
    </w:p>
    <w:p w:rsidR="00BB1E93" w:rsidRPr="00F737AD" w:rsidRDefault="00BB1E93" w:rsidP="00927E57">
      <w:pPr>
        <w:tabs>
          <w:tab w:val="left" w:pos="1134"/>
        </w:tabs>
        <w:spacing w:beforeLines="60" w:before="144" w:after="0"/>
        <w:rPr>
          <w:rFonts w:cs="Calibri"/>
          <w:szCs w:val="20"/>
          <w:lang w:val="en-GB"/>
        </w:rPr>
      </w:pPr>
      <w:r w:rsidRPr="00F737AD">
        <w:rPr>
          <w:rFonts w:cs="Calibri"/>
          <w:szCs w:val="20"/>
          <w:lang w:val="en-GB"/>
        </w:rPr>
        <w:t>The same applies to commercial building owners. However, good arguments may raise to expand EEFI’s target clientele. The decision to expand the scope of EEFI to recipients beyond the sphere of municipalities and municipalities-ESCOs would be taken by the DBSA as Fund Manager (in consultation with the Steering Committee). As in other cases, EEFI financing will require substantial third-party co-financing of the project.</w:t>
      </w:r>
    </w:p>
    <w:bookmarkEnd w:id="89"/>
    <w:p w:rsidR="00002746" w:rsidRPr="0057545E" w:rsidRDefault="003A2690" w:rsidP="00981C37">
      <w:pPr>
        <w:spacing w:after="0"/>
        <w:rPr>
          <w:rStyle w:val="Hyperlink"/>
          <w:i/>
          <w:color w:val="auto"/>
          <w:szCs w:val="20"/>
          <w:u w:val="none"/>
          <w:lang w:val="en-GB"/>
        </w:rPr>
      </w:pPr>
      <w:r>
        <w:rPr>
          <w:noProof/>
        </w:rPr>
        <w:lastRenderedPageBreak/>
        <mc:AlternateContent>
          <mc:Choice Requires="wps">
            <w:drawing>
              <wp:anchor distT="45720" distB="45720" distL="144145" distR="144145" simplePos="0" relativeHeight="251652096" behindDoc="1" locked="0" layoutInCell="1" allowOverlap="1">
                <wp:simplePos x="0" y="0"/>
                <wp:positionH relativeFrom="margin">
                  <wp:posOffset>-107315</wp:posOffset>
                </wp:positionH>
                <wp:positionV relativeFrom="margin">
                  <wp:align>top</wp:align>
                </wp:positionV>
                <wp:extent cx="6508115" cy="8218170"/>
                <wp:effectExtent l="0" t="0" r="0" b="0"/>
                <wp:wrapTight wrapText="bothSides">
                  <wp:wrapPolygon edited="0">
                    <wp:start x="0" y="0"/>
                    <wp:lineTo x="0" y="21530"/>
                    <wp:lineTo x="21560" y="21530"/>
                    <wp:lineTo x="21560" y="0"/>
                    <wp:lineTo x="0" y="0"/>
                  </wp:wrapPolygon>
                </wp:wrapTight>
                <wp:docPr id="8326"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08115" cy="8218170"/>
                        </a:xfrm>
                        <a:prstGeom prst="rect">
                          <a:avLst/>
                        </a:prstGeom>
                        <a:solidFill>
                          <a:srgbClr val="ED7D31">
                            <a:lumMod val="20000"/>
                            <a:lumOff val="80000"/>
                          </a:srgbClr>
                        </a:solidFill>
                        <a:ln>
                          <a:noFill/>
                        </a:ln>
                      </wps:spPr>
                      <wps:txbx>
                        <w:txbxContent>
                          <w:p w:rsidR="00540FEA" w:rsidRDefault="00540FEA" w:rsidP="00FD16F4">
                            <w:pPr>
                              <w:pStyle w:val="Caption"/>
                              <w:tabs>
                                <w:tab w:val="left" w:pos="709"/>
                              </w:tabs>
                              <w:rPr>
                                <w:rFonts w:ascii="Arial" w:hAnsi="Arial" w:cs="Arial"/>
                                <w:color w:val="2E74B5"/>
                                <w:sz w:val="18"/>
                              </w:rPr>
                            </w:pPr>
                            <w:bookmarkStart w:id="90" w:name="_Ref536125228"/>
                            <w:bookmarkStart w:id="91" w:name="_Toc17983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8</w:t>
                            </w:r>
                            <w:r w:rsidRPr="00A21E05">
                              <w:rPr>
                                <w:rFonts w:ascii="Arial" w:hAnsi="Arial" w:cs="Arial"/>
                                <w:color w:val="2E74B5"/>
                                <w:sz w:val="18"/>
                              </w:rPr>
                              <w:fldChar w:fldCharType="end"/>
                            </w:r>
                            <w:bookmarkEnd w:id="90"/>
                            <w:r>
                              <w:rPr>
                                <w:rFonts w:ascii="Arial" w:hAnsi="Arial" w:cs="Arial"/>
                                <w:color w:val="2E74B5"/>
                                <w:sz w:val="18"/>
                              </w:rPr>
                              <w:tab/>
                              <w:t>Energy Efficiency Financial Instrument (EEFI) 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bookmarkEnd w:id="91"/>
                            <w:r>
                              <w:rPr>
                                <w:rFonts w:ascii="Arial" w:hAnsi="Arial" w:cs="Arial"/>
                                <w:color w:val="2E74B5"/>
                                <w:sz w:val="18"/>
                              </w:rPr>
                              <w:t>application</w:t>
                            </w:r>
                          </w:p>
                          <w:p w:rsidR="00540FEA" w:rsidRDefault="00540FEA" w:rsidP="00237F51"/>
                          <w:p w:rsidR="00540FEA" w:rsidRPr="002238F0" w:rsidRDefault="00540FEA" w:rsidP="00CC6AD9">
                            <w:pPr>
                              <w:spacing w:after="0"/>
                              <w:rPr>
                                <w:sz w:val="19"/>
                                <w:szCs w:val="19"/>
                              </w:rPr>
                            </w:pPr>
                            <w:r w:rsidRPr="002238F0">
                              <w:rPr>
                                <w:sz w:val="19"/>
                                <w:szCs w:val="19"/>
                              </w:rPr>
                              <w:t xml:space="preserve">The proposed GEF-supported EEFI is outlined in this section. The proposal here described has been based on the analysis of the models, the barriers identified, the feedback from the stakeholders consulted </w:t>
                            </w:r>
                            <w:r>
                              <w:rPr>
                                <w:sz w:val="19"/>
                                <w:szCs w:val="19"/>
                              </w:rPr>
                              <w:t>during</w:t>
                            </w:r>
                            <w:r w:rsidRPr="002238F0">
                              <w:rPr>
                                <w:sz w:val="19"/>
                                <w:szCs w:val="19"/>
                              </w:rPr>
                              <w:t xml:space="preserve"> the PPG (project preparation) phase. The GEF EEFI’s main function is that of a partial funding facility, of which the </w:t>
                            </w:r>
                            <w:r>
                              <w:rPr>
                                <w:sz w:val="19"/>
                                <w:szCs w:val="19"/>
                              </w:rPr>
                              <w:t>direct and indirect beneficiaries</w:t>
                            </w:r>
                            <w:r w:rsidRPr="002238F0">
                              <w:rPr>
                                <w:sz w:val="19"/>
                                <w:szCs w:val="19"/>
                              </w:rPr>
                              <w:t xml:space="preserve"> may include the municipalities, municipally-owned entities, ESCOs, ESKOM, and eligible equipment manufacturers. The possibility to implement a concessional (0% interest rate) debt revolving facility has been considered. Its expected outcomes have been analyzed and compared with a grant funding facility. </w:t>
                            </w:r>
                            <w:r>
                              <w:rPr>
                                <w:sz w:val="19"/>
                                <w:szCs w:val="19"/>
                              </w:rPr>
                              <w:t xml:space="preserve">Due to the long-term maturities needed to match the equipment payback as well as associated fund management costs of such debt facility, the results are rather similar to a grant facility with slightly higher co-financing requirements. </w:t>
                            </w:r>
                            <w:r w:rsidRPr="002238F0">
                              <w:rPr>
                                <w:sz w:val="19"/>
                                <w:szCs w:val="19"/>
                              </w:rPr>
                              <w:t xml:space="preserve">The grant funding mechanism is given a higher preference by DBSA due to the similar outcomes, lower operational complexities and higher acceptance by end-users compared to the concessional debt revolving facility. </w:t>
                            </w:r>
                          </w:p>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 xml:space="preserve">For public clients it is recommended that this mechanism complements and supports the existing financing models available, i.e. the standard project development (financing the end-client), or a shared-savings ESCO model (financing the ESCO), as described in Annex E.5. </w:t>
                            </w:r>
                            <w:r>
                              <w:rPr>
                                <w:sz w:val="19"/>
                                <w:szCs w:val="19"/>
                              </w:rPr>
                              <w:t>The support for the shared-savings ESCO model will be in the form of a partial credit guarantee for eligible loans to ESCOs</w:t>
                            </w:r>
                            <w:r w:rsidRPr="00504796">
                              <w:rPr>
                                <w:sz w:val="19"/>
                                <w:szCs w:val="19"/>
                              </w:rPr>
                              <w:t>.</w:t>
                            </w:r>
                            <w:r>
                              <w:rPr>
                                <w:sz w:val="19"/>
                                <w:szCs w:val="19"/>
                              </w:rPr>
                              <w:t xml:space="preserve"> </w:t>
                            </w:r>
                            <w:r w:rsidRPr="00C700E0">
                              <w:rPr>
                                <w:sz w:val="19"/>
                                <w:szCs w:val="19"/>
                              </w:rPr>
                              <w:t xml:space="preserve">The facility </w:t>
                            </w:r>
                            <w:r>
                              <w:rPr>
                                <w:sz w:val="19"/>
                                <w:szCs w:val="19"/>
                              </w:rPr>
                              <w:t xml:space="preserve">will </w:t>
                            </w:r>
                            <w:r w:rsidRPr="00C700E0">
                              <w:rPr>
                                <w:sz w:val="19"/>
                                <w:szCs w:val="19"/>
                              </w:rPr>
                              <w:t xml:space="preserve">also set for the first year of operation a limit on the funding amounts </w:t>
                            </w:r>
                            <w:r>
                              <w:rPr>
                                <w:sz w:val="19"/>
                                <w:szCs w:val="19"/>
                              </w:rPr>
                              <w:t xml:space="preserve">for each mechanism (grant and credit guarantee), </w:t>
                            </w:r>
                            <w:r w:rsidRPr="00C700E0">
                              <w:rPr>
                                <w:sz w:val="19"/>
                                <w:szCs w:val="19"/>
                              </w:rPr>
                              <w:t xml:space="preserve">to avoid concentrating the resources on only one </w:t>
                            </w:r>
                            <w:r>
                              <w:rPr>
                                <w:sz w:val="19"/>
                                <w:szCs w:val="19"/>
                              </w:rPr>
                              <w:t>of them</w:t>
                            </w:r>
                            <w:r w:rsidRPr="00C700E0">
                              <w:rPr>
                                <w:sz w:val="19"/>
                                <w:szCs w:val="19"/>
                              </w:rPr>
                              <w:t>. Depending on the demand from end-clients, unused funds f</w:t>
                            </w:r>
                            <w:r>
                              <w:rPr>
                                <w:sz w:val="19"/>
                                <w:szCs w:val="19"/>
                              </w:rPr>
                              <w:t>rom</w:t>
                            </w:r>
                            <w:r w:rsidRPr="00C700E0">
                              <w:rPr>
                                <w:sz w:val="19"/>
                                <w:szCs w:val="19"/>
                              </w:rPr>
                              <w:t xml:space="preserve"> </w:t>
                            </w:r>
                            <w:r>
                              <w:rPr>
                                <w:sz w:val="19"/>
                                <w:szCs w:val="19"/>
                              </w:rPr>
                              <w:t>a mechanism</w:t>
                            </w:r>
                            <w:r w:rsidRPr="00C700E0">
                              <w:rPr>
                                <w:sz w:val="19"/>
                                <w:szCs w:val="19"/>
                              </w:rPr>
                              <w:t xml:space="preserve"> may be repurposed </w:t>
                            </w:r>
                            <w:r>
                              <w:rPr>
                                <w:sz w:val="19"/>
                                <w:szCs w:val="19"/>
                              </w:rPr>
                              <w:t>in subsequent years</w:t>
                            </w:r>
                            <w:r w:rsidRPr="00C700E0">
                              <w:rPr>
                                <w:sz w:val="19"/>
                                <w:szCs w:val="19"/>
                              </w:rPr>
                              <w:t>.</w:t>
                            </w:r>
                            <w:r>
                              <w:rPr>
                                <w:sz w:val="19"/>
                                <w:szCs w:val="19"/>
                              </w:rPr>
                              <w:t xml:space="preserve"> The funding available for both mechanisms during the first year are discussed in Annex E.6.  </w:t>
                            </w:r>
                            <w:r w:rsidRPr="002238F0">
                              <w:rPr>
                                <w:sz w:val="19"/>
                                <w:szCs w:val="19"/>
                              </w:rPr>
                              <w:t>The facility may also be used to provide bridge finance for the mass procurement of LED lamps for the residential sector (as explained in the main text).</w:t>
                            </w:r>
                          </w:p>
                          <w:p w:rsidR="00540FEA" w:rsidRPr="002238F0" w:rsidRDefault="00540FEA" w:rsidP="00CC6AD9">
                            <w:pPr>
                              <w:spacing w:after="0"/>
                              <w:rPr>
                                <w:sz w:val="19"/>
                                <w:szCs w:val="19"/>
                              </w:rPr>
                            </w:pPr>
                          </w:p>
                          <w:p w:rsidR="00540FEA" w:rsidRPr="002238F0" w:rsidRDefault="00540FEA" w:rsidP="00CC6AD9">
                            <w:pPr>
                              <w:spacing w:after="0"/>
                              <w:rPr>
                                <w:sz w:val="19"/>
                                <w:szCs w:val="19"/>
                              </w:rPr>
                            </w:pPr>
                            <w:bookmarkStart w:id="92" w:name="_Hlk4682722"/>
                            <w:r w:rsidRPr="002238F0">
                              <w:rPr>
                                <w:sz w:val="19"/>
                                <w:szCs w:val="19"/>
                              </w:rPr>
                              <w:t xml:space="preserve">For the EEFI to achieve scale, the funding recipients will be required to co-finance the projects. This co-funding depends on whether a grant mechanism or </w:t>
                            </w:r>
                            <w:r>
                              <w:rPr>
                                <w:sz w:val="19"/>
                                <w:szCs w:val="19"/>
                              </w:rPr>
                              <w:t>guarantee</w:t>
                            </w:r>
                            <w:r w:rsidRPr="002238F0">
                              <w:rPr>
                                <w:sz w:val="19"/>
                                <w:szCs w:val="19"/>
                              </w:rPr>
                              <w:t xml:space="preserve"> mechanism is used and should</w:t>
                            </w:r>
                            <w:r>
                              <w:rPr>
                                <w:sz w:val="19"/>
                                <w:szCs w:val="19"/>
                              </w:rPr>
                              <w:t xml:space="preserve"> initially target</w:t>
                            </w:r>
                            <w:r w:rsidRPr="002238F0">
                              <w:rPr>
                                <w:sz w:val="19"/>
                                <w:szCs w:val="19"/>
                              </w:rPr>
                              <w:t xml:space="preserve"> </w:t>
                            </w:r>
                            <w:r>
                              <w:rPr>
                                <w:sz w:val="19"/>
                                <w:szCs w:val="19"/>
                              </w:rPr>
                              <w:t>eight</w:t>
                            </w:r>
                            <w:r w:rsidRPr="002238F0">
                              <w:rPr>
                                <w:sz w:val="19"/>
                                <w:szCs w:val="19"/>
                              </w:rPr>
                              <w:t xml:space="preserve"> times for a grant instrument</w:t>
                            </w:r>
                            <w:r>
                              <w:rPr>
                                <w:sz w:val="19"/>
                                <w:szCs w:val="19"/>
                              </w:rPr>
                              <w:t xml:space="preserve"> and a ratio of 50% guarantee for qualifying loans to ESCOs</w:t>
                            </w:r>
                            <w:r w:rsidRPr="002238F0">
                              <w:rPr>
                                <w:sz w:val="19"/>
                                <w:szCs w:val="19"/>
                              </w:rPr>
                              <w:t>. However, sh</w:t>
                            </w:r>
                            <w:r>
                              <w:rPr>
                                <w:sz w:val="19"/>
                                <w:szCs w:val="19"/>
                              </w:rPr>
                              <w:t xml:space="preserve">ould it transpire that </w:t>
                            </w:r>
                            <w:r w:rsidRPr="002238F0">
                              <w:rPr>
                                <w:sz w:val="19"/>
                                <w:szCs w:val="19"/>
                              </w:rPr>
                              <w:t>the GEF mechanism funds</w:t>
                            </w:r>
                            <w:r>
                              <w:rPr>
                                <w:sz w:val="19"/>
                                <w:szCs w:val="19"/>
                              </w:rPr>
                              <w:t xml:space="preserve"> are</w:t>
                            </w:r>
                            <w:r w:rsidRPr="002238F0">
                              <w:rPr>
                                <w:sz w:val="19"/>
                                <w:szCs w:val="19"/>
                              </w:rPr>
                              <w:t xml:space="preserve"> not be fully deployed in the first two years of the Project, the co-financing requirement may be </w:t>
                            </w:r>
                            <w:r>
                              <w:rPr>
                                <w:sz w:val="19"/>
                                <w:szCs w:val="19"/>
                              </w:rPr>
                              <w:t>adjusted</w:t>
                            </w:r>
                            <w:r w:rsidRPr="002238F0">
                              <w:rPr>
                                <w:sz w:val="19"/>
                                <w:szCs w:val="19"/>
                              </w:rPr>
                              <w:t xml:space="preserve"> to a minimum of four</w:t>
                            </w:r>
                            <w:r>
                              <w:rPr>
                                <w:sz w:val="19"/>
                                <w:szCs w:val="19"/>
                              </w:rPr>
                              <w:t xml:space="preserve"> and 75%</w:t>
                            </w:r>
                            <w:r w:rsidRPr="002238F0">
                              <w:rPr>
                                <w:sz w:val="19"/>
                                <w:szCs w:val="19"/>
                              </w:rPr>
                              <w:t xml:space="preserve"> respectively. </w:t>
                            </w:r>
                            <w:r>
                              <w:rPr>
                                <w:sz w:val="19"/>
                                <w:szCs w:val="19"/>
                              </w:rPr>
                              <w:t>The co-financing letter from DBSA for EEFI has considered this “worst-case scenario”, which is nonetheless expected to be surpassed during operation of the Fund.</w:t>
                            </w:r>
                          </w:p>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 xml:space="preserve">To ensure the utilization of funds into eligible projects, the EEFI funding agreements shall be structured to include certain conditions precedent to the disbursement. These may include the prior disbursement of third-party loans (if the </w:t>
                            </w:r>
                            <w:r>
                              <w:rPr>
                                <w:sz w:val="19"/>
                                <w:szCs w:val="19"/>
                              </w:rPr>
                              <w:t>beneficiary</w:t>
                            </w:r>
                            <w:r w:rsidRPr="002238F0">
                              <w:rPr>
                                <w:sz w:val="19"/>
                                <w:szCs w:val="19"/>
                              </w:rPr>
                              <w:t xml:space="preserve"> is receiving such for the specific project), or the confirmation from the respective government department on the use of grant funding from one of the government programs. The collaboration with the respective government departments administering the </w:t>
                            </w:r>
                            <w:r>
                              <w:rPr>
                                <w:sz w:val="19"/>
                                <w:szCs w:val="19"/>
                              </w:rPr>
                              <w:t>various programs</w:t>
                            </w:r>
                            <w:r w:rsidRPr="002238F0">
                              <w:rPr>
                                <w:sz w:val="19"/>
                                <w:szCs w:val="19"/>
                              </w:rPr>
                              <w:t xml:space="preserve"> and the EEFI Manager will be essential to ensure a correct use of funds.</w:t>
                            </w:r>
                          </w:p>
                          <w:bookmarkEnd w:id="92"/>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The key performance indicators of the fund</w:t>
                            </w:r>
                            <w:r>
                              <w:rPr>
                                <w:sz w:val="19"/>
                                <w:szCs w:val="19"/>
                              </w:rPr>
                              <w:t xml:space="preserve"> together with</w:t>
                            </w:r>
                            <w:r w:rsidRPr="002238F0">
                              <w:rPr>
                                <w:sz w:val="19"/>
                                <w:szCs w:val="19"/>
                              </w:rPr>
                              <w:t xml:space="preserve"> details on assumption</w:t>
                            </w:r>
                            <w:r>
                              <w:rPr>
                                <w:sz w:val="19"/>
                                <w:szCs w:val="19"/>
                              </w:rPr>
                              <w:t>s</w:t>
                            </w:r>
                            <w:r w:rsidRPr="002238F0">
                              <w:rPr>
                                <w:sz w:val="19"/>
                                <w:szCs w:val="19"/>
                              </w:rPr>
                              <w:t>,</w:t>
                            </w:r>
                            <w:r>
                              <w:rPr>
                                <w:sz w:val="19"/>
                                <w:szCs w:val="19"/>
                              </w:rPr>
                              <w:t xml:space="preserve"> </w:t>
                            </w:r>
                            <w:r w:rsidRPr="002238F0">
                              <w:rPr>
                                <w:sz w:val="19"/>
                                <w:szCs w:val="19"/>
                              </w:rPr>
                              <w:t xml:space="preserve">and base data have been summarized in </w:t>
                            </w:r>
                            <w:r>
                              <w:rPr>
                                <w:sz w:val="19"/>
                                <w:szCs w:val="19"/>
                              </w:rPr>
                              <w:t xml:space="preserve"> in</w:t>
                            </w:r>
                            <w:r w:rsidRPr="002238F0">
                              <w:rPr>
                                <w:sz w:val="19"/>
                                <w:szCs w:val="19"/>
                              </w:rPr>
                              <w:t xml:space="preserve"> Annex E.6)</w:t>
                            </w:r>
                            <w:r>
                              <w:rPr>
                                <w:sz w:val="19"/>
                                <w:szCs w:val="19"/>
                              </w:rPr>
                              <w:t xml:space="preserve"> </w:t>
                            </w:r>
                          </w:p>
                          <w:p w:rsidR="00540FEA" w:rsidRDefault="00540FEA" w:rsidP="00615CB6">
                            <w:pPr>
                              <w:spacing w:after="0"/>
                              <w:rPr>
                                <w:noProof/>
                                <w:sz w:val="19"/>
                                <w:szCs w:val="19"/>
                              </w:rPr>
                            </w:pPr>
                          </w:p>
                          <w:p w:rsidR="00540FEA" w:rsidRDefault="00540FEA" w:rsidP="00615CB6">
                            <w:pPr>
                              <w:spacing w:after="0"/>
                              <w:rPr>
                                <w:noProof/>
                                <w:sz w:val="19"/>
                                <w:szCs w:val="19"/>
                              </w:rPr>
                            </w:pPr>
                            <w:r w:rsidRPr="00676649">
                              <w:rPr>
                                <w:noProof/>
                              </w:rPr>
                              <w:drawing>
                                <wp:inline distT="0" distB="0" distL="0" distR="0">
                                  <wp:extent cx="3108960" cy="1554480"/>
                                  <wp:effectExtent l="0" t="0" r="0" b="0"/>
                                  <wp:docPr id="17"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108960" cy="155448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3149600" cy="155448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149600" cy="1554480"/>
                                          </a:xfrm>
                                          <a:prstGeom prst="rect">
                                            <a:avLst/>
                                          </a:prstGeom>
                                          <a:noFill/>
                                          <a:ln>
                                            <a:noFill/>
                                          </a:ln>
                                        </pic:spPr>
                                      </pic:pic>
                                    </a:graphicData>
                                  </a:graphic>
                                </wp:inline>
                              </w:drawing>
                            </w:r>
                          </w:p>
                          <w:p w:rsidR="00540FEA" w:rsidRDefault="00540FEA" w:rsidP="00615CB6">
                            <w:pPr>
                              <w:spacing w:after="0"/>
                              <w:rPr>
                                <w:noProof/>
                                <w:sz w:val="19"/>
                                <w:szCs w:val="19"/>
                              </w:rPr>
                            </w:pPr>
                          </w:p>
                          <w:p w:rsidR="00540FEA" w:rsidRDefault="00540FEA" w:rsidP="00385212">
                            <w:pPr>
                              <w:spacing w:after="0"/>
                              <w:rPr>
                                <w:noProof/>
                                <w:sz w:val="19"/>
                                <w:szCs w:val="19"/>
                              </w:rPr>
                            </w:pPr>
                            <w:bookmarkStart w:id="93" w:name="_Hlk4682659"/>
                            <w:bookmarkStart w:id="94" w:name="_Hlk4682660"/>
                            <w:bookmarkStart w:id="95" w:name="_Hlk4682661"/>
                            <w:bookmarkStart w:id="96" w:name="_Hlk4682662"/>
                            <w:bookmarkStart w:id="97" w:name="_Hlk4682663"/>
                            <w:bookmarkStart w:id="98" w:name="_Hlk4682664"/>
                            <w:bookmarkStart w:id="99" w:name="_Hlk4682666"/>
                            <w:bookmarkStart w:id="100" w:name="_Hlk4682667"/>
                            <w:bookmarkStart w:id="101" w:name="_Hlk4682668"/>
                            <w:bookmarkStart w:id="102" w:name="_Hlk4682669"/>
                            <w:r w:rsidRPr="00927E57">
                              <w:rPr>
                                <w:noProof/>
                                <w:sz w:val="19"/>
                                <w:szCs w:val="19"/>
                              </w:rPr>
                              <w:t xml:space="preserve">From a purely financial perspective, one aim of an energy efficiency financing mechanism is to create a net positive financial situation for the end-client. In a debt-funded project this is typically achieved through the arrangement of a repayment schedule that matches the expected cost savings that the energy efficiency project will deliver. Based on the cash flow analysis in Annex E.6, the GEF financial mechanism should be able to reach terms of 10+ years if a debt funding system was to be utilized, limiting the rotation of funds and thereby increasing the weight of the fixed fund management costs.  </w:t>
                            </w:r>
                            <w:bookmarkEnd w:id="93"/>
                            <w:bookmarkEnd w:id="94"/>
                            <w:bookmarkEnd w:id="95"/>
                            <w:bookmarkEnd w:id="96"/>
                            <w:bookmarkEnd w:id="97"/>
                            <w:bookmarkEnd w:id="98"/>
                            <w:bookmarkEnd w:id="99"/>
                            <w:bookmarkEnd w:id="100"/>
                            <w:bookmarkEnd w:id="101"/>
                            <w:bookmarkEnd w:id="102"/>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4" o:spid="_x0000_s1029" type="#_x0000_t202" style="position:absolute;left:0;text-align:left;margin-left:-8.45pt;margin-top:0;width:512.45pt;height:647.1pt;z-index:-251664384;visibility:visible;mso-wrap-style:square;mso-width-percent:0;mso-height-percent:0;mso-wrap-distance-left:11.35pt;mso-wrap-distance-top:3.6pt;mso-wrap-distance-right:11.35pt;mso-wrap-distance-bottom:3.6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" fillcolor="#fbe5d6" stroked="f">
                <v:textbox>
                  <w:txbxContent>
                    <w:p w:rsidR="00540FEA" w:rsidRDefault="00540FEA" w:rsidP="00FD16F4">
                      <w:pPr>
                        <w:pStyle w:val="Caption"/>
                        <w:tabs>
                          <w:tab w:val="left" w:pos="709"/>
                        </w:tabs>
                        <w:rPr>
                          <w:rFonts w:ascii="Arial" w:hAnsi="Arial" w:cs="Arial"/>
                          <w:color w:val="2E74B5"/>
                          <w:sz w:val="18"/>
                        </w:rPr>
                      </w:pPr>
                      <w:bookmarkStart w:id="107" w:name="_Ref536125228"/>
                      <w:bookmarkStart w:id="108" w:name="_Toc17983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8</w:t>
                      </w:r>
                      <w:r w:rsidRPr="00A21E05">
                        <w:rPr>
                          <w:rFonts w:ascii="Arial" w:hAnsi="Arial" w:cs="Arial"/>
                          <w:color w:val="2E74B5"/>
                          <w:sz w:val="18"/>
                        </w:rPr>
                        <w:fldChar w:fldCharType="end"/>
                      </w:r>
                      <w:bookmarkEnd w:id="107"/>
                      <w:r>
                        <w:rPr>
                          <w:rFonts w:ascii="Arial" w:hAnsi="Arial" w:cs="Arial"/>
                          <w:color w:val="2E74B5"/>
                          <w:sz w:val="18"/>
                        </w:rPr>
                        <w:tab/>
                        <w:t>Energy Efficiency Financial Instrument (EEFI) 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bookmarkEnd w:id="108"/>
                      <w:r>
                        <w:rPr>
                          <w:rFonts w:ascii="Arial" w:hAnsi="Arial" w:cs="Arial"/>
                          <w:color w:val="2E74B5"/>
                          <w:sz w:val="18"/>
                        </w:rPr>
                        <w:t>application</w:t>
                      </w:r>
                    </w:p>
                    <w:p w:rsidR="00540FEA" w:rsidRDefault="00540FEA" w:rsidP="00237F51"/>
                    <w:p w:rsidR="00540FEA" w:rsidRPr="002238F0" w:rsidRDefault="00540FEA" w:rsidP="00CC6AD9">
                      <w:pPr>
                        <w:spacing w:after="0"/>
                        <w:rPr>
                          <w:sz w:val="19"/>
                          <w:szCs w:val="19"/>
                        </w:rPr>
                      </w:pPr>
                      <w:r w:rsidRPr="002238F0">
                        <w:rPr>
                          <w:sz w:val="19"/>
                          <w:szCs w:val="19"/>
                        </w:rPr>
                        <w:t xml:space="preserve">The proposed GEF-supported EEFI is outlined in this section. The proposal here described has been based on the analysis of the models, the barriers identified, the feedback from the stakeholders consulted </w:t>
                      </w:r>
                      <w:r>
                        <w:rPr>
                          <w:sz w:val="19"/>
                          <w:szCs w:val="19"/>
                        </w:rPr>
                        <w:t>during</w:t>
                      </w:r>
                      <w:r w:rsidRPr="002238F0">
                        <w:rPr>
                          <w:sz w:val="19"/>
                          <w:szCs w:val="19"/>
                        </w:rPr>
                        <w:t xml:space="preserve"> the PPG (project preparation) phase. The GEF EEFI’s main function is that of a partial funding facility, of which the </w:t>
                      </w:r>
                      <w:r>
                        <w:rPr>
                          <w:sz w:val="19"/>
                          <w:szCs w:val="19"/>
                        </w:rPr>
                        <w:t>direct and indirect beneficiaries</w:t>
                      </w:r>
                      <w:r w:rsidRPr="002238F0">
                        <w:rPr>
                          <w:sz w:val="19"/>
                          <w:szCs w:val="19"/>
                        </w:rPr>
                        <w:t xml:space="preserve"> may include the municipalities, municipally-owned entities, ESCOs, ESKOM, and eligible equipment manufacturers. The possibility to implement a concessional (0% interest rate) debt revolving facility has been considered. Its expected outcomes have been analyzed and compared with a grant funding facility. </w:t>
                      </w:r>
                      <w:r>
                        <w:rPr>
                          <w:sz w:val="19"/>
                          <w:szCs w:val="19"/>
                        </w:rPr>
                        <w:t xml:space="preserve">Due to the long-term maturities needed to match the equipment payback as well as associated fund management costs of such debt facility, the results are rather similar to a grant facility with slightly higher co-financing requirements. </w:t>
                      </w:r>
                      <w:r w:rsidRPr="002238F0">
                        <w:rPr>
                          <w:sz w:val="19"/>
                          <w:szCs w:val="19"/>
                        </w:rPr>
                        <w:t xml:space="preserve">The grant funding mechanism is given a higher preference by DBSA due to the similar outcomes, lower operational complexities and higher acceptance by end-users compared to the concessional debt revolving facility. </w:t>
                      </w:r>
                    </w:p>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 xml:space="preserve">For public clients it is recommended that this mechanism complements and supports the existing financing models available, i.e. the standard project development (financing the end-client), or a shared-savings ESCO model (financing the ESCO), as described in Annex E.5. </w:t>
                      </w:r>
                      <w:r>
                        <w:rPr>
                          <w:sz w:val="19"/>
                          <w:szCs w:val="19"/>
                        </w:rPr>
                        <w:t>The support for the shared-savings ESCO model will be in the form of a partial credit guarantee for eligible loans to ESCOs</w:t>
                      </w:r>
                      <w:r w:rsidRPr="00504796">
                        <w:rPr>
                          <w:sz w:val="19"/>
                          <w:szCs w:val="19"/>
                        </w:rPr>
                        <w:t>.</w:t>
                      </w:r>
                      <w:r>
                        <w:rPr>
                          <w:sz w:val="19"/>
                          <w:szCs w:val="19"/>
                        </w:rPr>
                        <w:t xml:space="preserve"> </w:t>
                      </w:r>
                      <w:r w:rsidRPr="00C700E0">
                        <w:rPr>
                          <w:sz w:val="19"/>
                          <w:szCs w:val="19"/>
                        </w:rPr>
                        <w:t xml:space="preserve">The facility </w:t>
                      </w:r>
                      <w:r>
                        <w:rPr>
                          <w:sz w:val="19"/>
                          <w:szCs w:val="19"/>
                        </w:rPr>
                        <w:t xml:space="preserve">will </w:t>
                      </w:r>
                      <w:r w:rsidRPr="00C700E0">
                        <w:rPr>
                          <w:sz w:val="19"/>
                          <w:szCs w:val="19"/>
                        </w:rPr>
                        <w:t xml:space="preserve">also set for the first year of operation a limit on the funding amounts </w:t>
                      </w:r>
                      <w:r>
                        <w:rPr>
                          <w:sz w:val="19"/>
                          <w:szCs w:val="19"/>
                        </w:rPr>
                        <w:t xml:space="preserve">for each mechanism (grant and credit guarantee), </w:t>
                      </w:r>
                      <w:r w:rsidRPr="00C700E0">
                        <w:rPr>
                          <w:sz w:val="19"/>
                          <w:szCs w:val="19"/>
                        </w:rPr>
                        <w:t xml:space="preserve">to avoid concentrating the resources on only one </w:t>
                      </w:r>
                      <w:r>
                        <w:rPr>
                          <w:sz w:val="19"/>
                          <w:szCs w:val="19"/>
                        </w:rPr>
                        <w:t>of them</w:t>
                      </w:r>
                      <w:r w:rsidRPr="00C700E0">
                        <w:rPr>
                          <w:sz w:val="19"/>
                          <w:szCs w:val="19"/>
                        </w:rPr>
                        <w:t>. Depending on the demand from end-clients, unused funds f</w:t>
                      </w:r>
                      <w:r>
                        <w:rPr>
                          <w:sz w:val="19"/>
                          <w:szCs w:val="19"/>
                        </w:rPr>
                        <w:t>rom</w:t>
                      </w:r>
                      <w:r w:rsidRPr="00C700E0">
                        <w:rPr>
                          <w:sz w:val="19"/>
                          <w:szCs w:val="19"/>
                        </w:rPr>
                        <w:t xml:space="preserve"> </w:t>
                      </w:r>
                      <w:r>
                        <w:rPr>
                          <w:sz w:val="19"/>
                          <w:szCs w:val="19"/>
                        </w:rPr>
                        <w:t>a mechanism</w:t>
                      </w:r>
                      <w:r w:rsidRPr="00C700E0">
                        <w:rPr>
                          <w:sz w:val="19"/>
                          <w:szCs w:val="19"/>
                        </w:rPr>
                        <w:t xml:space="preserve"> may be repurposed </w:t>
                      </w:r>
                      <w:r>
                        <w:rPr>
                          <w:sz w:val="19"/>
                          <w:szCs w:val="19"/>
                        </w:rPr>
                        <w:t>in subsequent years</w:t>
                      </w:r>
                      <w:r w:rsidRPr="00C700E0">
                        <w:rPr>
                          <w:sz w:val="19"/>
                          <w:szCs w:val="19"/>
                        </w:rPr>
                        <w:t>.</w:t>
                      </w:r>
                      <w:r>
                        <w:rPr>
                          <w:sz w:val="19"/>
                          <w:szCs w:val="19"/>
                        </w:rPr>
                        <w:t xml:space="preserve"> The funding available for both mechanisms during the first year are discussed in Annex E.6.  </w:t>
                      </w:r>
                      <w:r w:rsidRPr="002238F0">
                        <w:rPr>
                          <w:sz w:val="19"/>
                          <w:szCs w:val="19"/>
                        </w:rPr>
                        <w:t>The facility may also be used to provide bridge finance for the mass procurement of LED lamps for the residential sector (as explained in the main text).</w:t>
                      </w:r>
                    </w:p>
                    <w:p w:rsidR="00540FEA" w:rsidRPr="002238F0" w:rsidRDefault="00540FEA" w:rsidP="00CC6AD9">
                      <w:pPr>
                        <w:spacing w:after="0"/>
                        <w:rPr>
                          <w:sz w:val="19"/>
                          <w:szCs w:val="19"/>
                        </w:rPr>
                      </w:pPr>
                    </w:p>
                    <w:p w:rsidR="00540FEA" w:rsidRPr="002238F0" w:rsidRDefault="00540FEA" w:rsidP="00CC6AD9">
                      <w:pPr>
                        <w:spacing w:after="0"/>
                        <w:rPr>
                          <w:sz w:val="19"/>
                          <w:szCs w:val="19"/>
                        </w:rPr>
                      </w:pPr>
                      <w:bookmarkStart w:id="109" w:name="_Hlk4682722"/>
                      <w:r w:rsidRPr="002238F0">
                        <w:rPr>
                          <w:sz w:val="19"/>
                          <w:szCs w:val="19"/>
                        </w:rPr>
                        <w:t xml:space="preserve">For the EEFI to achieve scale, the funding recipients will be required to co-finance the projects. This co-funding depends on whether a grant mechanism or </w:t>
                      </w:r>
                      <w:r>
                        <w:rPr>
                          <w:sz w:val="19"/>
                          <w:szCs w:val="19"/>
                        </w:rPr>
                        <w:t>guarantee</w:t>
                      </w:r>
                      <w:r w:rsidRPr="002238F0">
                        <w:rPr>
                          <w:sz w:val="19"/>
                          <w:szCs w:val="19"/>
                        </w:rPr>
                        <w:t xml:space="preserve"> mechanism is used and should</w:t>
                      </w:r>
                      <w:r>
                        <w:rPr>
                          <w:sz w:val="19"/>
                          <w:szCs w:val="19"/>
                        </w:rPr>
                        <w:t xml:space="preserve"> initially target</w:t>
                      </w:r>
                      <w:r w:rsidRPr="002238F0">
                        <w:rPr>
                          <w:sz w:val="19"/>
                          <w:szCs w:val="19"/>
                        </w:rPr>
                        <w:t xml:space="preserve"> </w:t>
                      </w:r>
                      <w:r>
                        <w:rPr>
                          <w:sz w:val="19"/>
                          <w:szCs w:val="19"/>
                        </w:rPr>
                        <w:t>eight</w:t>
                      </w:r>
                      <w:r w:rsidRPr="002238F0">
                        <w:rPr>
                          <w:sz w:val="19"/>
                          <w:szCs w:val="19"/>
                        </w:rPr>
                        <w:t xml:space="preserve"> times for a grant instrument</w:t>
                      </w:r>
                      <w:r>
                        <w:rPr>
                          <w:sz w:val="19"/>
                          <w:szCs w:val="19"/>
                        </w:rPr>
                        <w:t xml:space="preserve"> and a ratio of 50% guarantee for qualifying loans to ESCOs</w:t>
                      </w:r>
                      <w:r w:rsidRPr="002238F0">
                        <w:rPr>
                          <w:sz w:val="19"/>
                          <w:szCs w:val="19"/>
                        </w:rPr>
                        <w:t>. However, sh</w:t>
                      </w:r>
                      <w:r>
                        <w:rPr>
                          <w:sz w:val="19"/>
                          <w:szCs w:val="19"/>
                        </w:rPr>
                        <w:t xml:space="preserve">ould it transpire that </w:t>
                      </w:r>
                      <w:r w:rsidRPr="002238F0">
                        <w:rPr>
                          <w:sz w:val="19"/>
                          <w:szCs w:val="19"/>
                        </w:rPr>
                        <w:t>the GEF mechanism funds</w:t>
                      </w:r>
                      <w:r>
                        <w:rPr>
                          <w:sz w:val="19"/>
                          <w:szCs w:val="19"/>
                        </w:rPr>
                        <w:t xml:space="preserve"> are</w:t>
                      </w:r>
                      <w:r w:rsidRPr="002238F0">
                        <w:rPr>
                          <w:sz w:val="19"/>
                          <w:szCs w:val="19"/>
                        </w:rPr>
                        <w:t xml:space="preserve"> not be fully deployed in the first two years of the Project, the co-financing requirement may be </w:t>
                      </w:r>
                      <w:r>
                        <w:rPr>
                          <w:sz w:val="19"/>
                          <w:szCs w:val="19"/>
                        </w:rPr>
                        <w:t>adjusted</w:t>
                      </w:r>
                      <w:r w:rsidRPr="002238F0">
                        <w:rPr>
                          <w:sz w:val="19"/>
                          <w:szCs w:val="19"/>
                        </w:rPr>
                        <w:t xml:space="preserve"> to a minimum of four</w:t>
                      </w:r>
                      <w:r>
                        <w:rPr>
                          <w:sz w:val="19"/>
                          <w:szCs w:val="19"/>
                        </w:rPr>
                        <w:t xml:space="preserve"> and 75%</w:t>
                      </w:r>
                      <w:r w:rsidRPr="002238F0">
                        <w:rPr>
                          <w:sz w:val="19"/>
                          <w:szCs w:val="19"/>
                        </w:rPr>
                        <w:t xml:space="preserve"> respectively. </w:t>
                      </w:r>
                      <w:r>
                        <w:rPr>
                          <w:sz w:val="19"/>
                          <w:szCs w:val="19"/>
                        </w:rPr>
                        <w:t>The co-financing letter from DBSA for EEFI has considered this “worst-case scenario”, which is nonetheless expected to be surpassed during operation of the Fund.</w:t>
                      </w:r>
                    </w:p>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 xml:space="preserve">To ensure the utilization of funds into eligible projects, the EEFI funding agreements shall be structured to include certain conditions precedent to the disbursement. These may include the prior disbursement of third-party loans (if the </w:t>
                      </w:r>
                      <w:r>
                        <w:rPr>
                          <w:sz w:val="19"/>
                          <w:szCs w:val="19"/>
                        </w:rPr>
                        <w:t>beneficiary</w:t>
                      </w:r>
                      <w:r w:rsidRPr="002238F0">
                        <w:rPr>
                          <w:sz w:val="19"/>
                          <w:szCs w:val="19"/>
                        </w:rPr>
                        <w:t xml:space="preserve"> is receiving such for the specific project), or the confirmation from the respective government department on the use of grant funding from one of the government programs. The collaboration with the respective government departments administering the </w:t>
                      </w:r>
                      <w:r>
                        <w:rPr>
                          <w:sz w:val="19"/>
                          <w:szCs w:val="19"/>
                        </w:rPr>
                        <w:t>various programs</w:t>
                      </w:r>
                      <w:r w:rsidRPr="002238F0">
                        <w:rPr>
                          <w:sz w:val="19"/>
                          <w:szCs w:val="19"/>
                        </w:rPr>
                        <w:t xml:space="preserve"> and the EEFI Manager will be essential to ensure a correct use of funds.</w:t>
                      </w:r>
                    </w:p>
                    <w:bookmarkEnd w:id="109"/>
                    <w:p w:rsidR="00540FEA" w:rsidRPr="002238F0" w:rsidRDefault="00540FEA" w:rsidP="00CC6AD9">
                      <w:pPr>
                        <w:spacing w:after="0"/>
                        <w:rPr>
                          <w:sz w:val="19"/>
                          <w:szCs w:val="19"/>
                        </w:rPr>
                      </w:pPr>
                    </w:p>
                    <w:p w:rsidR="00540FEA" w:rsidRPr="002238F0" w:rsidRDefault="00540FEA" w:rsidP="00CC6AD9">
                      <w:pPr>
                        <w:spacing w:after="0"/>
                        <w:rPr>
                          <w:sz w:val="19"/>
                          <w:szCs w:val="19"/>
                        </w:rPr>
                      </w:pPr>
                      <w:r w:rsidRPr="002238F0">
                        <w:rPr>
                          <w:sz w:val="19"/>
                          <w:szCs w:val="19"/>
                        </w:rPr>
                        <w:t>The key performance indicators of the fund</w:t>
                      </w:r>
                      <w:r>
                        <w:rPr>
                          <w:sz w:val="19"/>
                          <w:szCs w:val="19"/>
                        </w:rPr>
                        <w:t xml:space="preserve"> together with</w:t>
                      </w:r>
                      <w:r w:rsidRPr="002238F0">
                        <w:rPr>
                          <w:sz w:val="19"/>
                          <w:szCs w:val="19"/>
                        </w:rPr>
                        <w:t xml:space="preserve"> details on assumption</w:t>
                      </w:r>
                      <w:r>
                        <w:rPr>
                          <w:sz w:val="19"/>
                          <w:szCs w:val="19"/>
                        </w:rPr>
                        <w:t>s</w:t>
                      </w:r>
                      <w:r w:rsidRPr="002238F0">
                        <w:rPr>
                          <w:sz w:val="19"/>
                          <w:szCs w:val="19"/>
                        </w:rPr>
                        <w:t>,</w:t>
                      </w:r>
                      <w:r>
                        <w:rPr>
                          <w:sz w:val="19"/>
                          <w:szCs w:val="19"/>
                        </w:rPr>
                        <w:t xml:space="preserve"> </w:t>
                      </w:r>
                      <w:r w:rsidRPr="002238F0">
                        <w:rPr>
                          <w:sz w:val="19"/>
                          <w:szCs w:val="19"/>
                        </w:rPr>
                        <w:t xml:space="preserve">and base data have been summarized in </w:t>
                      </w:r>
                      <w:r>
                        <w:rPr>
                          <w:sz w:val="19"/>
                          <w:szCs w:val="19"/>
                        </w:rPr>
                        <w:t xml:space="preserve"> in</w:t>
                      </w:r>
                      <w:r w:rsidRPr="002238F0">
                        <w:rPr>
                          <w:sz w:val="19"/>
                          <w:szCs w:val="19"/>
                        </w:rPr>
                        <w:t xml:space="preserve"> Annex E.6)</w:t>
                      </w:r>
                      <w:r>
                        <w:rPr>
                          <w:sz w:val="19"/>
                          <w:szCs w:val="19"/>
                        </w:rPr>
                        <w:t xml:space="preserve"> </w:t>
                      </w:r>
                    </w:p>
                    <w:p w:rsidR="00540FEA" w:rsidRDefault="00540FEA" w:rsidP="00615CB6">
                      <w:pPr>
                        <w:spacing w:after="0"/>
                        <w:rPr>
                          <w:noProof/>
                          <w:sz w:val="19"/>
                          <w:szCs w:val="19"/>
                        </w:rPr>
                      </w:pPr>
                    </w:p>
                    <w:p w:rsidR="00540FEA" w:rsidRDefault="00540FEA" w:rsidP="00615CB6">
                      <w:pPr>
                        <w:spacing w:after="0"/>
                        <w:rPr>
                          <w:noProof/>
                          <w:sz w:val="19"/>
                          <w:szCs w:val="19"/>
                        </w:rPr>
                      </w:pPr>
                      <w:r w:rsidRPr="00676649">
                        <w:rPr>
                          <w:noProof/>
                        </w:rPr>
                        <w:drawing>
                          <wp:inline distT="0" distB="0" distL="0" distR="0">
                            <wp:extent cx="3108960" cy="1554480"/>
                            <wp:effectExtent l="0" t="0" r="0" b="0"/>
                            <wp:docPr id="17" name="Picture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108960" cy="155448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3149600" cy="1554480"/>
                            <wp:effectExtent l="0" t="0" r="0"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149600" cy="1554480"/>
                                    </a:xfrm>
                                    <a:prstGeom prst="rect">
                                      <a:avLst/>
                                    </a:prstGeom>
                                    <a:noFill/>
                                    <a:ln>
                                      <a:noFill/>
                                    </a:ln>
                                  </pic:spPr>
                                </pic:pic>
                              </a:graphicData>
                            </a:graphic>
                          </wp:inline>
                        </w:drawing>
                      </w:r>
                    </w:p>
                    <w:p w:rsidR="00540FEA" w:rsidRDefault="00540FEA" w:rsidP="00615CB6">
                      <w:pPr>
                        <w:spacing w:after="0"/>
                        <w:rPr>
                          <w:noProof/>
                          <w:sz w:val="19"/>
                          <w:szCs w:val="19"/>
                        </w:rPr>
                      </w:pPr>
                    </w:p>
                    <w:p w:rsidR="00540FEA" w:rsidRDefault="00540FEA" w:rsidP="00385212">
                      <w:pPr>
                        <w:spacing w:after="0"/>
                        <w:rPr>
                          <w:noProof/>
                          <w:sz w:val="19"/>
                          <w:szCs w:val="19"/>
                        </w:rPr>
                      </w:pPr>
                      <w:bookmarkStart w:id="110" w:name="_Hlk4682659"/>
                      <w:bookmarkStart w:id="111" w:name="_Hlk4682660"/>
                      <w:bookmarkStart w:id="112" w:name="_Hlk4682661"/>
                      <w:bookmarkStart w:id="113" w:name="_Hlk4682662"/>
                      <w:bookmarkStart w:id="114" w:name="_Hlk4682663"/>
                      <w:bookmarkStart w:id="115" w:name="_Hlk4682664"/>
                      <w:bookmarkStart w:id="116" w:name="_Hlk4682666"/>
                      <w:bookmarkStart w:id="117" w:name="_Hlk4682667"/>
                      <w:bookmarkStart w:id="118" w:name="_Hlk4682668"/>
                      <w:bookmarkStart w:id="119" w:name="_Hlk4682669"/>
                      <w:r w:rsidRPr="00927E57">
                        <w:rPr>
                          <w:noProof/>
                          <w:sz w:val="19"/>
                          <w:szCs w:val="19"/>
                        </w:rPr>
                        <w:t xml:space="preserve">From a purely financial perspective, one aim of an energy efficiency financing mechanism is to create a net positive financial situation for the end-client. In a debt-funded project this is typically achieved through the arrangement of a repayment schedule that matches the expected cost savings that the energy efficiency project will deliver. Based on the cash flow analysis in Annex E.6, the GEF financial mechanism should be able to reach terms of 10+ years if a debt funding system was to be utilized, limiting the rotation of funds and thereby increasing the weight of the fixed fund management costs.  </w:t>
                      </w:r>
                      <w:bookmarkEnd w:id="110"/>
                      <w:bookmarkEnd w:id="111"/>
                      <w:bookmarkEnd w:id="112"/>
                      <w:bookmarkEnd w:id="113"/>
                      <w:bookmarkEnd w:id="114"/>
                      <w:bookmarkEnd w:id="115"/>
                      <w:bookmarkEnd w:id="116"/>
                      <w:bookmarkEnd w:id="117"/>
                      <w:bookmarkEnd w:id="118"/>
                      <w:bookmarkEnd w:id="119"/>
                    </w:p>
                  </w:txbxContent>
                </v:textbox>
                <w10:wrap type="tight" anchorx="margin" anchory="margin"/>
              </v:shape>
            </w:pict>
          </mc:Fallback>
        </mc:AlternateContent>
      </w:r>
    </w:p>
    <w:p w:rsidR="00002746" w:rsidRPr="0057545E" w:rsidRDefault="003A2690" w:rsidP="00981C37">
      <w:pPr>
        <w:spacing w:after="0"/>
        <w:rPr>
          <w:rStyle w:val="Hyperlink"/>
          <w:i/>
          <w:color w:val="auto"/>
          <w:szCs w:val="20"/>
          <w:u w:val="none"/>
          <w:lang w:val="en-GB"/>
        </w:rPr>
      </w:pPr>
      <w:r>
        <w:rPr>
          <w:noProof/>
        </w:rPr>
        <w:lastRenderedPageBreak/>
        <mc:AlternateContent>
          <mc:Choice Requires="wps">
            <w:drawing>
              <wp:anchor distT="45720" distB="45720" distL="144145" distR="144145" simplePos="0" relativeHeight="251653120" behindDoc="1" locked="0" layoutInCell="1" allowOverlap="1">
                <wp:simplePos x="0" y="0"/>
                <wp:positionH relativeFrom="margin">
                  <wp:align>left</wp:align>
                </wp:positionH>
                <wp:positionV relativeFrom="margin">
                  <wp:align>top</wp:align>
                </wp:positionV>
                <wp:extent cx="6390005" cy="8260080"/>
                <wp:effectExtent l="0" t="0" r="0" b="0"/>
                <wp:wrapTight wrapText="bothSides">
                  <wp:wrapPolygon edited="0">
                    <wp:start x="0" y="0"/>
                    <wp:lineTo x="0" y="21570"/>
                    <wp:lineTo x="21508" y="21570"/>
                    <wp:lineTo x="21508" y="0"/>
                    <wp:lineTo x="0" y="0"/>
                  </wp:wrapPolygon>
                </wp:wrapTight>
                <wp:docPr id="8320"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90005" cy="8260080"/>
                        </a:xfrm>
                        <a:prstGeom prst="rect">
                          <a:avLst/>
                        </a:prstGeom>
                        <a:solidFill>
                          <a:srgbClr val="ED7D31">
                            <a:lumMod val="20000"/>
                            <a:lumOff val="80000"/>
                          </a:srgbClr>
                        </a:solidFill>
                        <a:ln>
                          <a:noFill/>
                        </a:ln>
                      </wps:spPr>
                      <wps:txbx>
                        <w:txbxContent>
                          <w:p w:rsidR="00540FEA" w:rsidRDefault="00540FEA" w:rsidP="00137012">
                            <w:pPr>
                              <w:pStyle w:val="Caption"/>
                              <w:rPr>
                                <w:rFonts w:ascii="Arial" w:hAnsi="Arial" w:cs="Arial"/>
                                <w:color w:val="2E74B5"/>
                                <w:sz w:val="18"/>
                              </w:rPr>
                            </w:pPr>
                            <w:r w:rsidRPr="00A21E05">
                              <w:rPr>
                                <w:rFonts w:ascii="Arial" w:hAnsi="Arial" w:cs="Arial"/>
                                <w:color w:val="2E74B5"/>
                                <w:sz w:val="18"/>
                              </w:rPr>
                              <w:t>Box</w:t>
                            </w:r>
                            <w:r>
                              <w:rPr>
                                <w:rFonts w:ascii="Arial" w:hAnsi="Arial" w:cs="Arial"/>
                                <w:color w:val="2E74B5"/>
                                <w:sz w:val="18"/>
                              </w:rPr>
                              <w:t xml:space="preserve"> 8</w:t>
                            </w:r>
                            <w:r>
                              <w:rPr>
                                <w:rFonts w:ascii="Arial" w:hAnsi="Arial" w:cs="Arial"/>
                                <w:color w:val="2E74B5"/>
                                <w:sz w:val="18"/>
                              </w:rPr>
                              <w:tab/>
                              <w:t>EEFI</w:t>
                            </w:r>
                            <w:r w:rsidRPr="00385212">
                              <w:rPr>
                                <w:rFonts w:ascii="Arial" w:hAnsi="Arial" w:cs="Arial"/>
                                <w:color w:val="2E74B5"/>
                                <w:sz w:val="18"/>
                              </w:rPr>
                              <w:t xml:space="preserve"> </w:t>
                            </w:r>
                            <w:r>
                              <w:rPr>
                                <w:rFonts w:ascii="Arial" w:hAnsi="Arial" w:cs="Arial"/>
                                <w:color w:val="2E74B5"/>
                                <w:sz w:val="18"/>
                              </w:rPr>
                              <w:t>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r>
                              <w:rPr>
                                <w:rFonts w:ascii="Arial" w:hAnsi="Arial" w:cs="Arial"/>
                                <w:color w:val="2E74B5"/>
                                <w:sz w:val="18"/>
                              </w:rPr>
                              <w:t>application (cont’d)</w:t>
                            </w:r>
                          </w:p>
                          <w:p w:rsidR="00540FEA" w:rsidRDefault="00540FEA" w:rsidP="00137012"/>
                          <w:p w:rsidR="00540FEA" w:rsidRPr="0049761C" w:rsidRDefault="00540FEA" w:rsidP="0049761C">
                            <w:pPr>
                              <w:spacing w:after="0"/>
                              <w:rPr>
                                <w:noProof/>
                                <w:sz w:val="19"/>
                                <w:szCs w:val="19"/>
                              </w:rPr>
                            </w:pPr>
                            <w:bookmarkStart w:id="103" w:name="_Hlk4672522"/>
                            <w:r w:rsidRPr="00927E57">
                              <w:rPr>
                                <w:noProof/>
                                <w:sz w:val="19"/>
                                <w:szCs w:val="19"/>
                              </w:rPr>
                              <w:t>The EEFI will also set for the first year of operation a limit on the funding amounts to each type of project, to avoid concentrating the resources on only one type of technology. Depending on the demand from the clients, unused funds for certain technologies may be repurposed to finance other technologies. To ensure the utilization of funds for projects, the co-financing multiplier requirement may be adjusted to a minimum of four (grant funding) and 75% for the credit guarantee facility if the GEF funds for EEFI are not fully deployed in the first two years of the Project. For cash flow details of EEFI under the various models considered, the reader is referred to Annex E.6.</w:t>
                            </w:r>
                          </w:p>
                          <w:p w:rsidR="00540FEA" w:rsidRDefault="00540FEA" w:rsidP="00FD16F4">
                            <w:pPr>
                              <w:spacing w:after="0"/>
                              <w:rPr>
                                <w:noProof/>
                                <w:sz w:val="19"/>
                                <w:szCs w:val="19"/>
                              </w:rPr>
                            </w:pPr>
                          </w:p>
                          <w:p w:rsidR="00540FEA" w:rsidRDefault="00540FEA" w:rsidP="0049761C">
                            <w:pPr>
                              <w:spacing w:after="0"/>
                              <w:rPr>
                                <w:noProof/>
                                <w:sz w:val="19"/>
                                <w:szCs w:val="19"/>
                              </w:rPr>
                            </w:pPr>
                            <w:r w:rsidRPr="00137012">
                              <w:rPr>
                                <w:noProof/>
                                <w:sz w:val="19"/>
                                <w:szCs w:val="19"/>
                              </w:rPr>
                              <w:t xml:space="preserve">Funding is expected to be performed primarily in South African Rands. USD funds will be converted into local currency following </w:t>
                            </w:r>
                            <w:r>
                              <w:rPr>
                                <w:noProof/>
                                <w:sz w:val="19"/>
                                <w:szCs w:val="19"/>
                              </w:rPr>
                              <w:t>funding</w:t>
                            </w:r>
                            <w:r w:rsidRPr="00137012">
                              <w:rPr>
                                <w:noProof/>
                                <w:sz w:val="19"/>
                                <w:szCs w:val="19"/>
                              </w:rPr>
                              <w:t xml:space="preserve"> approval. To reduce operational expenses, the facility will not make use of any currency swap.</w:t>
                            </w:r>
                          </w:p>
                          <w:p w:rsidR="00540FEA" w:rsidRDefault="00540FEA" w:rsidP="0049761C">
                            <w:pPr>
                              <w:spacing w:after="0"/>
                              <w:rPr>
                                <w:noProof/>
                                <w:sz w:val="19"/>
                                <w:szCs w:val="19"/>
                              </w:rPr>
                            </w:pPr>
                          </w:p>
                          <w:p w:rsidR="00540FEA" w:rsidRPr="00F737AD" w:rsidRDefault="00540FEA" w:rsidP="0049761C">
                            <w:pPr>
                              <w:spacing w:after="0"/>
                              <w:rPr>
                                <w:rFonts w:cs="Calibri"/>
                                <w:noProof/>
                                <w:sz w:val="19"/>
                                <w:szCs w:val="19"/>
                              </w:rPr>
                            </w:pPr>
                            <w:r w:rsidRPr="00F737AD">
                              <w:rPr>
                                <w:rFonts w:cs="Calibri"/>
                                <w:noProof/>
                                <w:sz w:val="19"/>
                                <w:szCs w:val="19"/>
                              </w:rPr>
                              <w:t>The eligibility criteria for the projects financed through EEFI is divided in technical aspects and financial aspects.</w:t>
                            </w:r>
                          </w:p>
                          <w:p w:rsidR="00540FEA" w:rsidRPr="00F737AD" w:rsidRDefault="00540FEA" w:rsidP="006A68A3">
                            <w:pPr>
                              <w:pStyle w:val="ListParagraph"/>
                              <w:numPr>
                                <w:ilvl w:val="0"/>
                                <w:numId w:val="44"/>
                              </w:numPr>
                              <w:ind w:left="284" w:hanging="284"/>
                              <w:jc w:val="both"/>
                              <w:rPr>
                                <w:rFonts w:ascii="Calibri" w:hAnsi="Calibri" w:cs="Calibri"/>
                                <w:noProof/>
                                <w:sz w:val="19"/>
                                <w:szCs w:val="19"/>
                              </w:rPr>
                            </w:pPr>
                            <w:r w:rsidRPr="00F737AD">
                              <w:rPr>
                                <w:rFonts w:ascii="Calibri" w:hAnsi="Calibri" w:cs="Calibri"/>
                                <w:noProof/>
                                <w:sz w:val="19"/>
                                <w:szCs w:val="19"/>
                              </w:rPr>
                              <w:t>Technical aspects:</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equipment financed shall meet a set of minimum efficiency requirements. In the case of LED street lighting, this may be a threshold for luminaire efficacy. In the case of transformers, a level to be defined as part of the market study and energy efficiency classification.</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recipient must provide technical documents of the project to validate the use of funds. These include the engineering design documents, plans/maps, bills of quantities, supplier financial proposals and purchase order contract.</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projects may include additional components apart from LED lighting and transformers as long as they are directly connected to the project and do not represent more than 50% of the total project cost. Examples of these additional elements include CCTV equipment installed on the same street-lighting infrastructure, public WiFi equipment, etc.</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projects must comply with all sector norms, standards and legislation.</w:t>
                            </w:r>
                          </w:p>
                          <w:p w:rsidR="00540FEA" w:rsidRPr="00F737AD" w:rsidRDefault="00540FEA" w:rsidP="0049761C">
                            <w:pPr>
                              <w:pStyle w:val="ListParagraph"/>
                              <w:numPr>
                                <w:ilvl w:val="0"/>
                                <w:numId w:val="44"/>
                              </w:numPr>
                              <w:ind w:left="284" w:hanging="284"/>
                              <w:jc w:val="both"/>
                              <w:rPr>
                                <w:rFonts w:ascii="Calibri" w:hAnsi="Calibri" w:cs="Calibri"/>
                                <w:noProof/>
                                <w:sz w:val="19"/>
                                <w:szCs w:val="19"/>
                              </w:rPr>
                            </w:pPr>
                            <w:r w:rsidRPr="00F737AD">
                              <w:rPr>
                                <w:rFonts w:ascii="Calibri" w:hAnsi="Calibri" w:cs="Calibri"/>
                                <w:noProof/>
                                <w:sz w:val="19"/>
                                <w:szCs w:val="19"/>
                              </w:rPr>
                              <w:t>Financial aspects:</w:t>
                            </w:r>
                          </w:p>
                          <w:p w:rsidR="00540FEA" w:rsidRPr="00F737AD" w:rsidRDefault="00540FEA" w:rsidP="0049761C">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The co-financing of funds from EEFI  shall be proven. Projects financed shall receive funding from internal resources or external third-party providers. Projects that receive over 50% of their implementation cost as grant funding shall be deemed ineligible.</w:t>
                            </w:r>
                          </w:p>
                          <w:p w:rsidR="00540FEA" w:rsidRPr="00F737AD" w:rsidRDefault="00540FEA" w:rsidP="0049761C">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Refinancing of existing projects is not eligible.</w:t>
                            </w:r>
                          </w:p>
                          <w:p w:rsidR="00540FEA" w:rsidRPr="00F737AD" w:rsidRDefault="00540FEA" w:rsidP="00927E57">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The price of equipment financed must be consistent with market benchmarks</w:t>
                            </w:r>
                          </w:p>
                          <w:p w:rsidR="00540FEA" w:rsidRPr="00F737AD" w:rsidRDefault="00540FEA" w:rsidP="00CC6AD9">
                            <w:pPr>
                              <w:pStyle w:val="ListParagraph"/>
                              <w:numPr>
                                <w:ilvl w:val="0"/>
                                <w:numId w:val="68"/>
                              </w:numPr>
                              <w:tabs>
                                <w:tab w:val="left" w:pos="567"/>
                              </w:tabs>
                              <w:ind w:left="567" w:hanging="283"/>
                              <w:rPr>
                                <w:rFonts w:ascii="Calibri" w:hAnsi="Calibri" w:cs="Calibri"/>
                                <w:noProof/>
                                <w:sz w:val="19"/>
                                <w:szCs w:val="19"/>
                              </w:rPr>
                            </w:pPr>
                            <w:r w:rsidRPr="00F737AD">
                              <w:rPr>
                                <w:rFonts w:ascii="Calibri" w:hAnsi="Calibri" w:cs="Calibri"/>
                                <w:noProof/>
                                <w:sz w:val="19"/>
                                <w:szCs w:val="19"/>
                              </w:rPr>
                              <w:t>In the case of the mass procurement of LED lamps for the residential sector, equipment from local manufacturers will be favored over projects with imported equipment. This local- equipment preference shall not compromise the economic benefit of the procurement exercise. It is recommended to set a maximum weighting of 20% to this “local-equipment” component, without prejudice of any applicable public procurement localization requirements.</w:t>
                            </w:r>
                          </w:p>
                          <w:p w:rsidR="00540FEA" w:rsidRPr="00F737AD" w:rsidRDefault="00540FEA" w:rsidP="0049761C">
                            <w:pPr>
                              <w:tabs>
                                <w:tab w:val="left" w:pos="567"/>
                              </w:tabs>
                              <w:spacing w:after="0"/>
                              <w:ind w:left="567" w:hanging="283"/>
                              <w:rPr>
                                <w:rFonts w:cs="Calibri"/>
                                <w:noProof/>
                                <w:sz w:val="19"/>
                                <w:szCs w:val="19"/>
                              </w:rPr>
                            </w:pPr>
                          </w:p>
                          <w:p w:rsidR="00540FEA" w:rsidRDefault="00540FEA" w:rsidP="0049761C">
                            <w:pPr>
                              <w:spacing w:after="0"/>
                              <w:rPr>
                                <w:noProof/>
                                <w:sz w:val="19"/>
                                <w:szCs w:val="19"/>
                              </w:rPr>
                            </w:pPr>
                            <w:r w:rsidRPr="00F737AD">
                              <w:rPr>
                                <w:rFonts w:cs="Calibri"/>
                                <w:noProof/>
                                <w:sz w:val="19"/>
                                <w:szCs w:val="19"/>
                              </w:rPr>
                              <w:t>DBSA has recently created a new Climate Finance Unit (CFU) to house its climate finance activities (including GEF projects)  including the management of climate finance mechanisms. The Unit will operationalise a new Climate Finance Facility (with USD 55 million financing provided by the Green Climate Fund, GCF, and other contribitors, incl. DBSA).  The CFF will most likely finance larger infrastructure projects and governed by its own Board, so the EEFI will be complimentary. In fact, in accordance with GEF guidance, EEFI should bee complementary to existing programs, not only DBSA’s but to  other lenders (including</w:t>
                            </w:r>
                            <w:r>
                              <w:rPr>
                                <w:noProof/>
                                <w:sz w:val="19"/>
                                <w:szCs w:val="19"/>
                              </w:rPr>
                              <w:t xml:space="preserve"> IDC and the V-NAMA programme, see Annex E.4 for more details on financing programmes) as well.  However, EEFI will cooperate and exchange information with other programmes with the idea of lowering the blended financing cost for recipients (which are supposed to present co-financing to their project proposals, as mentioned earlier) and </w:t>
                            </w:r>
                            <w:r w:rsidRPr="00F13CB9">
                              <w:rPr>
                                <w:noProof/>
                                <w:sz w:val="19"/>
                                <w:szCs w:val="19"/>
                              </w:rPr>
                              <w:t>to avoid duplication of work</w:t>
                            </w:r>
                            <w:r w:rsidRPr="005A00CF">
                              <w:rPr>
                                <w:noProof/>
                                <w:sz w:val="19"/>
                                <w:szCs w:val="19"/>
                              </w:rPr>
                              <w:t xml:space="preserve">. For this purpose, </w:t>
                            </w:r>
                            <w:r>
                              <w:rPr>
                                <w:noProof/>
                                <w:sz w:val="19"/>
                                <w:szCs w:val="19"/>
                              </w:rPr>
                              <w:t xml:space="preserve">the Working Group on Financing can assist in the </w:t>
                            </w:r>
                            <w:r w:rsidRPr="005A00CF">
                              <w:rPr>
                                <w:noProof/>
                                <w:sz w:val="19"/>
                                <w:szCs w:val="19"/>
                              </w:rPr>
                              <w:t xml:space="preserve"> coordinat</w:t>
                            </w:r>
                            <w:r>
                              <w:rPr>
                                <w:noProof/>
                                <w:sz w:val="19"/>
                                <w:szCs w:val="19"/>
                              </w:rPr>
                              <w:t>ion of</w:t>
                            </w:r>
                            <w:r w:rsidRPr="005A00CF">
                              <w:rPr>
                                <w:noProof/>
                                <w:sz w:val="19"/>
                                <w:szCs w:val="19"/>
                              </w:rPr>
                              <w:t xml:space="preserve"> project development support </w:t>
                            </w:r>
                            <w:r>
                              <w:rPr>
                                <w:noProof/>
                                <w:sz w:val="19"/>
                                <w:szCs w:val="19"/>
                              </w:rPr>
                              <w:t>and in monitoring of thje</w:t>
                            </w:r>
                            <w:r w:rsidRPr="005A00CF">
                              <w:rPr>
                                <w:noProof/>
                                <w:sz w:val="19"/>
                                <w:szCs w:val="19"/>
                              </w:rPr>
                              <w:t xml:space="preserve"> the implementation of projects</w:t>
                            </w:r>
                            <w:r>
                              <w:rPr>
                                <w:noProof/>
                                <w:sz w:val="19"/>
                                <w:szCs w:val="19"/>
                              </w:rPr>
                              <w:t xml:space="preserve"> (see project governance diagram in </w:t>
                            </w:r>
                            <w:r w:rsidRPr="005A00CF">
                              <w:rPr>
                                <w:noProof/>
                                <w:sz w:val="19"/>
                                <w:szCs w:val="19"/>
                              </w:rPr>
                              <w:fldChar w:fldCharType="begin"/>
                            </w:r>
                            <w:r w:rsidRPr="005A00CF">
                              <w:rPr>
                                <w:noProof/>
                                <w:sz w:val="19"/>
                                <w:szCs w:val="19"/>
                              </w:rPr>
                              <w:instrText xml:space="preserve"> REF _Ref114076 \h  \* MERGEFORMAT </w:instrText>
                            </w:r>
                            <w:r w:rsidRPr="005A00CF">
                              <w:rPr>
                                <w:noProof/>
                                <w:sz w:val="19"/>
                                <w:szCs w:val="19"/>
                              </w:rPr>
                            </w:r>
                            <w:r w:rsidRPr="005A00CF">
                              <w:rPr>
                                <w:noProof/>
                                <w:sz w:val="19"/>
                                <w:szCs w:val="19"/>
                              </w:rPr>
                              <w:fldChar w:fldCharType="separate"/>
                            </w:r>
                            <w:r w:rsidRPr="005A00CF">
                              <w:rPr>
                                <w:rFonts w:ascii="Arial" w:hAnsi="Arial" w:cs="Arial"/>
                                <w:color w:val="2E74B5"/>
                                <w:sz w:val="18"/>
                              </w:rPr>
                              <w:t xml:space="preserve">Box </w:t>
                            </w:r>
                            <w:r w:rsidRPr="005A00CF">
                              <w:rPr>
                                <w:rFonts w:ascii="Arial" w:hAnsi="Arial" w:cs="Arial"/>
                                <w:noProof/>
                                <w:color w:val="2E74B5"/>
                                <w:sz w:val="18"/>
                              </w:rPr>
                              <w:t>13</w:t>
                            </w:r>
                            <w:r w:rsidRPr="005A00CF">
                              <w:rPr>
                                <w:noProof/>
                                <w:sz w:val="19"/>
                                <w:szCs w:val="19"/>
                              </w:rPr>
                              <w:fldChar w:fldCharType="end"/>
                            </w:r>
                            <w:r>
                              <w:rPr>
                                <w:noProof/>
                                <w:sz w:val="19"/>
                                <w:szCs w:val="19"/>
                              </w:rPr>
                              <w:t>).</w:t>
                            </w:r>
                          </w:p>
                          <w:p w:rsidR="00540FEA" w:rsidRPr="00137012" w:rsidRDefault="00540FEA" w:rsidP="00C12756">
                            <w:pPr>
                              <w:spacing w:after="0"/>
                              <w:rPr>
                                <w:noProof/>
                                <w:sz w:val="19"/>
                                <w:szCs w:val="19"/>
                              </w:rPr>
                            </w:pPr>
                          </w:p>
                          <w:p w:rsidR="00540FEA" w:rsidRDefault="00540FEA" w:rsidP="00137012">
                            <w:pPr>
                              <w:spacing w:after="0"/>
                              <w:rPr>
                                <w:noProof/>
                                <w:sz w:val="19"/>
                                <w:szCs w:val="19"/>
                              </w:rPr>
                            </w:pPr>
                            <w:r>
                              <w:rPr>
                                <w:noProof/>
                                <w:sz w:val="19"/>
                                <w:szCs w:val="19"/>
                              </w:rPr>
                              <w:t>EEFI</w:t>
                            </w:r>
                            <w:r w:rsidRPr="00E12982">
                              <w:rPr>
                                <w:noProof/>
                                <w:sz w:val="19"/>
                                <w:szCs w:val="19"/>
                              </w:rPr>
                              <w:t xml:space="preserve"> will be managed separately by DBSA. </w:t>
                            </w:r>
                            <w:bookmarkStart w:id="104" w:name="_Hlk265283"/>
                            <w:r w:rsidRPr="00E12982">
                              <w:rPr>
                                <w:noProof/>
                                <w:sz w:val="19"/>
                                <w:szCs w:val="19"/>
                              </w:rPr>
                              <w:t>The</w:t>
                            </w:r>
                            <w:r>
                              <w:rPr>
                                <w:noProof/>
                                <w:sz w:val="19"/>
                                <w:szCs w:val="19"/>
                              </w:rPr>
                              <w:t xml:space="preserve"> </w:t>
                            </w:r>
                            <w:r w:rsidRPr="00E12982">
                              <w:rPr>
                                <w:noProof/>
                                <w:sz w:val="19"/>
                                <w:szCs w:val="19"/>
                              </w:rPr>
                              <w:t xml:space="preserve"> governance structure will consist of </w:t>
                            </w:r>
                            <w:r>
                              <w:rPr>
                                <w:noProof/>
                                <w:sz w:val="19"/>
                                <w:szCs w:val="19"/>
                              </w:rPr>
                              <w:t xml:space="preserve">the </w:t>
                            </w:r>
                            <w:r w:rsidRPr="00E12982">
                              <w:rPr>
                                <w:noProof/>
                                <w:sz w:val="19"/>
                                <w:szCs w:val="19"/>
                              </w:rPr>
                              <w:t>EEFI Steering and Oversight Committee (SOC), meeting on an annual or bi-annual basis, and Fund Management</w:t>
                            </w:r>
                            <w:r>
                              <w:rPr>
                                <w:noProof/>
                                <w:sz w:val="19"/>
                                <w:szCs w:val="19"/>
                              </w:rPr>
                              <w:t xml:space="preserve"> and execution.</w:t>
                            </w:r>
                            <w:r w:rsidRPr="00E12982">
                              <w:rPr>
                                <w:noProof/>
                                <w:sz w:val="19"/>
                                <w:szCs w:val="19"/>
                              </w:rPr>
                              <w:t xml:space="preserve"> Initially DBSA would be the only donor (with its USD 4 million contribution from the GEF funding for the Project). The composition of the SOC will be the donor(s), i.e. DBSA with a representative from DBSA’s Climate Finance Unit (CFU) and Municipal Finance Unit (MFU), DOE, Treasury, and a number of other representatives. A staff member from DBSA’s Climate Finance Unit (CFU) would be would be best placed to act as Fund manager. The link with the Project would be through the DBSA members participating both in the EEFI as in the Project Board and in then advisory Working Group on Financing. In addition, the Project will make available </w:t>
                            </w:r>
                            <w:r>
                              <w:rPr>
                                <w:noProof/>
                                <w:sz w:val="19"/>
                                <w:szCs w:val="19"/>
                              </w:rPr>
                              <w:t xml:space="preserve">a ‘Finance Advisor’ and short-term expertise </w:t>
                            </w:r>
                            <w:r w:rsidRPr="00E12982">
                              <w:rPr>
                                <w:noProof/>
                                <w:sz w:val="19"/>
                                <w:szCs w:val="19"/>
                              </w:rPr>
                              <w:t xml:space="preserve">to </w:t>
                            </w:r>
                            <w:r>
                              <w:rPr>
                                <w:noProof/>
                                <w:sz w:val="19"/>
                                <w:szCs w:val="19"/>
                              </w:rPr>
                              <w:t>supplement DBSA staff to form EEFI’s execution team.</w:t>
                            </w:r>
                            <w:bookmarkEnd w:id="104"/>
                          </w:p>
                          <w:bookmarkEnd w:id="103"/>
                          <w:p w:rsidR="00540FEA" w:rsidRDefault="00540FEA" w:rsidP="00137012">
                            <w:pPr>
                              <w:spacing w:after="0"/>
                              <w:rPr>
                                <w:noProof/>
                                <w:sz w:val="19"/>
                                <w:szCs w:val="19"/>
                              </w:rPr>
                            </w:pPr>
                          </w:p>
                          <w:p w:rsidR="00540FEA" w:rsidRPr="00137012" w:rsidRDefault="00540FEA" w:rsidP="00137012">
                            <w:pPr>
                              <w:spacing w:after="0"/>
                              <w:rPr>
                                <w:noProof/>
                                <w:sz w:val="19"/>
                                <w:szCs w:val="19"/>
                              </w:rPr>
                            </w:pPr>
                          </w:p>
                          <w:p w:rsidR="00540FEA" w:rsidRDefault="00540FEA" w:rsidP="00137012">
                            <w:pPr>
                              <w:spacing w:after="0"/>
                              <w:rPr>
                                <w:noProof/>
                                <w:sz w:val="19"/>
                                <w:szCs w:val="19"/>
                              </w:rPr>
                            </w:pPr>
                          </w:p>
                          <w:p w:rsidR="00540FEA" w:rsidRPr="004211D6" w:rsidRDefault="00540FEA" w:rsidP="00137012">
                            <w:pPr>
                              <w:spacing w:after="0"/>
                              <w:rPr>
                                <w:noProof/>
                                <w:sz w:val="19"/>
                                <w:szCs w:val="19"/>
                              </w:rPr>
                            </w:pPr>
                          </w:p>
                          <w:p w:rsidR="00540FEA" w:rsidRPr="004211D6" w:rsidRDefault="00540FEA" w:rsidP="00137012">
                            <w:pPr>
                              <w:spacing w:after="0"/>
                              <w:rPr>
                                <w:noProof/>
                                <w:sz w:val="19"/>
                                <w:szCs w:val="19"/>
                              </w:rPr>
                            </w:pPr>
                          </w:p>
                          <w:p w:rsidR="00540FEA" w:rsidRDefault="00540FEA" w:rsidP="00137012">
                            <w:pPr>
                              <w:spacing w:after="0"/>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0;margin-top:0;width:503.15pt;height:650.4pt;z-index:-251663360;visibility:visible;mso-wrap-style:square;mso-width-percent:0;mso-height-percent:0;mso-wrap-distance-left:11.35pt;mso-wrap-distance-top:3.6pt;mso-wrap-distance-right:11.35pt;mso-wrap-distance-bottom:3.6pt;mso-position-horizontal:lef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" fillcolor="#fbe5d6" stroked="f">
                <v:textbox>
                  <w:txbxContent>
                    <w:p w:rsidR="00540FEA" w:rsidRDefault="00540FEA" w:rsidP="00137012">
                      <w:pPr>
                        <w:pStyle w:val="Caption"/>
                        <w:rPr>
                          <w:rFonts w:ascii="Arial" w:hAnsi="Arial" w:cs="Arial"/>
                          <w:color w:val="2E74B5"/>
                          <w:sz w:val="18"/>
                        </w:rPr>
                      </w:pPr>
                      <w:r w:rsidRPr="00A21E05">
                        <w:rPr>
                          <w:rFonts w:ascii="Arial" w:hAnsi="Arial" w:cs="Arial"/>
                          <w:color w:val="2E74B5"/>
                          <w:sz w:val="18"/>
                        </w:rPr>
                        <w:t>Box</w:t>
                      </w:r>
                      <w:r>
                        <w:rPr>
                          <w:rFonts w:ascii="Arial" w:hAnsi="Arial" w:cs="Arial"/>
                          <w:color w:val="2E74B5"/>
                          <w:sz w:val="18"/>
                        </w:rPr>
                        <w:t xml:space="preserve"> 8</w:t>
                      </w:r>
                      <w:r>
                        <w:rPr>
                          <w:rFonts w:ascii="Arial" w:hAnsi="Arial" w:cs="Arial"/>
                          <w:color w:val="2E74B5"/>
                          <w:sz w:val="18"/>
                        </w:rPr>
                        <w:tab/>
                        <w:t>EEFI</w:t>
                      </w:r>
                      <w:r w:rsidRPr="00385212">
                        <w:rPr>
                          <w:rFonts w:ascii="Arial" w:hAnsi="Arial" w:cs="Arial"/>
                          <w:color w:val="2E74B5"/>
                          <w:sz w:val="18"/>
                        </w:rPr>
                        <w:t xml:space="preserve"> </w:t>
                      </w:r>
                      <w:r>
                        <w:rPr>
                          <w:rFonts w:ascii="Arial" w:hAnsi="Arial" w:cs="Arial"/>
                          <w:color w:val="2E74B5"/>
                          <w:sz w:val="18"/>
                        </w:rPr>
                        <w:t>to support</w:t>
                      </w:r>
                      <w:r w:rsidRPr="00385212">
                        <w:rPr>
                          <w:rFonts w:ascii="Arial" w:hAnsi="Arial" w:cs="Arial"/>
                          <w:color w:val="2E74B5"/>
                          <w:sz w:val="18"/>
                        </w:rPr>
                        <w:t xml:space="preserve"> LED and </w:t>
                      </w:r>
                      <w:r>
                        <w:rPr>
                          <w:rFonts w:ascii="Arial" w:hAnsi="Arial" w:cs="Arial"/>
                          <w:color w:val="2E74B5"/>
                          <w:sz w:val="18"/>
                        </w:rPr>
                        <w:t>d</w:t>
                      </w:r>
                      <w:r w:rsidRPr="00385212">
                        <w:rPr>
                          <w:rFonts w:ascii="Arial" w:hAnsi="Arial" w:cs="Arial"/>
                          <w:color w:val="2E74B5"/>
                          <w:sz w:val="18"/>
                        </w:rPr>
                        <w:t xml:space="preserve">istribution transformer </w:t>
                      </w:r>
                      <w:r>
                        <w:rPr>
                          <w:rFonts w:ascii="Arial" w:hAnsi="Arial" w:cs="Arial"/>
                          <w:color w:val="2E74B5"/>
                          <w:sz w:val="18"/>
                        </w:rPr>
                        <w:t>application (cont’d)</w:t>
                      </w:r>
                    </w:p>
                    <w:p w:rsidR="00540FEA" w:rsidRDefault="00540FEA" w:rsidP="00137012"/>
                    <w:p w:rsidR="00540FEA" w:rsidRPr="0049761C" w:rsidRDefault="00540FEA" w:rsidP="0049761C">
                      <w:pPr>
                        <w:spacing w:after="0"/>
                        <w:rPr>
                          <w:noProof/>
                          <w:sz w:val="19"/>
                          <w:szCs w:val="19"/>
                        </w:rPr>
                      </w:pPr>
                      <w:bookmarkStart w:id="122" w:name="_Hlk4672522"/>
                      <w:r w:rsidRPr="00927E57">
                        <w:rPr>
                          <w:noProof/>
                          <w:sz w:val="19"/>
                          <w:szCs w:val="19"/>
                        </w:rPr>
                        <w:t>The EEFI will also set for the first year of operation a limit on the funding amounts to each type of project, to avoid concentrating the resources on only one type of technology. Depending on the demand from the clients, unused funds for certain technologies may be repurposed to finance other technologies. To ensure the utilization of funds for projects, the co-financing multiplier requirement may be adjusted to a minimum of four (grant funding) and 75% for the credit guarantee facility if the GEF funds for EEFI are not fully deployed in the first two years of the Project. For cash flow details of EEFI under the various models considered, the reader is referred to Annex E.6.</w:t>
                      </w:r>
                    </w:p>
                    <w:p w:rsidR="00540FEA" w:rsidRDefault="00540FEA" w:rsidP="00FD16F4">
                      <w:pPr>
                        <w:spacing w:after="0"/>
                        <w:rPr>
                          <w:noProof/>
                          <w:sz w:val="19"/>
                          <w:szCs w:val="19"/>
                        </w:rPr>
                      </w:pPr>
                    </w:p>
                    <w:p w:rsidR="00540FEA" w:rsidRDefault="00540FEA" w:rsidP="0049761C">
                      <w:pPr>
                        <w:spacing w:after="0"/>
                        <w:rPr>
                          <w:noProof/>
                          <w:sz w:val="19"/>
                          <w:szCs w:val="19"/>
                        </w:rPr>
                      </w:pPr>
                      <w:r w:rsidRPr="00137012">
                        <w:rPr>
                          <w:noProof/>
                          <w:sz w:val="19"/>
                          <w:szCs w:val="19"/>
                        </w:rPr>
                        <w:t xml:space="preserve">Funding is expected to be performed primarily in South African Rands. USD funds will be converted into local currency following </w:t>
                      </w:r>
                      <w:r>
                        <w:rPr>
                          <w:noProof/>
                          <w:sz w:val="19"/>
                          <w:szCs w:val="19"/>
                        </w:rPr>
                        <w:t>funding</w:t>
                      </w:r>
                      <w:r w:rsidRPr="00137012">
                        <w:rPr>
                          <w:noProof/>
                          <w:sz w:val="19"/>
                          <w:szCs w:val="19"/>
                        </w:rPr>
                        <w:t xml:space="preserve"> approval. To reduce operational expenses, the facility will not make use of any currency swap.</w:t>
                      </w:r>
                    </w:p>
                    <w:p w:rsidR="00540FEA" w:rsidRDefault="00540FEA" w:rsidP="0049761C">
                      <w:pPr>
                        <w:spacing w:after="0"/>
                        <w:rPr>
                          <w:noProof/>
                          <w:sz w:val="19"/>
                          <w:szCs w:val="19"/>
                        </w:rPr>
                      </w:pPr>
                    </w:p>
                    <w:p w:rsidR="00540FEA" w:rsidRPr="00F737AD" w:rsidRDefault="00540FEA" w:rsidP="0049761C">
                      <w:pPr>
                        <w:spacing w:after="0"/>
                        <w:rPr>
                          <w:rFonts w:cs="Calibri"/>
                          <w:noProof/>
                          <w:sz w:val="19"/>
                          <w:szCs w:val="19"/>
                        </w:rPr>
                      </w:pPr>
                      <w:r w:rsidRPr="00F737AD">
                        <w:rPr>
                          <w:rFonts w:cs="Calibri"/>
                          <w:noProof/>
                          <w:sz w:val="19"/>
                          <w:szCs w:val="19"/>
                        </w:rPr>
                        <w:t>The eligibility criteria for the projects financed through EEFI is divided in technical aspects and financial aspects.</w:t>
                      </w:r>
                    </w:p>
                    <w:p w:rsidR="00540FEA" w:rsidRPr="00F737AD" w:rsidRDefault="00540FEA" w:rsidP="006A68A3">
                      <w:pPr>
                        <w:pStyle w:val="ListParagraph"/>
                        <w:numPr>
                          <w:ilvl w:val="0"/>
                          <w:numId w:val="44"/>
                        </w:numPr>
                        <w:ind w:left="284" w:hanging="284"/>
                        <w:jc w:val="both"/>
                        <w:rPr>
                          <w:rFonts w:ascii="Calibri" w:hAnsi="Calibri" w:cs="Calibri"/>
                          <w:noProof/>
                          <w:sz w:val="19"/>
                          <w:szCs w:val="19"/>
                        </w:rPr>
                      </w:pPr>
                      <w:r w:rsidRPr="00F737AD">
                        <w:rPr>
                          <w:rFonts w:ascii="Calibri" w:hAnsi="Calibri" w:cs="Calibri"/>
                          <w:noProof/>
                          <w:sz w:val="19"/>
                          <w:szCs w:val="19"/>
                        </w:rPr>
                        <w:t>Technical aspects:</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equipment financed shall meet a set of minimum efficiency requirements. In the case of LED street lighting, this may be a threshold for luminaire efficacy. In the case of transformers, a level to be defined as part of the market study and energy efficiency classification.</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recipient must provide technical documents of the project to validate the use of funds. These include the engineering design documents, plans/maps, bills of quantities, supplier financial proposals and purchase order contract.</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projects may include additional components apart from LED lighting and transformers as long as they are directly connected to the project and do not represent more than 50% of the total project cost. Examples of these additional elements include CCTV equipment installed on the same street-lighting infrastructure, public WiFi equipment, etc.</w:t>
                      </w:r>
                    </w:p>
                    <w:p w:rsidR="00540FEA" w:rsidRPr="00F737AD" w:rsidRDefault="00540FEA" w:rsidP="0049761C">
                      <w:pPr>
                        <w:pStyle w:val="ListParagraph"/>
                        <w:numPr>
                          <w:ilvl w:val="0"/>
                          <w:numId w:val="45"/>
                        </w:numPr>
                        <w:jc w:val="both"/>
                        <w:rPr>
                          <w:rFonts w:ascii="Calibri" w:hAnsi="Calibri" w:cs="Calibri"/>
                          <w:noProof/>
                          <w:sz w:val="19"/>
                          <w:szCs w:val="19"/>
                        </w:rPr>
                      </w:pPr>
                      <w:r w:rsidRPr="00F737AD">
                        <w:rPr>
                          <w:rFonts w:ascii="Calibri" w:hAnsi="Calibri" w:cs="Calibri"/>
                          <w:noProof/>
                          <w:sz w:val="19"/>
                          <w:szCs w:val="19"/>
                        </w:rPr>
                        <w:t>The projects must comply with all sector norms, standards and legislation.</w:t>
                      </w:r>
                    </w:p>
                    <w:p w:rsidR="00540FEA" w:rsidRPr="00F737AD" w:rsidRDefault="00540FEA" w:rsidP="0049761C">
                      <w:pPr>
                        <w:pStyle w:val="ListParagraph"/>
                        <w:numPr>
                          <w:ilvl w:val="0"/>
                          <w:numId w:val="44"/>
                        </w:numPr>
                        <w:ind w:left="284" w:hanging="284"/>
                        <w:jc w:val="both"/>
                        <w:rPr>
                          <w:rFonts w:ascii="Calibri" w:hAnsi="Calibri" w:cs="Calibri"/>
                          <w:noProof/>
                          <w:sz w:val="19"/>
                          <w:szCs w:val="19"/>
                        </w:rPr>
                      </w:pPr>
                      <w:r w:rsidRPr="00F737AD">
                        <w:rPr>
                          <w:rFonts w:ascii="Calibri" w:hAnsi="Calibri" w:cs="Calibri"/>
                          <w:noProof/>
                          <w:sz w:val="19"/>
                          <w:szCs w:val="19"/>
                        </w:rPr>
                        <w:t>Financial aspects:</w:t>
                      </w:r>
                    </w:p>
                    <w:p w:rsidR="00540FEA" w:rsidRPr="00F737AD" w:rsidRDefault="00540FEA" w:rsidP="0049761C">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The co-financing of funds from EEFI  shall be proven. Projects financed shall receive funding from internal resources or external third-party providers. Projects that receive over 50% of their implementation cost as grant funding shall be deemed ineligible.</w:t>
                      </w:r>
                    </w:p>
                    <w:p w:rsidR="00540FEA" w:rsidRPr="00F737AD" w:rsidRDefault="00540FEA" w:rsidP="0049761C">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Refinancing of existing projects is not eligible.</w:t>
                      </w:r>
                    </w:p>
                    <w:p w:rsidR="00540FEA" w:rsidRPr="00F737AD" w:rsidRDefault="00540FEA" w:rsidP="00927E57">
                      <w:pPr>
                        <w:tabs>
                          <w:tab w:val="left" w:pos="567"/>
                        </w:tabs>
                        <w:spacing w:after="0"/>
                        <w:ind w:left="567" w:hanging="283"/>
                        <w:rPr>
                          <w:rFonts w:cs="Calibri"/>
                          <w:noProof/>
                          <w:sz w:val="19"/>
                          <w:szCs w:val="19"/>
                        </w:rPr>
                      </w:pPr>
                      <w:r w:rsidRPr="00F737AD">
                        <w:rPr>
                          <w:rFonts w:cs="Calibri"/>
                          <w:noProof/>
                          <w:sz w:val="19"/>
                          <w:szCs w:val="19"/>
                        </w:rPr>
                        <w:t>o</w:t>
                      </w:r>
                      <w:r w:rsidRPr="00F737AD">
                        <w:rPr>
                          <w:rFonts w:cs="Calibri"/>
                          <w:noProof/>
                          <w:sz w:val="19"/>
                          <w:szCs w:val="19"/>
                        </w:rPr>
                        <w:tab/>
                        <w:t>The price of equipment financed must be consistent with market benchmarks</w:t>
                      </w:r>
                    </w:p>
                    <w:p w:rsidR="00540FEA" w:rsidRPr="00F737AD" w:rsidRDefault="00540FEA" w:rsidP="00CC6AD9">
                      <w:pPr>
                        <w:pStyle w:val="ListParagraph"/>
                        <w:numPr>
                          <w:ilvl w:val="0"/>
                          <w:numId w:val="68"/>
                        </w:numPr>
                        <w:tabs>
                          <w:tab w:val="left" w:pos="567"/>
                        </w:tabs>
                        <w:ind w:left="567" w:hanging="283"/>
                        <w:rPr>
                          <w:rFonts w:ascii="Calibri" w:hAnsi="Calibri" w:cs="Calibri"/>
                          <w:noProof/>
                          <w:sz w:val="19"/>
                          <w:szCs w:val="19"/>
                        </w:rPr>
                      </w:pPr>
                      <w:r w:rsidRPr="00F737AD">
                        <w:rPr>
                          <w:rFonts w:ascii="Calibri" w:hAnsi="Calibri" w:cs="Calibri"/>
                          <w:noProof/>
                          <w:sz w:val="19"/>
                          <w:szCs w:val="19"/>
                        </w:rPr>
                        <w:t>In the case of the mass procurement of LED lamps for the residential sector, equipment from local manufacturers will be favored over projects with imported equipment. This local- equipment preference shall not compromise the economic benefit of the procurement exercise. It is recommended to set a maximum weighting of 20% to this “local-equipment” component, without prejudice of any applicable public procurement localization requirements.</w:t>
                      </w:r>
                    </w:p>
                    <w:p w:rsidR="00540FEA" w:rsidRPr="00F737AD" w:rsidRDefault="00540FEA" w:rsidP="0049761C">
                      <w:pPr>
                        <w:tabs>
                          <w:tab w:val="left" w:pos="567"/>
                        </w:tabs>
                        <w:spacing w:after="0"/>
                        <w:ind w:left="567" w:hanging="283"/>
                        <w:rPr>
                          <w:rFonts w:cs="Calibri"/>
                          <w:noProof/>
                          <w:sz w:val="19"/>
                          <w:szCs w:val="19"/>
                        </w:rPr>
                      </w:pPr>
                    </w:p>
                    <w:p w:rsidR="00540FEA" w:rsidRDefault="00540FEA" w:rsidP="0049761C">
                      <w:pPr>
                        <w:spacing w:after="0"/>
                        <w:rPr>
                          <w:noProof/>
                          <w:sz w:val="19"/>
                          <w:szCs w:val="19"/>
                        </w:rPr>
                      </w:pPr>
                      <w:r w:rsidRPr="00F737AD">
                        <w:rPr>
                          <w:rFonts w:cs="Calibri"/>
                          <w:noProof/>
                          <w:sz w:val="19"/>
                          <w:szCs w:val="19"/>
                        </w:rPr>
                        <w:t>DBSA has recently created a new Climate Finance Unit (CFU) to house its climate finance activities (including GEF projects)  including the management of climate finance mechanisms. The Unit will operationalise a new Climate Finance Facility (with USD 55 million financing provided by the Green Climate Fund, GCF, and other contribitors, incl. DBSA).  The CFF will most likely finance larger infrastructure projects and governed by its own Board, so the EEFI will be complimentary. In fact, in accordance with GEF guidance, EEFI should bee complementary to existing programs, not only DBSA’s but to  other lenders (including</w:t>
                      </w:r>
                      <w:r>
                        <w:rPr>
                          <w:noProof/>
                          <w:sz w:val="19"/>
                          <w:szCs w:val="19"/>
                        </w:rPr>
                        <w:t xml:space="preserve"> IDC and the V-NAMA programme, see Annex E.4 for more details on financing programmes) as well.  However, EEFI will cooperate and exchange information with other programmes with the idea of lowering the blended financing cost for recipients (which are supposed to present co-financing to their project proposals, as mentioned earlier) and </w:t>
                      </w:r>
                      <w:r w:rsidRPr="00F13CB9">
                        <w:rPr>
                          <w:noProof/>
                          <w:sz w:val="19"/>
                          <w:szCs w:val="19"/>
                        </w:rPr>
                        <w:t>to avoid duplication of work</w:t>
                      </w:r>
                      <w:r w:rsidRPr="005A00CF">
                        <w:rPr>
                          <w:noProof/>
                          <w:sz w:val="19"/>
                          <w:szCs w:val="19"/>
                        </w:rPr>
                        <w:t xml:space="preserve">. For this purpose, </w:t>
                      </w:r>
                      <w:r>
                        <w:rPr>
                          <w:noProof/>
                          <w:sz w:val="19"/>
                          <w:szCs w:val="19"/>
                        </w:rPr>
                        <w:t xml:space="preserve">the Working Group on Financing can assist in the </w:t>
                      </w:r>
                      <w:r w:rsidRPr="005A00CF">
                        <w:rPr>
                          <w:noProof/>
                          <w:sz w:val="19"/>
                          <w:szCs w:val="19"/>
                        </w:rPr>
                        <w:t xml:space="preserve"> coordinat</w:t>
                      </w:r>
                      <w:r>
                        <w:rPr>
                          <w:noProof/>
                          <w:sz w:val="19"/>
                          <w:szCs w:val="19"/>
                        </w:rPr>
                        <w:t>ion of</w:t>
                      </w:r>
                      <w:r w:rsidRPr="005A00CF">
                        <w:rPr>
                          <w:noProof/>
                          <w:sz w:val="19"/>
                          <w:szCs w:val="19"/>
                        </w:rPr>
                        <w:t xml:space="preserve"> project development support </w:t>
                      </w:r>
                      <w:r>
                        <w:rPr>
                          <w:noProof/>
                          <w:sz w:val="19"/>
                          <w:szCs w:val="19"/>
                        </w:rPr>
                        <w:t>and in monitoring of thje</w:t>
                      </w:r>
                      <w:r w:rsidRPr="005A00CF">
                        <w:rPr>
                          <w:noProof/>
                          <w:sz w:val="19"/>
                          <w:szCs w:val="19"/>
                        </w:rPr>
                        <w:t xml:space="preserve"> the implementation of projects</w:t>
                      </w:r>
                      <w:r>
                        <w:rPr>
                          <w:noProof/>
                          <w:sz w:val="19"/>
                          <w:szCs w:val="19"/>
                        </w:rPr>
                        <w:t xml:space="preserve"> (see project governance diagram in </w:t>
                      </w:r>
                      <w:r w:rsidRPr="005A00CF">
                        <w:rPr>
                          <w:noProof/>
                          <w:sz w:val="19"/>
                          <w:szCs w:val="19"/>
                        </w:rPr>
                        <w:fldChar w:fldCharType="begin"/>
                      </w:r>
                      <w:r w:rsidRPr="005A00CF">
                        <w:rPr>
                          <w:noProof/>
                          <w:sz w:val="19"/>
                          <w:szCs w:val="19"/>
                        </w:rPr>
                        <w:instrText xml:space="preserve"> REF _Ref114076 \h  \* MERGEFORMAT </w:instrText>
                      </w:r>
                      <w:r w:rsidRPr="005A00CF">
                        <w:rPr>
                          <w:noProof/>
                          <w:sz w:val="19"/>
                          <w:szCs w:val="19"/>
                        </w:rPr>
                      </w:r>
                      <w:r w:rsidRPr="005A00CF">
                        <w:rPr>
                          <w:noProof/>
                          <w:sz w:val="19"/>
                          <w:szCs w:val="19"/>
                        </w:rPr>
                        <w:fldChar w:fldCharType="separate"/>
                      </w:r>
                      <w:r w:rsidRPr="005A00CF">
                        <w:rPr>
                          <w:rFonts w:ascii="Arial" w:hAnsi="Arial" w:cs="Arial"/>
                          <w:color w:val="2E74B5"/>
                          <w:sz w:val="18"/>
                        </w:rPr>
                        <w:t xml:space="preserve">Box </w:t>
                      </w:r>
                      <w:r w:rsidRPr="005A00CF">
                        <w:rPr>
                          <w:rFonts w:ascii="Arial" w:hAnsi="Arial" w:cs="Arial"/>
                          <w:noProof/>
                          <w:color w:val="2E74B5"/>
                          <w:sz w:val="18"/>
                        </w:rPr>
                        <w:t>13</w:t>
                      </w:r>
                      <w:r w:rsidRPr="005A00CF">
                        <w:rPr>
                          <w:noProof/>
                          <w:sz w:val="19"/>
                          <w:szCs w:val="19"/>
                        </w:rPr>
                        <w:fldChar w:fldCharType="end"/>
                      </w:r>
                      <w:r>
                        <w:rPr>
                          <w:noProof/>
                          <w:sz w:val="19"/>
                          <w:szCs w:val="19"/>
                        </w:rPr>
                        <w:t>).</w:t>
                      </w:r>
                    </w:p>
                    <w:p w:rsidR="00540FEA" w:rsidRPr="00137012" w:rsidRDefault="00540FEA" w:rsidP="00C12756">
                      <w:pPr>
                        <w:spacing w:after="0"/>
                        <w:rPr>
                          <w:noProof/>
                          <w:sz w:val="19"/>
                          <w:szCs w:val="19"/>
                        </w:rPr>
                      </w:pPr>
                    </w:p>
                    <w:p w:rsidR="00540FEA" w:rsidRDefault="00540FEA" w:rsidP="00137012">
                      <w:pPr>
                        <w:spacing w:after="0"/>
                        <w:rPr>
                          <w:noProof/>
                          <w:sz w:val="19"/>
                          <w:szCs w:val="19"/>
                        </w:rPr>
                      </w:pPr>
                      <w:r>
                        <w:rPr>
                          <w:noProof/>
                          <w:sz w:val="19"/>
                          <w:szCs w:val="19"/>
                        </w:rPr>
                        <w:t>EEFI</w:t>
                      </w:r>
                      <w:r w:rsidRPr="00E12982">
                        <w:rPr>
                          <w:noProof/>
                          <w:sz w:val="19"/>
                          <w:szCs w:val="19"/>
                        </w:rPr>
                        <w:t xml:space="preserve"> will be managed separately by DBSA. </w:t>
                      </w:r>
                      <w:bookmarkStart w:id="123" w:name="_Hlk265283"/>
                      <w:r w:rsidRPr="00E12982">
                        <w:rPr>
                          <w:noProof/>
                          <w:sz w:val="19"/>
                          <w:szCs w:val="19"/>
                        </w:rPr>
                        <w:t>The</w:t>
                      </w:r>
                      <w:r>
                        <w:rPr>
                          <w:noProof/>
                          <w:sz w:val="19"/>
                          <w:szCs w:val="19"/>
                        </w:rPr>
                        <w:t xml:space="preserve"> </w:t>
                      </w:r>
                      <w:r w:rsidRPr="00E12982">
                        <w:rPr>
                          <w:noProof/>
                          <w:sz w:val="19"/>
                          <w:szCs w:val="19"/>
                        </w:rPr>
                        <w:t xml:space="preserve"> governance structure will consist of </w:t>
                      </w:r>
                      <w:r>
                        <w:rPr>
                          <w:noProof/>
                          <w:sz w:val="19"/>
                          <w:szCs w:val="19"/>
                        </w:rPr>
                        <w:t xml:space="preserve">the </w:t>
                      </w:r>
                      <w:r w:rsidRPr="00E12982">
                        <w:rPr>
                          <w:noProof/>
                          <w:sz w:val="19"/>
                          <w:szCs w:val="19"/>
                        </w:rPr>
                        <w:t>EEFI Steering and Oversight Committee (SOC), meeting on an annual or bi-annual basis, and Fund Management</w:t>
                      </w:r>
                      <w:r>
                        <w:rPr>
                          <w:noProof/>
                          <w:sz w:val="19"/>
                          <w:szCs w:val="19"/>
                        </w:rPr>
                        <w:t xml:space="preserve"> and execution.</w:t>
                      </w:r>
                      <w:r w:rsidRPr="00E12982">
                        <w:rPr>
                          <w:noProof/>
                          <w:sz w:val="19"/>
                          <w:szCs w:val="19"/>
                        </w:rPr>
                        <w:t xml:space="preserve"> Initially DBSA would be the only donor (with its USD 4 million contribution from the GEF funding for the Project). The composition of the SOC will be the donor(s), i.e. DBSA with a representative from DBSA’s Climate Finance Unit (CFU) and Municipal Finance Unit (MFU), DOE, Treasury, and a number of other representatives. A staff member from DBSA’s Climate Finance Unit (CFU) would be would be best placed to act as Fund manager. The link with the Project would be through the DBSA members participating both in the EEFI as in the Project Board and in then advisory Working Group on Financing. In addition, the Project will make available </w:t>
                      </w:r>
                      <w:r>
                        <w:rPr>
                          <w:noProof/>
                          <w:sz w:val="19"/>
                          <w:szCs w:val="19"/>
                        </w:rPr>
                        <w:t xml:space="preserve">a ‘Finance Advisor’ and short-term expertise </w:t>
                      </w:r>
                      <w:r w:rsidRPr="00E12982">
                        <w:rPr>
                          <w:noProof/>
                          <w:sz w:val="19"/>
                          <w:szCs w:val="19"/>
                        </w:rPr>
                        <w:t xml:space="preserve">to </w:t>
                      </w:r>
                      <w:r>
                        <w:rPr>
                          <w:noProof/>
                          <w:sz w:val="19"/>
                          <w:szCs w:val="19"/>
                        </w:rPr>
                        <w:t>supplement DBSA staff to form EEFI’s execution team.</w:t>
                      </w:r>
                      <w:bookmarkEnd w:id="123"/>
                    </w:p>
                    <w:bookmarkEnd w:id="122"/>
                    <w:p w:rsidR="00540FEA" w:rsidRDefault="00540FEA" w:rsidP="00137012">
                      <w:pPr>
                        <w:spacing w:after="0"/>
                        <w:rPr>
                          <w:noProof/>
                          <w:sz w:val="19"/>
                          <w:szCs w:val="19"/>
                        </w:rPr>
                      </w:pPr>
                    </w:p>
                    <w:p w:rsidR="00540FEA" w:rsidRPr="00137012" w:rsidRDefault="00540FEA" w:rsidP="00137012">
                      <w:pPr>
                        <w:spacing w:after="0"/>
                        <w:rPr>
                          <w:noProof/>
                          <w:sz w:val="19"/>
                          <w:szCs w:val="19"/>
                        </w:rPr>
                      </w:pPr>
                    </w:p>
                    <w:p w:rsidR="00540FEA" w:rsidRDefault="00540FEA" w:rsidP="00137012">
                      <w:pPr>
                        <w:spacing w:after="0"/>
                        <w:rPr>
                          <w:noProof/>
                          <w:sz w:val="19"/>
                          <w:szCs w:val="19"/>
                        </w:rPr>
                      </w:pPr>
                    </w:p>
                    <w:p w:rsidR="00540FEA" w:rsidRPr="004211D6" w:rsidRDefault="00540FEA" w:rsidP="00137012">
                      <w:pPr>
                        <w:spacing w:after="0"/>
                        <w:rPr>
                          <w:noProof/>
                          <w:sz w:val="19"/>
                          <w:szCs w:val="19"/>
                        </w:rPr>
                      </w:pPr>
                    </w:p>
                    <w:p w:rsidR="00540FEA" w:rsidRPr="004211D6" w:rsidRDefault="00540FEA" w:rsidP="00137012">
                      <w:pPr>
                        <w:spacing w:after="0"/>
                        <w:rPr>
                          <w:noProof/>
                          <w:sz w:val="19"/>
                          <w:szCs w:val="19"/>
                        </w:rPr>
                      </w:pPr>
                    </w:p>
                    <w:p w:rsidR="00540FEA" w:rsidRDefault="00540FEA" w:rsidP="00137012">
                      <w:pPr>
                        <w:spacing w:after="0"/>
                        <w:rPr>
                          <w:noProof/>
                          <w:sz w:val="19"/>
                          <w:szCs w:val="19"/>
                        </w:rPr>
                      </w:pPr>
                    </w:p>
                  </w:txbxContent>
                </v:textbox>
                <w10:wrap type="tight" anchorx="margin" anchory="margin"/>
              </v:shape>
            </w:pict>
          </mc:Fallback>
        </mc:AlternateContent>
      </w:r>
    </w:p>
    <w:p w:rsidR="00555159" w:rsidRPr="00F737AD" w:rsidRDefault="00555159" w:rsidP="006F34D6">
      <w:pPr>
        <w:tabs>
          <w:tab w:val="left" w:pos="1134"/>
        </w:tabs>
        <w:spacing w:after="0"/>
        <w:rPr>
          <w:rFonts w:cs="Calibri"/>
          <w:b/>
          <w:szCs w:val="20"/>
          <w:lang w:val="en-GB"/>
        </w:rPr>
      </w:pPr>
    </w:p>
    <w:p w:rsidR="004A78B7" w:rsidRPr="00F737AD" w:rsidRDefault="004A78B7" w:rsidP="006F34D6">
      <w:pPr>
        <w:tabs>
          <w:tab w:val="left" w:pos="1134"/>
        </w:tabs>
        <w:spacing w:after="0"/>
        <w:rPr>
          <w:rFonts w:cs="Calibri"/>
          <w:b/>
          <w:szCs w:val="20"/>
          <w:lang w:val="en-GB"/>
        </w:rPr>
      </w:pPr>
      <w:r w:rsidRPr="00F737AD">
        <w:rPr>
          <w:rFonts w:cs="Calibri"/>
          <w:b/>
          <w:szCs w:val="20"/>
          <w:lang w:val="en-GB"/>
        </w:rPr>
        <w:t>Output 3.2</w:t>
      </w:r>
      <w:r w:rsidRPr="00F737AD">
        <w:rPr>
          <w:rFonts w:cs="Calibri"/>
          <w:b/>
          <w:szCs w:val="20"/>
          <w:lang w:val="en-GB"/>
        </w:rPr>
        <w:tab/>
        <w:t>Advice services provided to prospective applicants on financing modalities and structuring of proposals</w:t>
      </w:r>
    </w:p>
    <w:p w:rsidR="004A78B7" w:rsidRPr="00F737AD" w:rsidRDefault="004A78B7" w:rsidP="006F34D6">
      <w:pPr>
        <w:tabs>
          <w:tab w:val="left" w:pos="1134"/>
        </w:tabs>
        <w:spacing w:after="0"/>
        <w:rPr>
          <w:rFonts w:cs="Calibri"/>
          <w:szCs w:val="20"/>
          <w:lang w:val="en-GB"/>
        </w:rPr>
      </w:pPr>
    </w:p>
    <w:p w:rsidR="004A78B7" w:rsidRPr="00F737AD" w:rsidRDefault="004A78B7" w:rsidP="006F34D6">
      <w:pPr>
        <w:tabs>
          <w:tab w:val="left" w:pos="1134"/>
        </w:tabs>
        <w:spacing w:after="0"/>
        <w:rPr>
          <w:rFonts w:cs="Calibri"/>
          <w:szCs w:val="20"/>
          <w:lang w:val="en-GB"/>
        </w:rPr>
      </w:pPr>
      <w:r w:rsidRPr="00F737AD">
        <w:rPr>
          <w:rFonts w:cs="Calibri"/>
          <w:i/>
          <w:szCs w:val="20"/>
          <w:lang w:val="en-GB"/>
        </w:rPr>
        <w:t>Activity 3.2.1</w:t>
      </w:r>
      <w:r w:rsidRPr="00F737AD">
        <w:rPr>
          <w:rFonts w:cs="Calibri"/>
          <w:i/>
          <w:szCs w:val="20"/>
          <w:lang w:val="en-GB"/>
        </w:rPr>
        <w:tab/>
      </w:r>
      <w:r w:rsidRPr="00F737AD">
        <w:rPr>
          <w:rFonts w:cs="Calibri"/>
          <w:szCs w:val="20"/>
          <w:lang w:val="en-GB"/>
        </w:rPr>
        <w:t>Advice services provided to prospective applicants on financing modalities and structuring of proposals</w:t>
      </w:r>
    </w:p>
    <w:p w:rsidR="004A78B7" w:rsidRPr="00F737AD" w:rsidRDefault="004A78B7" w:rsidP="004A78B7">
      <w:pPr>
        <w:tabs>
          <w:tab w:val="left" w:pos="1134"/>
        </w:tabs>
        <w:spacing w:before="60" w:after="0"/>
        <w:rPr>
          <w:rFonts w:cs="Calibri"/>
          <w:szCs w:val="20"/>
          <w:lang w:val="en-GB"/>
        </w:rPr>
      </w:pPr>
      <w:bookmarkStart w:id="105" w:name="_Hlk4672537"/>
      <w:r w:rsidRPr="00F737AD">
        <w:rPr>
          <w:rFonts w:cs="Calibri"/>
          <w:szCs w:val="20"/>
          <w:lang w:val="en-GB"/>
        </w:rPr>
        <w:t>The Project’s experts will add to advisory services provide by DBSA’s Municipal Finance Unit and Carbon Finance Unit in providing support and advisory services in defining EE opportunities and formulating bankable proposals that can be presented to</w:t>
      </w:r>
      <w:r w:rsidR="009F0A85" w:rsidRPr="00F737AD">
        <w:rPr>
          <w:rFonts w:cs="Calibri"/>
          <w:szCs w:val="20"/>
          <w:lang w:val="en-GB"/>
        </w:rPr>
        <w:t>, apart from EEFI, to</w:t>
      </w:r>
      <w:r w:rsidRPr="00F737AD">
        <w:rPr>
          <w:rFonts w:cs="Calibri"/>
          <w:szCs w:val="20"/>
          <w:lang w:val="en-GB"/>
        </w:rPr>
        <w:t xml:space="preserve"> a mix of financing providers (government grant programmes</w:t>
      </w:r>
      <w:r w:rsidR="009F0A85" w:rsidRPr="00F737AD">
        <w:rPr>
          <w:rFonts w:cs="Calibri"/>
          <w:szCs w:val="20"/>
          <w:lang w:val="en-GB"/>
        </w:rPr>
        <w:t xml:space="preserve">, and </w:t>
      </w:r>
      <w:r w:rsidRPr="00F737AD">
        <w:rPr>
          <w:rFonts w:cs="Calibri"/>
          <w:szCs w:val="20"/>
          <w:lang w:val="en-GB"/>
        </w:rPr>
        <w:t>other debt financing sources).</w:t>
      </w:r>
    </w:p>
    <w:bookmarkEnd w:id="105"/>
    <w:p w:rsidR="004A78B7" w:rsidRPr="00F737AD" w:rsidRDefault="004A78B7" w:rsidP="006F34D6">
      <w:pPr>
        <w:tabs>
          <w:tab w:val="left" w:pos="1134"/>
        </w:tabs>
        <w:spacing w:after="0"/>
        <w:rPr>
          <w:rFonts w:cs="Calibri"/>
          <w:szCs w:val="20"/>
          <w:lang w:val="en-GB"/>
        </w:rPr>
      </w:pPr>
    </w:p>
    <w:p w:rsidR="00967EB1" w:rsidRPr="00666B27" w:rsidRDefault="00967EB1" w:rsidP="00967EB1">
      <w:pPr>
        <w:keepNext/>
        <w:tabs>
          <w:tab w:val="left" w:pos="426"/>
          <w:tab w:val="left" w:pos="1560"/>
        </w:tabs>
        <w:spacing w:before="240" w:line="22" w:lineRule="atLeast"/>
        <w:ind w:left="1560" w:hanging="1560"/>
        <w:jc w:val="left"/>
        <w:outlineLvl w:val="2"/>
        <w:rPr>
          <w:rFonts w:eastAsia="Times New Roman" w:cs="Calibri"/>
          <w:bCs/>
          <w:i/>
          <w:color w:val="002060"/>
          <w:sz w:val="22"/>
          <w:szCs w:val="20"/>
          <w:lang w:val="en-GB"/>
        </w:rPr>
      </w:pPr>
      <w:r w:rsidRPr="00666B27">
        <w:rPr>
          <w:rFonts w:eastAsia="Times New Roman" w:cs="Calibri"/>
          <w:bCs/>
          <w:i/>
          <w:color w:val="002060"/>
          <w:sz w:val="22"/>
          <w:szCs w:val="20"/>
          <w:lang w:val="en-GB"/>
        </w:rPr>
        <w:t>Component 3</w:t>
      </w:r>
      <w:r w:rsidRPr="00666B27">
        <w:rPr>
          <w:rFonts w:eastAsia="Times New Roman" w:cs="Calibri"/>
          <w:bCs/>
          <w:i/>
          <w:color w:val="002060"/>
          <w:sz w:val="22"/>
          <w:szCs w:val="20"/>
          <w:lang w:val="en-GB"/>
        </w:rPr>
        <w:tab/>
        <w:t>Environmentally sound management of lighting products and distribution transformers</w:t>
      </w:r>
    </w:p>
    <w:p w:rsidR="00967EB1" w:rsidRPr="00F737AD" w:rsidRDefault="00967EB1" w:rsidP="00967EB1">
      <w:pPr>
        <w:tabs>
          <w:tab w:val="left" w:pos="1560"/>
        </w:tabs>
        <w:spacing w:after="0"/>
        <w:jc w:val="left"/>
        <w:rPr>
          <w:rFonts w:cs="Calibri"/>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4"/>
        <w:gridCol w:w="6848"/>
      </w:tblGrid>
      <w:tr w:rsidR="00967EB1" w:rsidRPr="0057545E" w:rsidTr="00F737AD">
        <w:tc>
          <w:tcPr>
            <w:tcW w:w="3114" w:type="dxa"/>
            <w:shd w:val="clear" w:color="auto" w:fill="auto"/>
          </w:tcPr>
          <w:p w:rsidR="00967EB1" w:rsidRPr="00F737AD" w:rsidRDefault="00967EB1" w:rsidP="00F737AD">
            <w:pPr>
              <w:tabs>
                <w:tab w:val="left" w:pos="1560"/>
              </w:tabs>
              <w:spacing w:after="0"/>
              <w:jc w:val="left"/>
              <w:rPr>
                <w:rFonts w:cs="Calibri"/>
                <w:i/>
                <w:szCs w:val="20"/>
                <w:lang w:val="en-GB"/>
              </w:rPr>
            </w:pPr>
            <w:bookmarkStart w:id="106" w:name="_Hlk4675557"/>
            <w:r w:rsidRPr="00F737AD">
              <w:rPr>
                <w:rFonts w:cs="Calibri"/>
                <w:i/>
                <w:szCs w:val="20"/>
                <w:lang w:val="en-GB"/>
              </w:rPr>
              <w:t>Output</w:t>
            </w:r>
          </w:p>
        </w:tc>
        <w:tc>
          <w:tcPr>
            <w:tcW w:w="6848" w:type="dxa"/>
            <w:shd w:val="clear" w:color="auto" w:fill="auto"/>
          </w:tcPr>
          <w:p w:rsidR="00967EB1" w:rsidRPr="00F737AD" w:rsidRDefault="00967EB1" w:rsidP="00F737AD">
            <w:pPr>
              <w:tabs>
                <w:tab w:val="left" w:pos="1560"/>
              </w:tabs>
              <w:spacing w:after="0"/>
              <w:jc w:val="left"/>
              <w:rPr>
                <w:rFonts w:cs="Calibri"/>
                <w:i/>
                <w:szCs w:val="20"/>
                <w:lang w:val="en-GB"/>
              </w:rPr>
            </w:pPr>
            <w:r w:rsidRPr="00F737AD">
              <w:rPr>
                <w:rFonts w:cs="Calibri"/>
                <w:i/>
                <w:szCs w:val="20"/>
                <w:lang w:val="en-GB"/>
              </w:rPr>
              <w:t>Activity</w:t>
            </w:r>
          </w:p>
        </w:tc>
      </w:tr>
      <w:tr w:rsidR="00967EB1" w:rsidRPr="0057545E" w:rsidTr="00F737AD">
        <w:tc>
          <w:tcPr>
            <w:tcW w:w="9962" w:type="dxa"/>
            <w:gridSpan w:val="2"/>
            <w:shd w:val="clear" w:color="auto" w:fill="EDEDED"/>
          </w:tcPr>
          <w:p w:rsidR="00967EB1" w:rsidRPr="00F737AD" w:rsidRDefault="00967EB1" w:rsidP="00F737AD">
            <w:pPr>
              <w:tabs>
                <w:tab w:val="left" w:pos="1164"/>
                <w:tab w:val="left" w:pos="1560"/>
              </w:tabs>
              <w:spacing w:after="0"/>
              <w:ind w:left="1164" w:hanging="1164"/>
              <w:jc w:val="left"/>
              <w:rPr>
                <w:rFonts w:cs="Calibri"/>
                <w:b/>
                <w:szCs w:val="20"/>
                <w:lang w:val="en-GB"/>
              </w:rPr>
            </w:pPr>
            <w:r w:rsidRPr="00F737AD">
              <w:rPr>
                <w:rFonts w:cs="Calibri"/>
                <w:b/>
                <w:szCs w:val="20"/>
                <w:lang w:val="en-GB"/>
              </w:rPr>
              <w:t>Outcome 4</w:t>
            </w:r>
            <w:r w:rsidRPr="00F737AD">
              <w:rPr>
                <w:rFonts w:cs="Calibri"/>
                <w:b/>
                <w:szCs w:val="20"/>
                <w:lang w:val="en-GB"/>
              </w:rPr>
              <w:tab/>
              <w:t>Environmentally sound management and waste disposal practices</w:t>
            </w:r>
          </w:p>
        </w:tc>
      </w:tr>
      <w:tr w:rsidR="00967EB1" w:rsidRPr="0057545E" w:rsidTr="00F737AD">
        <w:trPr>
          <w:trHeight w:val="648"/>
        </w:trPr>
        <w:tc>
          <w:tcPr>
            <w:tcW w:w="3114" w:type="dxa"/>
            <w:vMerge w:val="restart"/>
            <w:shd w:val="clear" w:color="auto" w:fill="FFF2CC"/>
          </w:tcPr>
          <w:p w:rsidR="00967EB1" w:rsidRPr="00F737AD" w:rsidRDefault="00967EB1" w:rsidP="00F737AD">
            <w:pPr>
              <w:tabs>
                <w:tab w:val="left" w:pos="416"/>
                <w:tab w:val="left" w:pos="1560"/>
              </w:tabs>
              <w:spacing w:after="0"/>
              <w:ind w:left="455" w:hanging="455"/>
              <w:jc w:val="left"/>
              <w:rPr>
                <w:rFonts w:cs="Calibri"/>
                <w:szCs w:val="20"/>
                <w:lang w:val="en-GB"/>
              </w:rPr>
            </w:pPr>
            <w:r w:rsidRPr="00F737AD">
              <w:rPr>
                <w:rFonts w:cs="Calibri"/>
                <w:szCs w:val="20"/>
                <w:lang w:val="en-GB"/>
              </w:rPr>
              <w:t>4.1</w:t>
            </w:r>
            <w:r w:rsidRPr="00F737AD">
              <w:rPr>
                <w:rFonts w:cs="Calibri"/>
                <w:szCs w:val="20"/>
                <w:lang w:val="en-GB"/>
              </w:rPr>
              <w:tab/>
              <w:t xml:space="preserve">Strengthened local </w:t>
            </w:r>
            <w:r w:rsidRPr="00F737AD">
              <w:rPr>
                <w:rFonts w:cs="Calibri"/>
                <w:lang w:val="en-GB"/>
              </w:rPr>
              <w:t xml:space="preserve">knowledge on how </w:t>
            </w:r>
            <w:r w:rsidRPr="00F737AD">
              <w:rPr>
                <w:rFonts w:cs="Calibri"/>
                <w:szCs w:val="20"/>
                <w:lang w:val="en-GB"/>
              </w:rPr>
              <w:t xml:space="preserve">to collect, recycle and responsibly </w:t>
            </w:r>
            <w:r w:rsidRPr="00F737AD">
              <w:rPr>
                <w:rFonts w:cs="Calibri"/>
                <w:noProof/>
                <w:szCs w:val="20"/>
                <w:lang w:val="en-GB"/>
              </w:rPr>
              <w:t>dispose</w:t>
            </w:r>
            <w:r w:rsidR="00E236DA" w:rsidRPr="00F737AD">
              <w:rPr>
                <w:rFonts w:cs="Calibri"/>
                <w:noProof/>
                <w:szCs w:val="20"/>
                <w:lang w:val="en-GB"/>
              </w:rPr>
              <w:t xml:space="preserve"> of</w:t>
            </w:r>
            <w:r w:rsidRPr="00F737AD">
              <w:rPr>
                <w:rFonts w:cs="Calibri"/>
                <w:szCs w:val="20"/>
                <w:lang w:val="en-GB"/>
              </w:rPr>
              <w:t xml:space="preserve"> lamps </w:t>
            </w:r>
          </w:p>
        </w:tc>
        <w:tc>
          <w:tcPr>
            <w:tcW w:w="6848" w:type="dxa"/>
            <w:shd w:val="clear" w:color="auto" w:fill="auto"/>
          </w:tcPr>
          <w:p w:rsidR="00967EB1" w:rsidRPr="00F737AD" w:rsidRDefault="00967EB1" w:rsidP="00F737AD">
            <w:pPr>
              <w:tabs>
                <w:tab w:val="left" w:pos="737"/>
                <w:tab w:val="left" w:pos="1560"/>
              </w:tabs>
              <w:spacing w:after="0"/>
              <w:ind w:left="737" w:hanging="708"/>
              <w:jc w:val="left"/>
              <w:rPr>
                <w:rFonts w:cs="Calibri"/>
                <w:szCs w:val="20"/>
                <w:lang w:val="en-GB"/>
              </w:rPr>
            </w:pPr>
            <w:r w:rsidRPr="00F737AD">
              <w:rPr>
                <w:rFonts w:cs="Calibri"/>
                <w:szCs w:val="20"/>
                <w:lang w:val="en-GB"/>
              </w:rPr>
              <w:t>4.1.1</w:t>
            </w:r>
            <w:r w:rsidRPr="00F737AD">
              <w:rPr>
                <w:rFonts w:cs="Calibri"/>
                <w:szCs w:val="20"/>
                <w:lang w:val="en-GB"/>
              </w:rPr>
              <w:tab/>
              <w:t>Assessment of current practice in recycling of (fluorescent) lamps, waste handling</w:t>
            </w:r>
          </w:p>
          <w:p w:rsidR="00967EB1" w:rsidRPr="00F737AD" w:rsidRDefault="00967EB1" w:rsidP="00F737AD">
            <w:pPr>
              <w:tabs>
                <w:tab w:val="left" w:pos="737"/>
                <w:tab w:val="left" w:pos="1560"/>
              </w:tabs>
              <w:spacing w:after="0"/>
              <w:ind w:left="737" w:hanging="708"/>
              <w:jc w:val="left"/>
              <w:rPr>
                <w:rFonts w:cs="Calibri"/>
                <w:szCs w:val="20"/>
                <w:lang w:val="en-GB"/>
              </w:rPr>
            </w:pPr>
            <w:r w:rsidRPr="00F737AD">
              <w:rPr>
                <w:rFonts w:cs="Calibri"/>
                <w:szCs w:val="20"/>
                <w:lang w:val="en-GB"/>
              </w:rPr>
              <w:t>4.1.2</w:t>
            </w:r>
            <w:r w:rsidRPr="00F737AD">
              <w:rPr>
                <w:rFonts w:cs="Calibri"/>
                <w:szCs w:val="20"/>
                <w:lang w:val="en-GB"/>
              </w:rPr>
              <w:tab/>
              <w:t>Provide training to municipal officials on environmentally sound management of lamp waste</w:t>
            </w:r>
          </w:p>
        </w:tc>
      </w:tr>
      <w:tr w:rsidR="00967EB1" w:rsidRPr="0057545E" w:rsidTr="00F737AD">
        <w:trPr>
          <w:trHeight w:val="648"/>
        </w:trPr>
        <w:tc>
          <w:tcPr>
            <w:tcW w:w="3114" w:type="dxa"/>
            <w:vMerge/>
            <w:shd w:val="clear" w:color="auto" w:fill="FFF2CC"/>
          </w:tcPr>
          <w:p w:rsidR="00967EB1" w:rsidRPr="00F737AD" w:rsidRDefault="00967EB1" w:rsidP="00F737AD">
            <w:pPr>
              <w:tabs>
                <w:tab w:val="left" w:pos="416"/>
                <w:tab w:val="left" w:pos="1560"/>
              </w:tabs>
              <w:spacing w:after="0"/>
              <w:ind w:left="455" w:hanging="455"/>
              <w:jc w:val="left"/>
              <w:rPr>
                <w:rFonts w:cs="Calibri"/>
                <w:szCs w:val="20"/>
                <w:lang w:val="en-GB"/>
              </w:rPr>
            </w:pPr>
          </w:p>
        </w:tc>
        <w:tc>
          <w:tcPr>
            <w:tcW w:w="6848" w:type="dxa"/>
            <w:shd w:val="clear" w:color="auto" w:fill="auto"/>
          </w:tcPr>
          <w:p w:rsidR="00967EB1" w:rsidRPr="00F737AD" w:rsidRDefault="00967EB1" w:rsidP="00F737AD">
            <w:pPr>
              <w:tabs>
                <w:tab w:val="left" w:pos="737"/>
                <w:tab w:val="left" w:pos="1560"/>
              </w:tabs>
              <w:spacing w:after="0"/>
              <w:ind w:left="737" w:hanging="708"/>
              <w:jc w:val="left"/>
              <w:rPr>
                <w:rFonts w:cs="Calibri"/>
                <w:sz w:val="19"/>
                <w:szCs w:val="19"/>
                <w:lang w:val="en-GB"/>
              </w:rPr>
            </w:pPr>
            <w:r w:rsidRPr="00F737AD">
              <w:rPr>
                <w:rFonts w:cs="Calibri"/>
                <w:sz w:val="19"/>
                <w:szCs w:val="19"/>
                <w:lang w:val="en-GB"/>
              </w:rPr>
              <w:t>Main partner:  DEA, DOE</w:t>
            </w:r>
          </w:p>
          <w:p w:rsidR="00967EB1" w:rsidRPr="00F737AD" w:rsidRDefault="00967EB1" w:rsidP="00F737AD">
            <w:pPr>
              <w:tabs>
                <w:tab w:val="left" w:pos="29"/>
                <w:tab w:val="left" w:pos="1560"/>
              </w:tabs>
              <w:spacing w:after="0"/>
              <w:jc w:val="left"/>
              <w:rPr>
                <w:rFonts w:cs="Calibri"/>
                <w:szCs w:val="20"/>
                <w:lang w:val="en-GB"/>
              </w:rPr>
            </w:pPr>
            <w:r w:rsidRPr="00F737AD">
              <w:rPr>
                <w:rFonts w:cs="Calibri"/>
                <w:szCs w:val="20"/>
                <w:lang w:val="en-GB"/>
              </w:rPr>
              <w:t xml:space="preserve">Other partners: municipalities and </w:t>
            </w:r>
            <w:r w:rsidRPr="00F737AD">
              <w:rPr>
                <w:rFonts w:cs="Calibri"/>
                <w:noProof/>
                <w:szCs w:val="20"/>
                <w:lang w:val="en-GB"/>
              </w:rPr>
              <w:t>organisations</w:t>
            </w:r>
            <w:r w:rsidRPr="00F737AD">
              <w:rPr>
                <w:rFonts w:cs="Calibri"/>
                <w:szCs w:val="20"/>
                <w:lang w:val="en-GB"/>
              </w:rPr>
              <w:t xml:space="preserve"> (SALGA, SACN); waste </w:t>
            </w:r>
            <w:r w:rsidRPr="00F737AD">
              <w:rPr>
                <w:rFonts w:cs="Calibri"/>
                <w:noProof/>
                <w:szCs w:val="20"/>
                <w:lang w:val="en-GB"/>
              </w:rPr>
              <w:t>organisations</w:t>
            </w:r>
            <w:r w:rsidRPr="00F737AD">
              <w:rPr>
                <w:rFonts w:cs="Calibri"/>
                <w:szCs w:val="20"/>
                <w:lang w:val="en-GB"/>
              </w:rPr>
              <w:t xml:space="preserve"> (e-WASA)</w:t>
            </w:r>
          </w:p>
        </w:tc>
      </w:tr>
      <w:tr w:rsidR="00967EB1" w:rsidRPr="0057545E" w:rsidTr="00F737AD">
        <w:trPr>
          <w:trHeight w:val="410"/>
        </w:trPr>
        <w:tc>
          <w:tcPr>
            <w:tcW w:w="3114" w:type="dxa"/>
            <w:vMerge w:val="restart"/>
            <w:shd w:val="clear" w:color="auto" w:fill="FFF2CC"/>
          </w:tcPr>
          <w:p w:rsidR="00967EB1" w:rsidRPr="00F737AD" w:rsidRDefault="00967EB1" w:rsidP="00F737AD">
            <w:pPr>
              <w:tabs>
                <w:tab w:val="left" w:pos="455"/>
                <w:tab w:val="left" w:pos="1560"/>
              </w:tabs>
              <w:spacing w:after="0"/>
              <w:ind w:left="455" w:hanging="455"/>
              <w:jc w:val="left"/>
              <w:rPr>
                <w:rFonts w:cs="Calibri"/>
                <w:szCs w:val="20"/>
                <w:lang w:val="en-GB"/>
              </w:rPr>
            </w:pPr>
            <w:r w:rsidRPr="00F737AD">
              <w:rPr>
                <w:rFonts w:cs="Calibri"/>
                <w:szCs w:val="20"/>
                <w:lang w:val="en-GB"/>
              </w:rPr>
              <w:t>4.2</w:t>
            </w:r>
            <w:r w:rsidRPr="00F737AD">
              <w:rPr>
                <w:rFonts w:cs="Calibri"/>
                <w:szCs w:val="20"/>
                <w:lang w:val="en-GB"/>
              </w:rPr>
              <w:tab/>
              <w:t>Assessed issues and options of using vegetable oil in liquid-filled transformers</w:t>
            </w:r>
          </w:p>
        </w:tc>
        <w:tc>
          <w:tcPr>
            <w:tcW w:w="6848" w:type="dxa"/>
            <w:shd w:val="clear" w:color="auto" w:fill="auto"/>
          </w:tcPr>
          <w:p w:rsidR="00967EB1" w:rsidRPr="00F737AD" w:rsidRDefault="00967EB1" w:rsidP="00F737AD">
            <w:pPr>
              <w:tabs>
                <w:tab w:val="left" w:pos="737"/>
                <w:tab w:val="left" w:pos="1560"/>
              </w:tabs>
              <w:spacing w:after="0"/>
              <w:ind w:left="737" w:hanging="737"/>
              <w:jc w:val="left"/>
              <w:rPr>
                <w:rFonts w:cs="Calibri"/>
                <w:szCs w:val="20"/>
                <w:lang w:val="en-GB"/>
              </w:rPr>
            </w:pPr>
            <w:r w:rsidRPr="00F737AD">
              <w:rPr>
                <w:rFonts w:cs="Calibri"/>
                <w:szCs w:val="20"/>
                <w:lang w:val="en-GB"/>
              </w:rPr>
              <w:t>4.2.1</w:t>
            </w:r>
            <w:r w:rsidRPr="00F737AD">
              <w:rPr>
                <w:rFonts w:cs="Calibri"/>
                <w:szCs w:val="20"/>
                <w:lang w:val="en-GB"/>
              </w:rPr>
              <w:tab/>
              <w:t xml:space="preserve">Assessment of the issues and options of using vegetable oil in liquid-filled transformers </w:t>
            </w:r>
          </w:p>
        </w:tc>
      </w:tr>
      <w:tr w:rsidR="00967EB1" w:rsidRPr="0057545E" w:rsidTr="00F737AD">
        <w:trPr>
          <w:trHeight w:val="533"/>
        </w:trPr>
        <w:tc>
          <w:tcPr>
            <w:tcW w:w="3114" w:type="dxa"/>
            <w:vMerge/>
            <w:shd w:val="clear" w:color="auto" w:fill="FFF2CC"/>
          </w:tcPr>
          <w:p w:rsidR="00967EB1" w:rsidRPr="00F737AD" w:rsidRDefault="00967EB1" w:rsidP="00F737AD">
            <w:pPr>
              <w:tabs>
                <w:tab w:val="left" w:pos="455"/>
                <w:tab w:val="left" w:pos="1560"/>
              </w:tabs>
              <w:spacing w:after="0"/>
              <w:ind w:left="455" w:hanging="455"/>
              <w:jc w:val="left"/>
              <w:rPr>
                <w:rFonts w:cs="Calibri"/>
                <w:szCs w:val="20"/>
                <w:lang w:val="en-GB"/>
              </w:rPr>
            </w:pPr>
          </w:p>
        </w:tc>
        <w:tc>
          <w:tcPr>
            <w:tcW w:w="6848" w:type="dxa"/>
            <w:shd w:val="clear" w:color="auto" w:fill="auto"/>
          </w:tcPr>
          <w:p w:rsidR="00967EB1" w:rsidRPr="00F737AD" w:rsidRDefault="00967EB1" w:rsidP="00F737AD">
            <w:pPr>
              <w:tabs>
                <w:tab w:val="left" w:pos="737"/>
                <w:tab w:val="left" w:pos="1560"/>
              </w:tabs>
              <w:spacing w:after="0"/>
              <w:ind w:left="737" w:hanging="737"/>
              <w:jc w:val="left"/>
              <w:rPr>
                <w:rFonts w:cs="Calibri"/>
                <w:sz w:val="19"/>
                <w:szCs w:val="19"/>
                <w:lang w:val="en-GB"/>
              </w:rPr>
            </w:pPr>
            <w:r w:rsidRPr="00F737AD">
              <w:rPr>
                <w:rFonts w:cs="Calibri"/>
                <w:sz w:val="19"/>
                <w:szCs w:val="19"/>
                <w:lang w:val="en-GB"/>
              </w:rPr>
              <w:t>Main partners: DEA, DOE, Eskom</w:t>
            </w:r>
          </w:p>
          <w:p w:rsidR="00967EB1" w:rsidRPr="00F737AD" w:rsidRDefault="00967EB1" w:rsidP="00F737AD">
            <w:pPr>
              <w:tabs>
                <w:tab w:val="left" w:pos="1304"/>
                <w:tab w:val="left" w:pos="1560"/>
              </w:tabs>
              <w:spacing w:after="0"/>
              <w:jc w:val="left"/>
              <w:rPr>
                <w:rFonts w:cs="Calibri"/>
                <w:sz w:val="19"/>
                <w:szCs w:val="19"/>
                <w:lang w:val="en-GB"/>
              </w:rPr>
            </w:pPr>
            <w:r w:rsidRPr="00F737AD">
              <w:rPr>
                <w:rFonts w:cs="Calibri"/>
                <w:sz w:val="19"/>
                <w:szCs w:val="19"/>
                <w:lang w:val="en-GB"/>
              </w:rPr>
              <w:t>Other partners: municipalities; private sector (transformer manufacturers; vegetable oil producers</w:t>
            </w:r>
          </w:p>
        </w:tc>
      </w:tr>
      <w:tr w:rsidR="0012486F" w:rsidRPr="0057545E" w:rsidTr="00F737AD">
        <w:trPr>
          <w:trHeight w:val="327"/>
        </w:trPr>
        <w:tc>
          <w:tcPr>
            <w:tcW w:w="9962" w:type="dxa"/>
            <w:gridSpan w:val="2"/>
            <w:shd w:val="clear" w:color="auto" w:fill="EDEDED"/>
          </w:tcPr>
          <w:p w:rsidR="0012486F" w:rsidRPr="00F737AD" w:rsidRDefault="0012486F" w:rsidP="00F737AD">
            <w:pPr>
              <w:tabs>
                <w:tab w:val="left" w:pos="737"/>
                <w:tab w:val="left" w:pos="1560"/>
              </w:tabs>
              <w:spacing w:after="0"/>
              <w:ind w:left="737" w:hanging="737"/>
              <w:jc w:val="left"/>
              <w:rPr>
                <w:rFonts w:cs="Calibri"/>
                <w:b/>
                <w:sz w:val="19"/>
                <w:szCs w:val="19"/>
                <w:lang w:val="en-GB"/>
              </w:rPr>
            </w:pPr>
            <w:r w:rsidRPr="00F737AD">
              <w:rPr>
                <w:rFonts w:cs="Calibri"/>
                <w:b/>
                <w:sz w:val="19"/>
                <w:szCs w:val="19"/>
                <w:lang w:val="en-GB"/>
              </w:rPr>
              <w:t>Responsible GEF agency: UNDP</w:t>
            </w:r>
          </w:p>
        </w:tc>
      </w:tr>
      <w:bookmarkEnd w:id="106"/>
    </w:tbl>
    <w:p w:rsidR="00967EB1" w:rsidRPr="00F737AD" w:rsidRDefault="00967EB1" w:rsidP="00967EB1">
      <w:pPr>
        <w:tabs>
          <w:tab w:val="left" w:pos="1560"/>
        </w:tabs>
        <w:spacing w:after="0"/>
        <w:jc w:val="left"/>
        <w:rPr>
          <w:rFonts w:cs="Calibri"/>
          <w:szCs w:val="20"/>
          <w:lang w:val="en-GB"/>
        </w:rPr>
      </w:pPr>
    </w:p>
    <w:p w:rsidR="00967EB1" w:rsidRPr="00F737AD" w:rsidRDefault="00967EB1" w:rsidP="00967EB1">
      <w:pPr>
        <w:tabs>
          <w:tab w:val="left" w:pos="1276"/>
        </w:tabs>
        <w:spacing w:after="0"/>
        <w:jc w:val="left"/>
        <w:rPr>
          <w:rFonts w:cs="Calibri"/>
          <w:b/>
          <w:szCs w:val="20"/>
          <w:lang w:val="en-GB"/>
        </w:rPr>
      </w:pPr>
      <w:r w:rsidRPr="00F737AD">
        <w:rPr>
          <w:rFonts w:cs="Calibri"/>
          <w:b/>
          <w:szCs w:val="20"/>
          <w:lang w:val="en-GB"/>
        </w:rPr>
        <w:t>Output 4.1</w:t>
      </w:r>
      <w:r w:rsidRPr="00F737AD">
        <w:rPr>
          <w:rFonts w:cs="Calibri"/>
          <w:b/>
          <w:szCs w:val="20"/>
          <w:lang w:val="en-GB"/>
        </w:rPr>
        <w:tab/>
        <w:t xml:space="preserve">Strengthened local knowledge on how to collect, recycle and responsibly </w:t>
      </w:r>
      <w:r w:rsidRPr="00F737AD">
        <w:rPr>
          <w:rFonts w:cs="Calibri"/>
          <w:b/>
          <w:noProof/>
          <w:szCs w:val="20"/>
          <w:lang w:val="en-GB"/>
        </w:rPr>
        <w:t>dispose</w:t>
      </w:r>
      <w:r w:rsidR="00E236DA" w:rsidRPr="00F737AD">
        <w:rPr>
          <w:rFonts w:cs="Calibri"/>
          <w:b/>
          <w:noProof/>
          <w:szCs w:val="20"/>
          <w:lang w:val="en-GB"/>
        </w:rPr>
        <w:t xml:space="preserve"> of</w:t>
      </w:r>
      <w:r w:rsidRPr="00F737AD">
        <w:rPr>
          <w:rFonts w:cs="Calibri"/>
          <w:b/>
          <w:szCs w:val="20"/>
          <w:lang w:val="en-GB"/>
        </w:rPr>
        <w:t xml:space="preserve"> lamps</w:t>
      </w:r>
    </w:p>
    <w:p w:rsidR="00967EB1" w:rsidRPr="00F737AD" w:rsidRDefault="00967EB1" w:rsidP="00967EB1">
      <w:pPr>
        <w:tabs>
          <w:tab w:val="left" w:pos="1560"/>
        </w:tabs>
        <w:spacing w:after="0"/>
        <w:jc w:val="left"/>
        <w:rPr>
          <w:rFonts w:cs="Calibri"/>
          <w:szCs w:val="20"/>
          <w:lang w:val="en-GB"/>
        </w:rPr>
      </w:pPr>
    </w:p>
    <w:p w:rsidR="00967EB1" w:rsidRPr="00F737AD" w:rsidRDefault="00967EB1" w:rsidP="00967EB1">
      <w:pPr>
        <w:spacing w:after="0"/>
        <w:jc w:val="left"/>
        <w:rPr>
          <w:rFonts w:cs="Calibri"/>
          <w:i/>
          <w:szCs w:val="20"/>
          <w:lang w:val="en-GB"/>
        </w:rPr>
      </w:pPr>
      <w:r w:rsidRPr="00F737AD">
        <w:rPr>
          <w:rFonts w:cs="Calibri"/>
          <w:i/>
          <w:szCs w:val="20"/>
          <w:lang w:val="en-GB"/>
        </w:rPr>
        <w:t>Activity 4.1.1</w:t>
      </w:r>
      <w:r w:rsidRPr="00F737AD">
        <w:rPr>
          <w:rFonts w:cs="Calibri"/>
          <w:i/>
          <w:szCs w:val="20"/>
          <w:lang w:val="en-GB"/>
        </w:rPr>
        <w:tab/>
        <w:t>Assessment of current practice in recycling of (fluorescent) lamps, waste handling</w:t>
      </w:r>
    </w:p>
    <w:p w:rsidR="00967EB1" w:rsidRPr="00F737AD" w:rsidRDefault="00967EB1" w:rsidP="00967EB1">
      <w:pPr>
        <w:tabs>
          <w:tab w:val="left" w:pos="1560"/>
        </w:tabs>
        <w:spacing w:after="0"/>
        <w:jc w:val="left"/>
        <w:rPr>
          <w:rFonts w:cs="Calibri"/>
          <w:szCs w:val="20"/>
          <w:lang w:val="en-GB"/>
        </w:rPr>
      </w:pPr>
    </w:p>
    <w:p w:rsidR="00967EB1" w:rsidRPr="00666B27" w:rsidRDefault="00967EB1" w:rsidP="00967EB1">
      <w:pPr>
        <w:spacing w:after="0"/>
        <w:rPr>
          <w:rStyle w:val="Hyperlink"/>
          <w:color w:val="auto"/>
          <w:szCs w:val="20"/>
          <w:u w:val="none"/>
          <w:lang w:val="en-GB"/>
        </w:rPr>
      </w:pPr>
      <w:r w:rsidRPr="00666B27">
        <w:rPr>
          <w:rStyle w:val="Hyperlink"/>
          <w:color w:val="auto"/>
          <w:szCs w:val="20"/>
          <w:u w:val="none"/>
          <w:lang w:val="en-GB"/>
        </w:rPr>
        <w:t xml:space="preserve">An assessment of current practice in recycling of (fluorescent) lamps, waste handling and mercury recovery (fluorescents) and recommendations </w:t>
      </w:r>
      <w:r w:rsidR="00E236DA" w:rsidRPr="00666B27">
        <w:rPr>
          <w:rStyle w:val="Hyperlink"/>
          <w:noProof/>
          <w:color w:val="auto"/>
          <w:szCs w:val="20"/>
          <w:u w:val="none"/>
          <w:lang w:val="en-GB"/>
        </w:rPr>
        <w:t>o</w:t>
      </w:r>
      <w:r w:rsidRPr="00666B27">
        <w:rPr>
          <w:rStyle w:val="Hyperlink"/>
          <w:noProof/>
          <w:color w:val="auto"/>
          <w:szCs w:val="20"/>
          <w:u w:val="none"/>
          <w:lang w:val="en-GB"/>
        </w:rPr>
        <w:t>n</w:t>
      </w:r>
      <w:r w:rsidRPr="00666B27">
        <w:rPr>
          <w:rStyle w:val="Hyperlink"/>
          <w:color w:val="auto"/>
          <w:szCs w:val="20"/>
          <w:u w:val="none"/>
          <w:lang w:val="en-GB"/>
        </w:rPr>
        <w:t xml:space="preserve"> how to improve the recovery and installation of CFLs particularly in areas not served by regular recycling channels. The assessment will include aspects as consumer, supplier and municipal awareness and responsibilities; drop-off </w:t>
      </w:r>
      <w:r w:rsidRPr="00666B27">
        <w:rPr>
          <w:rStyle w:val="Hyperlink"/>
          <w:noProof/>
          <w:color w:val="auto"/>
          <w:szCs w:val="20"/>
          <w:u w:val="none"/>
          <w:lang w:val="en-GB"/>
        </w:rPr>
        <w:t>centres</w:t>
      </w:r>
      <w:r w:rsidRPr="00666B27">
        <w:rPr>
          <w:rStyle w:val="Hyperlink"/>
          <w:color w:val="auto"/>
          <w:szCs w:val="20"/>
          <w:u w:val="none"/>
          <w:lang w:val="en-GB"/>
        </w:rPr>
        <w:t xml:space="preserve"> and collection points; transportation; disposal of lamps as hazardous and e-waste; recycling and recovery of hazardous substances. </w:t>
      </w:r>
      <w:r w:rsidR="009F0A85" w:rsidRPr="00666B27">
        <w:rPr>
          <w:rStyle w:val="Hyperlink"/>
          <w:color w:val="auto"/>
          <w:szCs w:val="20"/>
          <w:u w:val="none"/>
          <w:lang w:val="en-GB"/>
        </w:rPr>
        <w:t xml:space="preserve"> The Project can support the feasibility and business plan formulation of i</w:t>
      </w:r>
      <w:r w:rsidRPr="00666B27">
        <w:rPr>
          <w:rStyle w:val="Hyperlink"/>
          <w:color w:val="auto"/>
          <w:szCs w:val="20"/>
          <w:u w:val="none"/>
          <w:lang w:val="en-GB"/>
        </w:rPr>
        <w:t>ndividual investment proposals on lamp waste collection, recycling</w:t>
      </w:r>
      <w:r w:rsidR="00E236DA" w:rsidRPr="00666B27">
        <w:rPr>
          <w:rStyle w:val="Hyperlink"/>
          <w:color w:val="auto"/>
          <w:szCs w:val="20"/>
          <w:u w:val="none"/>
          <w:lang w:val="en-GB"/>
        </w:rPr>
        <w:t>,</w:t>
      </w:r>
      <w:r w:rsidRPr="00666B27">
        <w:rPr>
          <w:rStyle w:val="Hyperlink"/>
          <w:color w:val="auto"/>
          <w:szCs w:val="20"/>
          <w:u w:val="none"/>
          <w:lang w:val="en-GB"/>
        </w:rPr>
        <w:t xml:space="preserve"> </w:t>
      </w:r>
      <w:r w:rsidRPr="00666B27">
        <w:rPr>
          <w:rStyle w:val="Hyperlink"/>
          <w:noProof/>
          <w:color w:val="auto"/>
          <w:szCs w:val="20"/>
          <w:u w:val="none"/>
          <w:lang w:val="en-GB"/>
        </w:rPr>
        <w:t>and</w:t>
      </w:r>
      <w:r w:rsidRPr="00666B27">
        <w:rPr>
          <w:rStyle w:val="Hyperlink"/>
          <w:color w:val="auto"/>
          <w:szCs w:val="20"/>
          <w:u w:val="none"/>
          <w:lang w:val="en-GB"/>
        </w:rPr>
        <w:t xml:space="preserve"> processing </w:t>
      </w:r>
      <w:r w:rsidR="009F0A85" w:rsidRPr="00666B27">
        <w:rPr>
          <w:rStyle w:val="Hyperlink"/>
          <w:color w:val="auto"/>
          <w:szCs w:val="20"/>
          <w:u w:val="none"/>
          <w:lang w:val="en-GB"/>
        </w:rPr>
        <w:t xml:space="preserve">that </w:t>
      </w:r>
      <w:r w:rsidRPr="00666B27">
        <w:rPr>
          <w:rStyle w:val="Hyperlink"/>
          <w:color w:val="auto"/>
          <w:szCs w:val="20"/>
          <w:u w:val="none"/>
          <w:lang w:val="en-GB"/>
        </w:rPr>
        <w:t>may be submitted to the Project’s Financial Instrument (EEFI)</w:t>
      </w:r>
      <w:r w:rsidR="009F0A85" w:rsidRPr="00666B27">
        <w:rPr>
          <w:rStyle w:val="Hyperlink"/>
          <w:color w:val="auto"/>
          <w:szCs w:val="20"/>
          <w:u w:val="none"/>
          <w:lang w:val="en-GB"/>
        </w:rPr>
        <w:t xml:space="preserve"> or commercial financiers.</w:t>
      </w:r>
    </w:p>
    <w:p w:rsidR="00967EB1" w:rsidRPr="00666B27" w:rsidRDefault="00967EB1" w:rsidP="00967EB1">
      <w:pPr>
        <w:spacing w:after="0"/>
        <w:rPr>
          <w:rStyle w:val="Hyperlink"/>
          <w:color w:val="auto"/>
          <w:szCs w:val="20"/>
          <w:u w:val="none"/>
          <w:lang w:val="en-GB"/>
        </w:rPr>
      </w:pPr>
    </w:p>
    <w:p w:rsidR="00967EB1" w:rsidRPr="00353542" w:rsidRDefault="00967EB1" w:rsidP="00967EB1">
      <w:pPr>
        <w:tabs>
          <w:tab w:val="left" w:pos="1418"/>
        </w:tabs>
        <w:spacing w:after="0"/>
        <w:ind w:left="1418" w:hanging="1418"/>
        <w:rPr>
          <w:rStyle w:val="Hyperlink"/>
          <w:i/>
          <w:color w:val="auto"/>
          <w:szCs w:val="20"/>
          <w:u w:val="none"/>
          <w:lang w:val="en-GB"/>
        </w:rPr>
      </w:pPr>
      <w:r w:rsidRPr="00666B27">
        <w:rPr>
          <w:rStyle w:val="Hyperlink"/>
          <w:i/>
          <w:color w:val="auto"/>
          <w:szCs w:val="20"/>
          <w:u w:val="none"/>
          <w:lang w:val="en-GB"/>
        </w:rPr>
        <w:t xml:space="preserve">Activity </w:t>
      </w:r>
      <w:r w:rsidR="0057545E">
        <w:rPr>
          <w:rStyle w:val="Hyperlink"/>
          <w:i/>
          <w:color w:val="auto"/>
          <w:szCs w:val="20"/>
          <w:u w:val="none"/>
          <w:lang w:val="en-GB"/>
        </w:rPr>
        <w:t>4</w:t>
      </w:r>
      <w:r w:rsidRPr="0057545E">
        <w:rPr>
          <w:rStyle w:val="Hyperlink"/>
          <w:i/>
          <w:color w:val="auto"/>
          <w:szCs w:val="20"/>
          <w:u w:val="none"/>
          <w:lang w:val="en-GB"/>
        </w:rPr>
        <w:t xml:space="preserve">.1.2 </w:t>
      </w:r>
      <w:r w:rsidRPr="0057545E">
        <w:rPr>
          <w:rStyle w:val="Hyperlink"/>
          <w:i/>
          <w:color w:val="auto"/>
          <w:szCs w:val="20"/>
          <w:u w:val="none"/>
          <w:lang w:val="en-GB"/>
        </w:rPr>
        <w:tab/>
        <w:t>Provide training to municipal officials and sales outlet staff on environmentally sound management of lamp waste</w:t>
      </w:r>
    </w:p>
    <w:p w:rsidR="00967EB1" w:rsidRPr="00666B27" w:rsidRDefault="00967EB1" w:rsidP="00967EB1">
      <w:pPr>
        <w:tabs>
          <w:tab w:val="left" w:pos="0"/>
        </w:tabs>
        <w:spacing w:after="0"/>
        <w:rPr>
          <w:rStyle w:val="Hyperlink"/>
          <w:color w:val="auto"/>
          <w:szCs w:val="20"/>
          <w:u w:val="none"/>
          <w:lang w:val="en-GB"/>
        </w:rPr>
      </w:pPr>
      <w:r w:rsidRPr="003B7D62">
        <w:rPr>
          <w:rStyle w:val="Hyperlink"/>
          <w:color w:val="auto"/>
          <w:szCs w:val="20"/>
          <w:u w:val="none"/>
          <w:lang w:val="en-GB"/>
        </w:rPr>
        <w:t xml:space="preserve">The Project will provide training to municipal officials on environmentally sound management </w:t>
      </w:r>
      <w:r w:rsidRPr="004722F0">
        <w:rPr>
          <w:rStyle w:val="Hyperlink"/>
          <w:color w:val="auto"/>
          <w:szCs w:val="20"/>
          <w:u w:val="none"/>
          <w:lang w:val="en-GB"/>
        </w:rPr>
        <w:t>of lamp waste (</w:t>
      </w:r>
      <w:proofErr w:type="gramStart"/>
      <w:r w:rsidRPr="004722F0">
        <w:rPr>
          <w:rStyle w:val="Hyperlink"/>
          <w:color w:val="auto"/>
          <w:szCs w:val="20"/>
          <w:u w:val="none"/>
          <w:lang w:val="en-GB"/>
        </w:rPr>
        <w:t>in particular fluorescents</w:t>
      </w:r>
      <w:proofErr w:type="gramEnd"/>
      <w:r w:rsidRPr="004722F0">
        <w:rPr>
          <w:rStyle w:val="Hyperlink"/>
          <w:color w:val="auto"/>
          <w:szCs w:val="20"/>
          <w:u w:val="none"/>
          <w:lang w:val="en-GB"/>
        </w:rPr>
        <w:t xml:space="preserve"> and strengthening the capacity of waste han</w:t>
      </w:r>
      <w:r w:rsidRPr="005431FB">
        <w:rPr>
          <w:rStyle w:val="Hyperlink"/>
          <w:color w:val="auto"/>
          <w:szCs w:val="20"/>
          <w:u w:val="none"/>
          <w:lang w:val="en-GB"/>
        </w:rPr>
        <w:t xml:space="preserve">dling units), linked with the capacity building activities for municipal, private sector staff </w:t>
      </w:r>
      <w:r w:rsidRPr="00666B27">
        <w:rPr>
          <w:rStyle w:val="Hyperlink"/>
          <w:color w:val="auto"/>
          <w:szCs w:val="20"/>
          <w:u w:val="none"/>
          <w:lang w:val="en-GB"/>
        </w:rPr>
        <w:t>and decision-makers (2.1.2 and 2.2.1).</w:t>
      </w:r>
    </w:p>
    <w:p w:rsidR="00967EB1" w:rsidRDefault="00967EB1" w:rsidP="00967EB1">
      <w:pPr>
        <w:tabs>
          <w:tab w:val="left" w:pos="0"/>
        </w:tabs>
        <w:spacing w:after="0"/>
        <w:rPr>
          <w:rStyle w:val="Hyperlink"/>
          <w:color w:val="auto"/>
          <w:szCs w:val="20"/>
          <w:u w:val="none"/>
          <w:lang w:val="en-GB"/>
        </w:rPr>
      </w:pPr>
    </w:p>
    <w:p w:rsidR="00555159" w:rsidRPr="00666B27" w:rsidRDefault="00555159" w:rsidP="00967EB1">
      <w:pPr>
        <w:tabs>
          <w:tab w:val="left" w:pos="0"/>
        </w:tabs>
        <w:spacing w:after="0"/>
        <w:rPr>
          <w:rStyle w:val="Hyperlink"/>
          <w:color w:val="auto"/>
          <w:szCs w:val="20"/>
          <w:u w:val="none"/>
          <w:lang w:val="en-GB"/>
        </w:rPr>
      </w:pPr>
    </w:p>
    <w:p w:rsidR="00967EB1" w:rsidRPr="00666B27" w:rsidRDefault="00967EB1" w:rsidP="00967EB1">
      <w:pPr>
        <w:tabs>
          <w:tab w:val="left" w:pos="0"/>
          <w:tab w:val="left" w:pos="1276"/>
        </w:tabs>
        <w:spacing w:after="0"/>
        <w:rPr>
          <w:rStyle w:val="Hyperlink"/>
          <w:b/>
          <w:color w:val="auto"/>
          <w:szCs w:val="20"/>
          <w:u w:val="none"/>
          <w:lang w:val="en-GB"/>
        </w:rPr>
      </w:pPr>
      <w:r w:rsidRPr="00666B27">
        <w:rPr>
          <w:rStyle w:val="Hyperlink"/>
          <w:b/>
          <w:color w:val="auto"/>
          <w:szCs w:val="20"/>
          <w:u w:val="none"/>
          <w:lang w:val="en-GB"/>
        </w:rPr>
        <w:t>Output 4.2</w:t>
      </w:r>
      <w:r w:rsidRPr="00666B27">
        <w:rPr>
          <w:rStyle w:val="Hyperlink"/>
          <w:b/>
          <w:color w:val="auto"/>
          <w:szCs w:val="20"/>
          <w:u w:val="none"/>
          <w:lang w:val="en-GB"/>
        </w:rPr>
        <w:tab/>
        <w:t>Assessed issues and options of using vegetable oil in liquid-filled transformers</w:t>
      </w:r>
    </w:p>
    <w:p w:rsidR="00967EB1" w:rsidRPr="00666B27" w:rsidRDefault="00967EB1" w:rsidP="00967EB1">
      <w:pPr>
        <w:tabs>
          <w:tab w:val="left" w:pos="0"/>
          <w:tab w:val="left" w:pos="1276"/>
        </w:tabs>
        <w:spacing w:after="0"/>
        <w:rPr>
          <w:rStyle w:val="Hyperlink"/>
          <w:b/>
          <w:color w:val="auto"/>
          <w:szCs w:val="20"/>
          <w:u w:val="none"/>
          <w:lang w:val="en-GB"/>
        </w:rPr>
      </w:pPr>
    </w:p>
    <w:p w:rsidR="00967EB1" w:rsidRPr="00666B27" w:rsidRDefault="00967EB1" w:rsidP="00967EB1">
      <w:pPr>
        <w:tabs>
          <w:tab w:val="left" w:pos="0"/>
          <w:tab w:val="left" w:pos="1276"/>
        </w:tabs>
        <w:spacing w:after="0"/>
        <w:rPr>
          <w:rStyle w:val="Hyperlink"/>
          <w:i/>
          <w:color w:val="auto"/>
          <w:szCs w:val="20"/>
          <w:u w:val="none"/>
          <w:lang w:val="en-GB"/>
        </w:rPr>
      </w:pPr>
      <w:r w:rsidRPr="00666B27">
        <w:rPr>
          <w:rStyle w:val="Hyperlink"/>
          <w:i/>
          <w:color w:val="auto"/>
          <w:szCs w:val="20"/>
          <w:u w:val="none"/>
          <w:lang w:val="en-GB"/>
        </w:rPr>
        <w:t>Activity 4.2.1</w:t>
      </w:r>
      <w:r w:rsidRPr="00666B27">
        <w:rPr>
          <w:rStyle w:val="Hyperlink"/>
          <w:i/>
          <w:color w:val="auto"/>
          <w:szCs w:val="20"/>
          <w:u w:val="none"/>
          <w:lang w:val="en-GB"/>
        </w:rPr>
        <w:tab/>
        <w:t>Assessment of the issues and options of using vegetable oil in liquid-filled transformers</w:t>
      </w:r>
    </w:p>
    <w:p w:rsidR="00967EB1" w:rsidRPr="00666B27" w:rsidRDefault="00967EB1" w:rsidP="00967EB1">
      <w:pPr>
        <w:tabs>
          <w:tab w:val="left" w:pos="0"/>
          <w:tab w:val="left" w:pos="1276"/>
        </w:tabs>
        <w:spacing w:after="0"/>
        <w:rPr>
          <w:rStyle w:val="Hyperlink"/>
          <w:i/>
          <w:color w:val="auto"/>
          <w:szCs w:val="20"/>
          <w:u w:val="none"/>
          <w:lang w:val="en-GB"/>
        </w:rPr>
      </w:pPr>
    </w:p>
    <w:p w:rsidR="00967EB1" w:rsidRPr="00666B27" w:rsidRDefault="00967EB1" w:rsidP="00967EB1">
      <w:pPr>
        <w:tabs>
          <w:tab w:val="left" w:pos="0"/>
          <w:tab w:val="left" w:pos="1276"/>
        </w:tabs>
        <w:spacing w:after="0"/>
        <w:rPr>
          <w:rStyle w:val="Hyperlink"/>
          <w:color w:val="auto"/>
          <w:szCs w:val="20"/>
          <w:u w:val="none"/>
          <w:lang w:val="en-GB"/>
        </w:rPr>
      </w:pPr>
      <w:r w:rsidRPr="00666B27">
        <w:rPr>
          <w:rStyle w:val="Hyperlink"/>
          <w:color w:val="auto"/>
          <w:szCs w:val="20"/>
          <w:u w:val="none"/>
          <w:lang w:val="en-GB"/>
        </w:rPr>
        <w:lastRenderedPageBreak/>
        <w:t>Vegetable-oil natural esters can be used in distribution transformers as insulating oil instead of mineral oils. The Project will carry out a detailed assessment of the use of vegetable oil for transformers, current production of suitable</w:t>
      </w:r>
      <w:r w:rsidR="0057545E">
        <w:rPr>
          <w:rStyle w:val="Hyperlink"/>
          <w:color w:val="auto"/>
          <w:szCs w:val="20"/>
          <w:u w:val="none"/>
          <w:lang w:val="en-GB"/>
        </w:rPr>
        <w:t xml:space="preserve"> </w:t>
      </w:r>
      <w:r w:rsidRPr="0057545E">
        <w:rPr>
          <w:rStyle w:val="Hyperlink"/>
          <w:color w:val="auto"/>
          <w:szCs w:val="20"/>
          <w:u w:val="none"/>
          <w:lang w:val="en-GB"/>
        </w:rPr>
        <w:t xml:space="preserve">vegetable oil type and costs (incl. recycling and processing of used edible oil), and techno-economic assessment of upgrading </w:t>
      </w:r>
      <w:r w:rsidRPr="0057545E">
        <w:rPr>
          <w:rStyle w:val="Hyperlink"/>
          <w:noProof/>
          <w:color w:val="auto"/>
          <w:szCs w:val="20"/>
          <w:u w:val="none"/>
          <w:lang w:val="en-GB"/>
        </w:rPr>
        <w:t>current</w:t>
      </w:r>
      <w:r w:rsidRPr="0057545E">
        <w:rPr>
          <w:rStyle w:val="Hyperlink"/>
          <w:color w:val="auto"/>
          <w:szCs w:val="20"/>
          <w:u w:val="none"/>
          <w:lang w:val="en-GB"/>
        </w:rPr>
        <w:t xml:space="preserve"> manufacturing facilit</w:t>
      </w:r>
      <w:r w:rsidR="00E236DA" w:rsidRPr="0057545E">
        <w:rPr>
          <w:rStyle w:val="Hyperlink"/>
          <w:color w:val="auto"/>
          <w:szCs w:val="20"/>
          <w:u w:val="none"/>
          <w:lang w:val="en-GB"/>
        </w:rPr>
        <w:t>ies</w:t>
      </w:r>
      <w:r w:rsidRPr="00514DE8">
        <w:rPr>
          <w:rStyle w:val="Hyperlink"/>
          <w:color w:val="auto"/>
          <w:szCs w:val="20"/>
          <w:u w:val="none"/>
          <w:lang w:val="en-GB"/>
        </w:rPr>
        <w:t xml:space="preserve"> to produce vegetable-oil-based transformers.</w:t>
      </w:r>
      <w:r w:rsidR="009F0A85" w:rsidRPr="006A68A3">
        <w:rPr>
          <w:lang w:val="en-GB"/>
        </w:rPr>
        <w:t xml:space="preserve"> </w:t>
      </w:r>
      <w:r w:rsidR="009F0A85" w:rsidRPr="0057545E">
        <w:rPr>
          <w:rStyle w:val="Hyperlink"/>
          <w:color w:val="auto"/>
          <w:szCs w:val="20"/>
          <w:u w:val="none"/>
          <w:lang w:val="en-GB"/>
        </w:rPr>
        <w:t xml:space="preserve">The Project can also support the feasibility </w:t>
      </w:r>
      <w:r w:rsidR="00465177" w:rsidRPr="00353542">
        <w:rPr>
          <w:rStyle w:val="Hyperlink"/>
          <w:color w:val="auto"/>
          <w:szCs w:val="20"/>
          <w:u w:val="none"/>
          <w:lang w:val="en-GB"/>
        </w:rPr>
        <w:t>assessment</w:t>
      </w:r>
      <w:r w:rsidR="009F0A85" w:rsidRPr="00353542">
        <w:rPr>
          <w:rStyle w:val="Hyperlink"/>
          <w:color w:val="auto"/>
          <w:szCs w:val="20"/>
          <w:u w:val="none"/>
          <w:lang w:val="en-GB"/>
        </w:rPr>
        <w:t xml:space="preserve"> </w:t>
      </w:r>
      <w:r w:rsidR="009F0A85" w:rsidRPr="003B7D62">
        <w:rPr>
          <w:rStyle w:val="Hyperlink"/>
          <w:color w:val="auto"/>
          <w:szCs w:val="20"/>
          <w:u w:val="none"/>
          <w:lang w:val="en-GB"/>
        </w:rPr>
        <w:t xml:space="preserve">and business plan formulation of individual investment proposals on lamp waste collection, recycling </w:t>
      </w:r>
      <w:r w:rsidR="009F0A85" w:rsidRPr="004722F0">
        <w:rPr>
          <w:rStyle w:val="Hyperlink"/>
          <w:noProof/>
          <w:color w:val="auto"/>
          <w:szCs w:val="20"/>
          <w:u w:val="none"/>
          <w:lang w:val="en-GB"/>
        </w:rPr>
        <w:t>and</w:t>
      </w:r>
      <w:r w:rsidR="009F0A85" w:rsidRPr="005431FB">
        <w:rPr>
          <w:rStyle w:val="Hyperlink"/>
          <w:color w:val="auto"/>
          <w:szCs w:val="20"/>
          <w:u w:val="none"/>
          <w:lang w:val="en-GB"/>
        </w:rPr>
        <w:t xml:space="preserve"> processing that may be submitted to the Project’s Financial Instrument (EEFI) or com</w:t>
      </w:r>
      <w:r w:rsidR="009F0A85" w:rsidRPr="00666B27">
        <w:rPr>
          <w:rStyle w:val="Hyperlink"/>
          <w:color w:val="auto"/>
          <w:szCs w:val="20"/>
          <w:u w:val="none"/>
          <w:lang w:val="en-GB"/>
        </w:rPr>
        <w:t>mercial financiers</w:t>
      </w:r>
    </w:p>
    <w:p w:rsidR="00967EB1" w:rsidRPr="00666B27" w:rsidRDefault="00967EB1">
      <w:pPr>
        <w:spacing w:after="0"/>
        <w:jc w:val="left"/>
        <w:rPr>
          <w:b/>
          <w:lang w:val="en-GB"/>
        </w:rPr>
      </w:pPr>
    </w:p>
    <w:p w:rsidR="00C97B58" w:rsidRPr="00666B27" w:rsidRDefault="00C97B58" w:rsidP="00C97B58">
      <w:pPr>
        <w:pStyle w:val="Heading2"/>
      </w:pPr>
      <w:bookmarkStart w:id="107" w:name="_Toc497848300"/>
      <w:bookmarkStart w:id="108" w:name="_Toc340759"/>
      <w:r w:rsidRPr="00666B27">
        <w:t>Partnerships</w:t>
      </w:r>
      <w:bookmarkEnd w:id="107"/>
      <w:bookmarkEnd w:id="108"/>
    </w:p>
    <w:p w:rsidR="00C97B58" w:rsidRPr="00666B27" w:rsidRDefault="00C97B58" w:rsidP="00C97B58">
      <w:pPr>
        <w:rPr>
          <w:lang w:val="en-GB" w:eastAsia="en-GB"/>
        </w:rPr>
      </w:pPr>
    </w:p>
    <w:p w:rsidR="001F3CAE" w:rsidRPr="00666B27" w:rsidRDefault="001F3CAE" w:rsidP="00DA2FD1">
      <w:pPr>
        <w:spacing w:after="0"/>
        <w:rPr>
          <w:lang w:val="en-GB" w:eastAsia="en-GB"/>
        </w:rPr>
      </w:pPr>
      <w:bookmarkStart w:id="109" w:name="_Hlk365001"/>
      <w:r w:rsidRPr="00666B27">
        <w:rPr>
          <w:lang w:val="en-GB" w:eastAsia="en-GB"/>
        </w:rPr>
        <w:t xml:space="preserve">This project in South Africa will be implemented as a full-sized project, implemented by the Department of Energy </w:t>
      </w:r>
      <w:r w:rsidR="00DA2FD1" w:rsidRPr="00666B27">
        <w:rPr>
          <w:lang w:val="en-GB" w:eastAsia="en-GB"/>
        </w:rPr>
        <w:t>(DoE) with co</w:t>
      </w:r>
      <w:r w:rsidRPr="00666B27">
        <w:rPr>
          <w:lang w:val="en-GB" w:eastAsia="en-GB"/>
        </w:rPr>
        <w:t xml:space="preserve">-financing provided by the Global Environment Facility (GEF) and the support of two GEF implementing </w:t>
      </w:r>
      <w:r w:rsidR="00DA2FD1" w:rsidRPr="00666B27">
        <w:rPr>
          <w:lang w:val="en-GB" w:eastAsia="en-GB"/>
        </w:rPr>
        <w:t>agencies, DBSA</w:t>
      </w:r>
      <w:r w:rsidRPr="00666B27">
        <w:rPr>
          <w:lang w:val="en-GB" w:eastAsia="en-GB"/>
        </w:rPr>
        <w:t xml:space="preserve"> and UNDP. The project will work closely together with the state utility, Eskom, the Department of Trade and Industry</w:t>
      </w:r>
      <w:r w:rsidR="00DA2FD1" w:rsidRPr="00666B27">
        <w:rPr>
          <w:lang w:val="en-GB" w:eastAsia="en-GB"/>
        </w:rPr>
        <w:t xml:space="preserve"> (DTI)</w:t>
      </w:r>
      <w:r w:rsidRPr="00666B27">
        <w:rPr>
          <w:lang w:val="en-GB" w:eastAsia="en-GB"/>
        </w:rPr>
        <w:t xml:space="preserve">, </w:t>
      </w:r>
      <w:r w:rsidR="00465177" w:rsidRPr="00666B27">
        <w:rPr>
          <w:lang w:val="en-GB" w:eastAsia="en-GB"/>
        </w:rPr>
        <w:t xml:space="preserve">and </w:t>
      </w:r>
      <w:r w:rsidRPr="00666B27">
        <w:rPr>
          <w:lang w:val="en-GB" w:eastAsia="en-GB"/>
        </w:rPr>
        <w:t>the Department of Envi</w:t>
      </w:r>
      <w:r w:rsidR="00DA2FD1" w:rsidRPr="00666B27">
        <w:rPr>
          <w:lang w:val="en-GB" w:eastAsia="en-GB"/>
        </w:rPr>
        <w:t>ronmental Affairs (DEA)</w:t>
      </w:r>
      <w:r w:rsidR="00465177" w:rsidRPr="00666B27">
        <w:rPr>
          <w:lang w:val="en-GB" w:eastAsia="en-GB"/>
        </w:rPr>
        <w:t>.</w:t>
      </w:r>
    </w:p>
    <w:bookmarkEnd w:id="109"/>
    <w:p w:rsidR="00E4211F" w:rsidRPr="00666B27" w:rsidRDefault="00E4211F" w:rsidP="00DA2FD1">
      <w:pPr>
        <w:spacing w:after="0"/>
        <w:rPr>
          <w:lang w:val="en-GB" w:eastAsia="en-GB"/>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7655"/>
      </w:tblGrid>
      <w:tr w:rsidR="00E4211F" w:rsidRPr="0057545E" w:rsidTr="00F737AD">
        <w:tc>
          <w:tcPr>
            <w:tcW w:w="2405" w:type="dxa"/>
            <w:shd w:val="clear" w:color="auto" w:fill="DEEAF6"/>
          </w:tcPr>
          <w:p w:rsidR="00E4211F" w:rsidRPr="00F737AD" w:rsidRDefault="00E4211F" w:rsidP="00F737AD">
            <w:pPr>
              <w:spacing w:after="0"/>
              <w:jc w:val="left"/>
              <w:rPr>
                <w:rFonts w:cs="Calibri"/>
                <w:b/>
                <w:szCs w:val="20"/>
                <w:lang w:val="en-GB" w:eastAsia="en-GB"/>
              </w:rPr>
            </w:pPr>
            <w:bookmarkStart w:id="110" w:name="_Hlk536814934"/>
            <w:r w:rsidRPr="00F737AD">
              <w:rPr>
                <w:rFonts w:cs="Calibri"/>
                <w:b/>
                <w:szCs w:val="20"/>
                <w:lang w:val="en-GB" w:eastAsia="en-GB"/>
              </w:rPr>
              <w:t>Project partner</w:t>
            </w:r>
          </w:p>
        </w:tc>
        <w:tc>
          <w:tcPr>
            <w:tcW w:w="7655" w:type="dxa"/>
            <w:shd w:val="clear" w:color="auto" w:fill="DEEAF6"/>
          </w:tcPr>
          <w:p w:rsidR="00E4211F" w:rsidRPr="00F737AD" w:rsidRDefault="00CC5151" w:rsidP="00F737AD">
            <w:pPr>
              <w:spacing w:after="0"/>
              <w:jc w:val="left"/>
              <w:rPr>
                <w:rFonts w:cs="Calibri"/>
                <w:b/>
                <w:szCs w:val="20"/>
                <w:lang w:val="en-GB" w:eastAsia="en-GB"/>
              </w:rPr>
            </w:pPr>
            <w:r w:rsidRPr="00F737AD">
              <w:rPr>
                <w:rFonts w:cs="Calibri"/>
                <w:b/>
                <w:szCs w:val="20"/>
                <w:lang w:val="en-GB" w:eastAsia="en-GB"/>
              </w:rPr>
              <w:t>Function of the partner; Indicative role in the Project</w:t>
            </w:r>
          </w:p>
        </w:tc>
      </w:tr>
      <w:tr w:rsidR="00E4211F" w:rsidRPr="0057545E" w:rsidTr="00F737AD">
        <w:tc>
          <w:tcPr>
            <w:tcW w:w="2405" w:type="dxa"/>
            <w:shd w:val="clear" w:color="auto" w:fill="auto"/>
          </w:tcPr>
          <w:p w:rsidR="00E4211F" w:rsidRPr="00F737AD" w:rsidRDefault="00E4211F" w:rsidP="00F737AD">
            <w:pPr>
              <w:numPr>
                <w:ilvl w:val="0"/>
                <w:numId w:val="55"/>
              </w:numPr>
              <w:spacing w:after="0"/>
              <w:ind w:left="284" w:hanging="284"/>
              <w:contextualSpacing/>
              <w:jc w:val="left"/>
              <w:rPr>
                <w:szCs w:val="20"/>
                <w:lang w:val="en-GB" w:eastAsia="en-GB"/>
              </w:rPr>
            </w:pPr>
            <w:r w:rsidRPr="00F737AD">
              <w:rPr>
                <w:szCs w:val="20"/>
                <w:lang w:val="en-GB" w:eastAsia="en-GB"/>
              </w:rPr>
              <w:t>Department of Energy (DOE) and agencies (SANEDI)</w:t>
            </w:r>
          </w:p>
        </w:tc>
        <w:tc>
          <w:tcPr>
            <w:tcW w:w="7655" w:type="dxa"/>
            <w:shd w:val="clear" w:color="auto" w:fill="auto"/>
          </w:tcPr>
          <w:p w:rsidR="00E4211F" w:rsidRPr="00F737AD" w:rsidRDefault="00E4211F" w:rsidP="00F737AD">
            <w:pPr>
              <w:spacing w:after="0"/>
              <w:jc w:val="left"/>
              <w:rPr>
                <w:rFonts w:cs="Calibri"/>
                <w:szCs w:val="20"/>
                <w:lang w:val="en-GB" w:eastAsia="en-GB"/>
              </w:rPr>
            </w:pPr>
            <w:r w:rsidRPr="00F737AD">
              <w:rPr>
                <w:rFonts w:cs="Calibri"/>
                <w:szCs w:val="20"/>
                <w:lang w:val="en-GB" w:eastAsia="en-GB"/>
              </w:rPr>
              <w:t>The Department of Energy (DoE) is the custodian of all energy policies and energy security in South Africa. The Department of Energy is the primary government institution responsible for energy regulation. The South African National Energy Development Institute (SANEDI), under DoE, is responsible for achieving the objectives of the National Energy Efficiency Strategy (NEES). DOE will be the Implementing Partner (IP</w:t>
            </w:r>
            <w:r w:rsidRPr="00F737AD">
              <w:rPr>
                <w:rFonts w:cs="Calibri"/>
                <w:noProof/>
                <w:szCs w:val="20"/>
                <w:lang w:val="en-GB" w:eastAsia="en-GB"/>
              </w:rPr>
              <w:t>)</w:t>
            </w:r>
            <w:r w:rsidRPr="00F737AD">
              <w:rPr>
                <w:rFonts w:cs="Calibri"/>
                <w:szCs w:val="20"/>
                <w:lang w:val="en-GB" w:eastAsia="en-GB"/>
              </w:rPr>
              <w:t xml:space="preserve"> and</w:t>
            </w:r>
            <w:r w:rsidRPr="00F737AD">
              <w:rPr>
                <w:lang w:val="en-GB"/>
              </w:rPr>
              <w:t xml:space="preserve"> </w:t>
            </w:r>
            <w:r w:rsidRPr="00F737AD">
              <w:rPr>
                <w:rFonts w:cs="Calibri"/>
                <w:szCs w:val="20"/>
                <w:lang w:val="en-GB" w:eastAsia="en-GB"/>
              </w:rPr>
              <w:t xml:space="preserve">work closely with the </w:t>
            </w:r>
            <w:r w:rsidRPr="00F737AD">
              <w:rPr>
                <w:rFonts w:cs="Calibri"/>
                <w:noProof/>
                <w:szCs w:val="20"/>
                <w:lang w:val="en-GB" w:eastAsia="en-GB"/>
              </w:rPr>
              <w:t>Project’s</w:t>
            </w:r>
            <w:r w:rsidRPr="00F737AD">
              <w:rPr>
                <w:rFonts w:cs="Calibri"/>
                <w:szCs w:val="20"/>
                <w:lang w:val="en-GB" w:eastAsia="en-GB"/>
              </w:rPr>
              <w:t xml:space="preserve"> full-time staff and short-term experts. DOE also will take a leadership role in the Project Board in providing direction to the Project. SANEDI may be involved in </w:t>
            </w:r>
            <w:r w:rsidR="00E236DA" w:rsidRPr="00F737AD">
              <w:rPr>
                <w:rFonts w:cs="Calibri"/>
                <w:szCs w:val="20"/>
                <w:lang w:val="en-GB" w:eastAsia="en-GB"/>
              </w:rPr>
              <w:t xml:space="preserve">the </w:t>
            </w:r>
            <w:r w:rsidRPr="00F737AD">
              <w:rPr>
                <w:rFonts w:cs="Calibri"/>
                <w:noProof/>
                <w:szCs w:val="20"/>
                <w:lang w:val="en-GB" w:eastAsia="en-GB"/>
              </w:rPr>
              <w:t>implementation</w:t>
            </w:r>
            <w:r w:rsidRPr="00F737AD">
              <w:rPr>
                <w:rFonts w:cs="Calibri"/>
                <w:szCs w:val="20"/>
                <w:lang w:val="en-GB" w:eastAsia="en-GB"/>
              </w:rPr>
              <w:t xml:space="preserve"> and administration of a mandatory MEPS and </w:t>
            </w:r>
            <w:r w:rsidRPr="00F737AD">
              <w:rPr>
                <w:rFonts w:cs="Calibri"/>
                <w:noProof/>
                <w:szCs w:val="20"/>
                <w:lang w:val="en-GB" w:eastAsia="en-GB"/>
              </w:rPr>
              <w:t>labelling</w:t>
            </w:r>
            <w:r w:rsidRPr="00F737AD">
              <w:rPr>
                <w:rFonts w:cs="Calibri"/>
                <w:szCs w:val="20"/>
                <w:lang w:val="en-GB" w:eastAsia="en-GB"/>
              </w:rPr>
              <w:t xml:space="preserve"> system for lighting and market assessment of Component 1</w:t>
            </w:r>
          </w:p>
        </w:tc>
      </w:tr>
      <w:tr w:rsidR="00E4211F" w:rsidRPr="0057545E" w:rsidTr="00F737AD">
        <w:tc>
          <w:tcPr>
            <w:tcW w:w="2405" w:type="dxa"/>
            <w:shd w:val="clear" w:color="auto" w:fill="auto"/>
          </w:tcPr>
          <w:p w:rsidR="00E4211F" w:rsidRPr="00F737AD" w:rsidRDefault="00E4211F" w:rsidP="00F737AD">
            <w:pPr>
              <w:numPr>
                <w:ilvl w:val="0"/>
                <w:numId w:val="55"/>
              </w:numPr>
              <w:spacing w:after="0"/>
              <w:ind w:left="314" w:hanging="284"/>
              <w:contextualSpacing/>
              <w:jc w:val="left"/>
              <w:rPr>
                <w:szCs w:val="20"/>
                <w:lang w:val="en-GB" w:eastAsia="en-GB"/>
              </w:rPr>
            </w:pPr>
            <w:r w:rsidRPr="00F737AD">
              <w:rPr>
                <w:szCs w:val="20"/>
                <w:lang w:val="en-GB" w:eastAsia="en-GB"/>
              </w:rPr>
              <w:t>Department of Trade and Industry (DTI) and agencies (SANAS, N</w:t>
            </w:r>
            <w:r w:rsidR="0060724A" w:rsidRPr="00F737AD">
              <w:rPr>
                <w:szCs w:val="20"/>
                <w:lang w:val="en-GB" w:eastAsia="en-GB"/>
              </w:rPr>
              <w:t>RC</w:t>
            </w:r>
            <w:r w:rsidRPr="00F737AD">
              <w:rPr>
                <w:szCs w:val="20"/>
                <w:lang w:val="en-GB" w:eastAsia="en-GB"/>
              </w:rPr>
              <w:t>S, SABS)</w:t>
            </w:r>
          </w:p>
        </w:tc>
        <w:tc>
          <w:tcPr>
            <w:tcW w:w="7655" w:type="dxa"/>
            <w:shd w:val="clear" w:color="auto" w:fill="auto"/>
          </w:tcPr>
          <w:p w:rsidR="00E4211F" w:rsidRPr="00F737AD" w:rsidRDefault="00E4211F" w:rsidP="00F737AD">
            <w:pPr>
              <w:spacing w:after="0"/>
              <w:jc w:val="left"/>
              <w:rPr>
                <w:rFonts w:cs="Calibri"/>
                <w:szCs w:val="20"/>
                <w:lang w:val="en-GB" w:eastAsia="en-GB"/>
              </w:rPr>
            </w:pPr>
            <w:r w:rsidRPr="00F737AD">
              <w:rPr>
                <w:rFonts w:cs="Calibri"/>
                <w:szCs w:val="20"/>
                <w:lang w:val="en-GB" w:eastAsia="en-GB"/>
              </w:rPr>
              <w:t xml:space="preserve">The Department of Trade and Industry (DTI) is responsible for the transformation and the development of the trade and industry </w:t>
            </w:r>
            <w:r w:rsidRPr="00F737AD">
              <w:rPr>
                <w:rFonts w:cs="Calibri"/>
                <w:noProof/>
                <w:szCs w:val="20"/>
                <w:lang w:val="en-GB" w:eastAsia="en-GB"/>
              </w:rPr>
              <w:t>sectors</w:t>
            </w:r>
            <w:r w:rsidRPr="00F737AD">
              <w:rPr>
                <w:rFonts w:cs="Calibri"/>
                <w:szCs w:val="20"/>
                <w:lang w:val="en-GB" w:eastAsia="en-GB"/>
              </w:rPr>
              <w:t xml:space="preserve"> and will be interested </w:t>
            </w:r>
            <w:r w:rsidR="00465177" w:rsidRPr="00F737AD">
              <w:rPr>
                <w:rFonts w:cs="Calibri"/>
                <w:szCs w:val="20"/>
                <w:lang w:val="en-GB" w:eastAsia="en-GB"/>
              </w:rPr>
              <w:t xml:space="preserve">in the promotion of </w:t>
            </w:r>
            <w:r w:rsidRPr="00F737AD">
              <w:rPr>
                <w:rFonts w:cs="Calibri"/>
                <w:szCs w:val="20"/>
                <w:lang w:val="en-GB" w:eastAsia="en-GB"/>
              </w:rPr>
              <w:t>local production (Output 2.3). Its agencies SABS (South African Bureau of Standards), National Regulator for Compulsory Specifications (N</w:t>
            </w:r>
            <w:r w:rsidR="0060724A" w:rsidRPr="00F737AD">
              <w:rPr>
                <w:rFonts w:cs="Calibri"/>
                <w:szCs w:val="20"/>
                <w:lang w:val="en-GB" w:eastAsia="en-GB"/>
              </w:rPr>
              <w:t>RC</w:t>
            </w:r>
            <w:r w:rsidRPr="00F737AD">
              <w:rPr>
                <w:rFonts w:cs="Calibri"/>
                <w:szCs w:val="20"/>
                <w:lang w:val="en-GB" w:eastAsia="en-GB"/>
              </w:rPr>
              <w:t>S), and South African National Accreditation Agency (SANAS) are likely to be involved (with DoE) in administration and implementation of a mandatory MEPS and labelling system for lighting and regulation of standards (with DOE and Eskom) for transformers (Outcome 1)</w:t>
            </w:r>
          </w:p>
        </w:tc>
      </w:tr>
      <w:tr w:rsidR="00001093" w:rsidRPr="0057545E" w:rsidTr="00F737AD">
        <w:tc>
          <w:tcPr>
            <w:tcW w:w="2405" w:type="dxa"/>
            <w:shd w:val="clear" w:color="auto" w:fill="auto"/>
          </w:tcPr>
          <w:p w:rsidR="00001093" w:rsidRPr="00F737AD" w:rsidRDefault="00001093" w:rsidP="00F737AD">
            <w:pPr>
              <w:numPr>
                <w:ilvl w:val="0"/>
                <w:numId w:val="55"/>
              </w:numPr>
              <w:spacing w:after="0"/>
              <w:ind w:left="314" w:hanging="284"/>
              <w:contextualSpacing/>
              <w:jc w:val="left"/>
              <w:rPr>
                <w:szCs w:val="20"/>
                <w:lang w:val="en-GB" w:eastAsia="en-GB"/>
              </w:rPr>
            </w:pPr>
            <w:r w:rsidRPr="00F737AD">
              <w:rPr>
                <w:szCs w:val="20"/>
                <w:lang w:val="en-GB" w:eastAsia="en-GB"/>
              </w:rPr>
              <w:t>Department of Environmental Affairs (DEA)</w:t>
            </w:r>
          </w:p>
        </w:tc>
        <w:tc>
          <w:tcPr>
            <w:tcW w:w="7655" w:type="dxa"/>
            <w:shd w:val="clear" w:color="auto" w:fill="auto"/>
          </w:tcPr>
          <w:p w:rsidR="00001093" w:rsidRPr="00F737AD" w:rsidRDefault="00001093" w:rsidP="00F737AD">
            <w:pPr>
              <w:spacing w:after="0"/>
              <w:jc w:val="left"/>
              <w:rPr>
                <w:rFonts w:cs="Calibri"/>
                <w:szCs w:val="20"/>
                <w:lang w:val="en-GB" w:eastAsia="en-GB"/>
              </w:rPr>
            </w:pPr>
            <w:r w:rsidRPr="00F737AD">
              <w:rPr>
                <w:rFonts w:cs="Calibri"/>
                <w:szCs w:val="20"/>
                <w:lang w:val="en-GB" w:eastAsia="en-GB"/>
              </w:rPr>
              <w:t>DEA is the government institution responsible for environmental issues, policy</w:t>
            </w:r>
            <w:r w:rsidR="00E236DA" w:rsidRPr="00F737AD">
              <w:rPr>
                <w:rFonts w:cs="Calibri"/>
                <w:szCs w:val="20"/>
                <w:lang w:val="en-GB" w:eastAsia="en-GB"/>
              </w:rPr>
              <w:t>,</w:t>
            </w:r>
            <w:r w:rsidRPr="00F737AD">
              <w:rPr>
                <w:rFonts w:cs="Calibri"/>
                <w:szCs w:val="20"/>
                <w:lang w:val="en-GB" w:eastAsia="en-GB"/>
              </w:rPr>
              <w:t xml:space="preserve"> </w:t>
            </w:r>
            <w:r w:rsidRPr="00F737AD">
              <w:rPr>
                <w:rFonts w:cs="Calibri"/>
                <w:noProof/>
                <w:szCs w:val="20"/>
                <w:lang w:val="en-GB" w:eastAsia="en-GB"/>
              </w:rPr>
              <w:t>and</w:t>
            </w:r>
            <w:r w:rsidRPr="00F737AD">
              <w:rPr>
                <w:rFonts w:cs="Calibri"/>
                <w:szCs w:val="20"/>
                <w:lang w:val="en-GB" w:eastAsia="en-GB"/>
              </w:rPr>
              <w:t xml:space="preserve"> planning, including waste and climate change. DEA is the GEF Operational Focal </w:t>
            </w:r>
            <w:r w:rsidRPr="00F737AD">
              <w:rPr>
                <w:rFonts w:cs="Calibri"/>
                <w:noProof/>
                <w:szCs w:val="20"/>
                <w:lang w:val="en-GB" w:eastAsia="en-GB"/>
              </w:rPr>
              <w:t>Point</w:t>
            </w:r>
            <w:r w:rsidRPr="00F737AD">
              <w:rPr>
                <w:rFonts w:cs="Calibri"/>
                <w:szCs w:val="20"/>
                <w:lang w:val="en-GB" w:eastAsia="en-GB"/>
              </w:rPr>
              <w:t xml:space="preserve"> and therefore has an overall interest in the Project. DEA will</w:t>
            </w:r>
            <w:proofErr w:type="gramStart"/>
            <w:r w:rsidR="00E236DA" w:rsidRPr="00F737AD">
              <w:rPr>
                <w:rFonts w:cs="Calibri"/>
                <w:szCs w:val="20"/>
                <w:lang w:val="en-GB" w:eastAsia="en-GB"/>
              </w:rPr>
              <w:t>, in particular,</w:t>
            </w:r>
            <w:r w:rsidRPr="00F737AD">
              <w:rPr>
                <w:rFonts w:cs="Calibri"/>
                <w:szCs w:val="20"/>
                <w:lang w:val="en-GB" w:eastAsia="en-GB"/>
              </w:rPr>
              <w:t xml:space="preserve"> be</w:t>
            </w:r>
            <w:proofErr w:type="gramEnd"/>
            <w:r w:rsidRPr="00F737AD">
              <w:rPr>
                <w:rFonts w:cs="Calibri"/>
                <w:szCs w:val="20"/>
                <w:lang w:val="en-GB" w:eastAsia="en-GB"/>
              </w:rPr>
              <w:t xml:space="preserve"> involved </w:t>
            </w:r>
            <w:r w:rsidR="00465177" w:rsidRPr="00F737AD">
              <w:rPr>
                <w:rFonts w:cs="Calibri"/>
                <w:szCs w:val="20"/>
                <w:lang w:val="en-GB" w:eastAsia="en-GB"/>
              </w:rPr>
              <w:t>in Component</w:t>
            </w:r>
            <w:r w:rsidRPr="00F737AD">
              <w:rPr>
                <w:rFonts w:cs="Calibri"/>
                <w:szCs w:val="20"/>
                <w:lang w:val="en-GB" w:eastAsia="en-GB"/>
              </w:rPr>
              <w:t xml:space="preserve"> 4 on </w:t>
            </w:r>
            <w:r w:rsidR="00465177" w:rsidRPr="00F737AD">
              <w:rPr>
                <w:rFonts w:cs="Calibri"/>
                <w:szCs w:val="20"/>
                <w:lang w:val="en-GB" w:eastAsia="en-GB"/>
              </w:rPr>
              <w:t xml:space="preserve">the </w:t>
            </w:r>
            <w:r w:rsidRPr="00F737AD">
              <w:rPr>
                <w:rFonts w:cs="Calibri"/>
                <w:szCs w:val="20"/>
                <w:lang w:val="en-GB" w:eastAsia="en-GB"/>
              </w:rPr>
              <w:t xml:space="preserve">environmentally sound management of lighting and </w:t>
            </w:r>
            <w:r w:rsidRPr="00F737AD">
              <w:rPr>
                <w:rFonts w:cs="Calibri"/>
                <w:noProof/>
                <w:szCs w:val="20"/>
                <w:lang w:val="en-GB" w:eastAsia="en-GB"/>
              </w:rPr>
              <w:t>transformers</w:t>
            </w:r>
            <w:r w:rsidRPr="00F737AD">
              <w:rPr>
                <w:rFonts w:cs="Calibri"/>
                <w:szCs w:val="20"/>
                <w:lang w:val="en-GB" w:eastAsia="en-GB"/>
              </w:rPr>
              <w:t xml:space="preserve"> and </w:t>
            </w:r>
            <w:r w:rsidR="004A2377" w:rsidRPr="00F737AD">
              <w:rPr>
                <w:rFonts w:cs="Calibri"/>
                <w:szCs w:val="20"/>
                <w:lang w:val="en-GB" w:eastAsia="en-GB"/>
              </w:rPr>
              <w:t>will coordinate with other activities it undertakes on waste (PCB contaminated oil; lamp waste disposal and mercury recovery</w:t>
            </w:r>
            <w:r w:rsidR="00465177" w:rsidRPr="00F737AD">
              <w:rPr>
                <w:rFonts w:cs="Calibri"/>
                <w:szCs w:val="20"/>
                <w:lang w:val="en-GB" w:eastAsia="en-GB"/>
              </w:rPr>
              <w:t>)</w:t>
            </w:r>
          </w:p>
        </w:tc>
      </w:tr>
      <w:tr w:rsidR="00E4211F" w:rsidRPr="0057545E" w:rsidTr="00F737AD">
        <w:tc>
          <w:tcPr>
            <w:tcW w:w="2405" w:type="dxa"/>
            <w:shd w:val="clear" w:color="auto" w:fill="auto"/>
          </w:tcPr>
          <w:p w:rsidR="00E4211F" w:rsidRPr="00F737AD" w:rsidRDefault="00E4211F" w:rsidP="00F737AD">
            <w:pPr>
              <w:numPr>
                <w:ilvl w:val="0"/>
                <w:numId w:val="55"/>
              </w:numPr>
              <w:spacing w:after="0"/>
              <w:ind w:left="314" w:hanging="284"/>
              <w:contextualSpacing/>
              <w:jc w:val="left"/>
              <w:rPr>
                <w:szCs w:val="20"/>
                <w:lang w:val="en-GB" w:eastAsia="en-GB"/>
              </w:rPr>
            </w:pPr>
            <w:r w:rsidRPr="00F737AD">
              <w:rPr>
                <w:szCs w:val="20"/>
                <w:lang w:val="en-GB" w:eastAsia="en-GB"/>
              </w:rPr>
              <w:t xml:space="preserve">Eskom </w:t>
            </w:r>
          </w:p>
        </w:tc>
        <w:tc>
          <w:tcPr>
            <w:tcW w:w="7655" w:type="dxa"/>
            <w:shd w:val="clear" w:color="auto" w:fill="auto"/>
          </w:tcPr>
          <w:p w:rsidR="00E4211F" w:rsidRPr="00F737AD" w:rsidRDefault="00E4211F" w:rsidP="00F737AD">
            <w:pPr>
              <w:spacing w:after="0"/>
              <w:jc w:val="left"/>
              <w:rPr>
                <w:rFonts w:cs="Calibri"/>
                <w:szCs w:val="20"/>
                <w:lang w:val="en-GB" w:eastAsia="en-GB"/>
              </w:rPr>
            </w:pPr>
            <w:r w:rsidRPr="00F737AD">
              <w:rPr>
                <w:rFonts w:cs="Calibri"/>
                <w:szCs w:val="20"/>
                <w:lang w:val="en-GB" w:eastAsia="en-GB"/>
              </w:rPr>
              <w:t>Eskom is a public company, which generates about 90% of electricity and owns the national grid (transmission). Eskom also distributes to (rural) residential customers and directly to large consumers. Its IDM</w:t>
            </w:r>
            <w:r w:rsidR="00E236DA" w:rsidRPr="00F737AD">
              <w:rPr>
                <w:rFonts w:cs="Calibri"/>
                <w:szCs w:val="20"/>
                <w:lang w:val="en-GB" w:eastAsia="en-GB"/>
              </w:rPr>
              <w:t xml:space="preserve"> (</w:t>
            </w:r>
            <w:r w:rsidRPr="00F737AD">
              <w:rPr>
                <w:rFonts w:cs="Calibri"/>
                <w:szCs w:val="20"/>
                <w:lang w:val="en-GB" w:eastAsia="en-GB"/>
              </w:rPr>
              <w:t>Integrated Demand Management</w:t>
            </w:r>
            <w:r w:rsidR="00E236DA" w:rsidRPr="00F737AD">
              <w:rPr>
                <w:rFonts w:cs="Calibri"/>
                <w:szCs w:val="20"/>
                <w:lang w:val="en-GB" w:eastAsia="en-GB"/>
              </w:rPr>
              <w:t>)</w:t>
            </w:r>
            <w:r w:rsidRPr="00F737AD">
              <w:rPr>
                <w:rFonts w:cs="Calibri"/>
                <w:szCs w:val="20"/>
                <w:lang w:val="en-GB" w:eastAsia="en-GB"/>
              </w:rPr>
              <w:t xml:space="preserve"> </w:t>
            </w:r>
            <w:r w:rsidRPr="00F737AD">
              <w:rPr>
                <w:rFonts w:cs="Calibri"/>
                <w:noProof/>
                <w:szCs w:val="20"/>
                <w:lang w:val="en-GB" w:eastAsia="en-GB"/>
              </w:rPr>
              <w:t>programme</w:t>
            </w:r>
            <w:r w:rsidRPr="00F737AD">
              <w:rPr>
                <w:rFonts w:cs="Calibri"/>
                <w:szCs w:val="20"/>
                <w:lang w:val="en-GB" w:eastAsia="en-GB"/>
              </w:rPr>
              <w:t xml:space="preserve"> has been involved in residential and commercial-industrial energy efficiency activities. Eskom will particularly play a role in defining a standard and MVE system for transformers (Outcome 1), providing data for market assessment, and general in capacity building and promoting local production activities of efficient transformers (Outcome) and environmental aspects </w:t>
            </w:r>
            <w:r w:rsidR="00465177" w:rsidRPr="00F737AD">
              <w:rPr>
                <w:rFonts w:cs="Calibri"/>
                <w:szCs w:val="20"/>
                <w:lang w:val="en-GB" w:eastAsia="en-GB"/>
              </w:rPr>
              <w:t xml:space="preserve">(lamp recycling; </w:t>
            </w:r>
            <w:r w:rsidR="00465177" w:rsidRPr="00F737AD">
              <w:rPr>
                <w:rFonts w:cs="Calibri"/>
                <w:noProof/>
                <w:szCs w:val="20"/>
                <w:lang w:val="en-GB" w:eastAsia="en-GB"/>
              </w:rPr>
              <w:t>high</w:t>
            </w:r>
            <w:r w:rsidR="00E236DA" w:rsidRPr="00F737AD">
              <w:rPr>
                <w:rFonts w:cs="Calibri"/>
                <w:noProof/>
                <w:szCs w:val="20"/>
                <w:lang w:val="en-GB" w:eastAsia="en-GB"/>
              </w:rPr>
              <w:t>-</w:t>
            </w:r>
            <w:r w:rsidR="00465177" w:rsidRPr="00F737AD">
              <w:rPr>
                <w:rFonts w:cs="Calibri"/>
                <w:noProof/>
                <w:szCs w:val="20"/>
                <w:lang w:val="en-GB" w:eastAsia="en-GB"/>
              </w:rPr>
              <w:t>efficiency</w:t>
            </w:r>
            <w:r w:rsidR="00465177" w:rsidRPr="00F737AD">
              <w:rPr>
                <w:rFonts w:cs="Calibri"/>
                <w:szCs w:val="20"/>
                <w:lang w:val="en-GB" w:eastAsia="en-GB"/>
              </w:rPr>
              <w:t xml:space="preserve"> transformers, </w:t>
            </w:r>
            <w:r w:rsidRPr="00F737AD">
              <w:rPr>
                <w:rFonts w:cs="Calibri"/>
                <w:szCs w:val="20"/>
                <w:lang w:val="en-GB" w:eastAsia="en-GB"/>
              </w:rPr>
              <w:t>Outcome 3)</w:t>
            </w:r>
            <w:r w:rsidR="0060724A" w:rsidRPr="00F737AD">
              <w:rPr>
                <w:rFonts w:cs="Calibri"/>
                <w:szCs w:val="20"/>
                <w:lang w:val="en-GB" w:eastAsia="en-GB"/>
              </w:rPr>
              <w:t xml:space="preserve">. Given the current financial issues, Eskom has </w:t>
            </w:r>
            <w:r w:rsidR="00F94814" w:rsidRPr="00F737AD">
              <w:rPr>
                <w:rFonts w:cs="Calibri"/>
                <w:szCs w:val="20"/>
                <w:lang w:val="en-GB" w:eastAsia="en-GB"/>
              </w:rPr>
              <w:t>however downsized its IDM activities. Although still committing to the Leapfrogging project (see co-financing letter), Eskom’s involvement will be related in practice to its annual budget in the coming years for IDM.</w:t>
            </w:r>
          </w:p>
        </w:tc>
      </w:tr>
      <w:tr w:rsidR="00666B27" w:rsidRPr="00666B27" w:rsidTr="00F737AD">
        <w:tc>
          <w:tcPr>
            <w:tcW w:w="2405" w:type="dxa"/>
            <w:shd w:val="clear" w:color="auto" w:fill="auto"/>
          </w:tcPr>
          <w:p w:rsidR="00666B27" w:rsidRPr="00F737AD" w:rsidRDefault="00666B27" w:rsidP="00F737AD">
            <w:pPr>
              <w:numPr>
                <w:ilvl w:val="0"/>
                <w:numId w:val="55"/>
              </w:numPr>
              <w:spacing w:after="0"/>
              <w:ind w:left="314" w:hanging="284"/>
              <w:contextualSpacing/>
              <w:jc w:val="left"/>
              <w:rPr>
                <w:szCs w:val="20"/>
                <w:lang w:val="en-GB" w:eastAsia="en-GB"/>
              </w:rPr>
            </w:pPr>
            <w:r w:rsidRPr="00F737AD">
              <w:rPr>
                <w:szCs w:val="20"/>
                <w:lang w:val="en-GB" w:eastAsia="en-GB"/>
              </w:rPr>
              <w:t>DBSA</w:t>
            </w:r>
          </w:p>
        </w:tc>
        <w:tc>
          <w:tcPr>
            <w:tcW w:w="7655" w:type="dxa"/>
            <w:shd w:val="clear" w:color="auto" w:fill="auto"/>
          </w:tcPr>
          <w:p w:rsidR="00666B27" w:rsidRPr="00F737AD" w:rsidRDefault="00666B27" w:rsidP="00F737AD">
            <w:pPr>
              <w:spacing w:after="0"/>
              <w:jc w:val="left"/>
              <w:rPr>
                <w:rFonts w:cs="Calibri"/>
                <w:szCs w:val="20"/>
                <w:lang w:val="en-GB" w:eastAsia="en-GB"/>
              </w:rPr>
            </w:pPr>
            <w:r w:rsidRPr="00F737AD">
              <w:rPr>
                <w:rFonts w:cs="Calibri"/>
                <w:szCs w:val="20"/>
                <w:lang w:val="en-GB" w:eastAsia="en-GB"/>
              </w:rPr>
              <w:t xml:space="preserve">DBSA is one of the GEF Implementing Agencies (alongside UNDP) and </w:t>
            </w:r>
            <w:r w:rsidRPr="00F737AD">
              <w:rPr>
                <w:rFonts w:cs="Calibri"/>
                <w:noProof/>
                <w:szCs w:val="20"/>
                <w:lang w:val="en-GB" w:eastAsia="en-GB"/>
              </w:rPr>
              <w:t>therefore</w:t>
            </w:r>
            <w:r w:rsidRPr="00F737AD">
              <w:rPr>
                <w:rFonts w:cs="Calibri"/>
                <w:szCs w:val="20"/>
                <w:lang w:val="en-GB" w:eastAsia="en-GB"/>
              </w:rPr>
              <w:t xml:space="preserve"> shares the responsibility with GEF for the use of project resources as written in the project Document (or any amendments agreed to it). The two Implementing Agencies will provide daily </w:t>
            </w:r>
            <w:r w:rsidRPr="00F737AD">
              <w:rPr>
                <w:rFonts w:cs="Calibri"/>
                <w:szCs w:val="20"/>
                <w:lang w:val="en-GB" w:eastAsia="en-GB"/>
              </w:rPr>
              <w:lastRenderedPageBreak/>
              <w:t>project execution and implementation oversight, and operational completion. In addition, DBSA will be Manager of the Energy Efficiency Financial Instrument (EEFI), which will be set up with GEF funding. DBSA will coordinate closely with its proposed GEF project (in PPG phase) on disposal and treatment of PCB contaminated oil.</w:t>
            </w:r>
          </w:p>
        </w:tc>
      </w:tr>
      <w:tr w:rsidR="00666B27" w:rsidRPr="0057545E" w:rsidTr="00F737AD">
        <w:tc>
          <w:tcPr>
            <w:tcW w:w="2405" w:type="dxa"/>
            <w:shd w:val="clear" w:color="auto" w:fill="auto"/>
          </w:tcPr>
          <w:p w:rsidR="00666B27" w:rsidRPr="00F737AD" w:rsidRDefault="00666B27" w:rsidP="00F737AD">
            <w:pPr>
              <w:numPr>
                <w:ilvl w:val="0"/>
                <w:numId w:val="55"/>
              </w:numPr>
              <w:spacing w:after="0"/>
              <w:ind w:left="314" w:hanging="284"/>
              <w:contextualSpacing/>
              <w:jc w:val="left"/>
              <w:rPr>
                <w:szCs w:val="20"/>
                <w:lang w:val="en-GB" w:eastAsia="en-GB"/>
              </w:rPr>
            </w:pPr>
            <w:r w:rsidRPr="00F737AD">
              <w:rPr>
                <w:szCs w:val="20"/>
                <w:lang w:val="en-GB" w:eastAsia="en-GB"/>
              </w:rPr>
              <w:lastRenderedPageBreak/>
              <w:t>GIZ and IDC</w:t>
            </w:r>
          </w:p>
        </w:tc>
        <w:tc>
          <w:tcPr>
            <w:tcW w:w="7655" w:type="dxa"/>
            <w:shd w:val="clear" w:color="auto" w:fill="auto"/>
          </w:tcPr>
          <w:p w:rsidR="00666B27" w:rsidRPr="00F737AD" w:rsidRDefault="00666B27" w:rsidP="00F737AD">
            <w:pPr>
              <w:spacing w:after="0"/>
              <w:jc w:val="left"/>
              <w:rPr>
                <w:rFonts w:cs="Calibri"/>
                <w:szCs w:val="20"/>
                <w:lang w:val="en-GB" w:eastAsia="en-GB"/>
              </w:rPr>
            </w:pPr>
            <w:r w:rsidRPr="00F737AD">
              <w:rPr>
                <w:rFonts w:cs="Calibri"/>
                <w:szCs w:val="20"/>
                <w:lang w:val="en-GB" w:eastAsia="en-GB"/>
              </w:rPr>
              <w:t xml:space="preserve">The German cooperation agency GIZ implements the project “V-NAMA, Energy Efficiency in Public Buildings and Infrastructure Programme (EEPBIP) which aims to use the procurement potential of the public sector to strengthen the market for energy service companies (ESCOs). V-NAMA will provide to provinces and municipalities to develop bankable energy efficiency investment plans for their public buildings and budget will be dedicated as a </w:t>
            </w:r>
            <w:r w:rsidRPr="00F737AD">
              <w:rPr>
                <w:rFonts w:cs="Calibri"/>
                <w:noProof/>
                <w:szCs w:val="20"/>
                <w:lang w:val="en-GB" w:eastAsia="en-GB"/>
              </w:rPr>
              <w:t>partial</w:t>
            </w:r>
            <w:r w:rsidRPr="00F737AD">
              <w:rPr>
                <w:rFonts w:cs="Calibri"/>
                <w:szCs w:val="20"/>
                <w:lang w:val="en-GB" w:eastAsia="en-GB"/>
              </w:rPr>
              <w:t xml:space="preserve"> guarantee for loans (to be provided by the Industrial Development Corporation). GIZ and IDC will be important partners with whom the activity of Component 3 (financing support) will be coordinated in order to avoid overlap and find synergies in the efforts by V-NAMA and the Project’s Financial Instrument (EEFI). </w:t>
            </w:r>
          </w:p>
          <w:p w:rsidR="00666B27" w:rsidRPr="00F737AD" w:rsidRDefault="00666B27" w:rsidP="00F737AD">
            <w:pPr>
              <w:spacing w:after="0"/>
              <w:jc w:val="left"/>
              <w:rPr>
                <w:rFonts w:cs="Calibri"/>
                <w:szCs w:val="20"/>
                <w:lang w:val="en-GB" w:eastAsia="en-GB"/>
              </w:rPr>
            </w:pPr>
          </w:p>
        </w:tc>
      </w:tr>
      <w:bookmarkEnd w:id="110"/>
    </w:tbl>
    <w:p w:rsidR="00AD71E7" w:rsidRPr="0057545E" w:rsidRDefault="00AD71E7" w:rsidP="00DA2FD1">
      <w:pPr>
        <w:spacing w:after="0"/>
        <w:rPr>
          <w:lang w:val="en-GB" w:eastAsia="en-GB"/>
        </w:rPr>
      </w:pPr>
    </w:p>
    <w:p w:rsidR="00870F61" w:rsidRPr="003B7D62" w:rsidRDefault="00870F61" w:rsidP="00870F61">
      <w:pPr>
        <w:pStyle w:val="Heading2"/>
      </w:pPr>
      <w:bookmarkStart w:id="111" w:name="_Toc340760"/>
      <w:r w:rsidRPr="003B7D62">
        <w:t>Risk and assumptions</w:t>
      </w:r>
      <w:bookmarkEnd w:id="111"/>
    </w:p>
    <w:p w:rsidR="00870F61" w:rsidRPr="004722F0" w:rsidRDefault="00870F61" w:rsidP="00870F61">
      <w:pPr>
        <w:spacing w:after="0"/>
        <w:rPr>
          <w:lang w:val="en-GB"/>
        </w:rPr>
      </w:pPr>
    </w:p>
    <w:p w:rsidR="00870F61" w:rsidRPr="00666B27" w:rsidRDefault="00870F61" w:rsidP="00870F61">
      <w:pPr>
        <w:spacing w:after="0"/>
        <w:rPr>
          <w:rFonts w:cs="Arial"/>
          <w:noProof/>
          <w:szCs w:val="20"/>
          <w:lang w:val="en-GB" w:eastAsia="zh-CN"/>
        </w:rPr>
      </w:pPr>
      <w:bookmarkStart w:id="112" w:name="_Hlk4679928"/>
      <w:r w:rsidRPr="00666B27">
        <w:rPr>
          <w:rFonts w:cs="Arial"/>
          <w:noProof/>
          <w:szCs w:val="20"/>
          <w:lang w:val="en-GB" w:eastAsia="zh-CN"/>
        </w:rPr>
        <w:t>The design of the project’s activities reflects a thorough assessment of both barriers and risks affecting the potential success of energy efficiency and implementat</w:t>
      </w:r>
      <w:r w:rsidR="00E236DA" w:rsidRPr="00666B27">
        <w:rPr>
          <w:rFonts w:cs="Arial"/>
          <w:noProof/>
          <w:szCs w:val="20"/>
          <w:lang w:val="en-GB" w:eastAsia="zh-CN"/>
        </w:rPr>
        <w:t>i</w:t>
      </w:r>
      <w:r w:rsidRPr="00666B27">
        <w:rPr>
          <w:rFonts w:cs="Arial"/>
          <w:noProof/>
          <w:szCs w:val="20"/>
          <w:lang w:val="en-GB" w:eastAsia="zh-CN"/>
        </w:rPr>
        <w:t>on of policy instruments.  Activities have been designed specifically to lift the barriers</w:t>
      </w:r>
      <w:r w:rsidR="000B53E4" w:rsidRPr="00666B27">
        <w:rPr>
          <w:rFonts w:cs="Arial"/>
          <w:noProof/>
          <w:szCs w:val="20"/>
          <w:lang w:val="en-GB" w:eastAsia="zh-CN"/>
        </w:rPr>
        <w:t xml:space="preserve">, that is, </w:t>
      </w:r>
      <w:r w:rsidRPr="00666B27">
        <w:rPr>
          <w:rFonts w:cs="Arial"/>
          <w:noProof/>
          <w:szCs w:val="20"/>
          <w:lang w:val="en-GB" w:eastAsia="zh-CN"/>
        </w:rPr>
        <w:t xml:space="preserve">development/harmonization of EE standards and enforcement support for regulatory barriers, material and methodological support to address barriers regarding laboratory testing capacity, labelling and PR for informational barriers, technical support for technical barriers on the supply side, and </w:t>
      </w:r>
      <w:r w:rsidR="000B53E4" w:rsidRPr="00666B27">
        <w:rPr>
          <w:rFonts w:cs="Arial"/>
          <w:noProof/>
          <w:szCs w:val="20"/>
          <w:lang w:val="en-GB" w:eastAsia="zh-CN"/>
        </w:rPr>
        <w:t>the Financial Instrument</w:t>
      </w:r>
      <w:r w:rsidRPr="00666B27">
        <w:rPr>
          <w:rFonts w:cs="Arial"/>
          <w:noProof/>
          <w:szCs w:val="20"/>
          <w:lang w:val="en-GB" w:eastAsia="zh-CN"/>
        </w:rPr>
        <w:t xml:space="preserve"> for financi</w:t>
      </w:r>
      <w:r w:rsidR="000B53E4" w:rsidRPr="00666B27">
        <w:rPr>
          <w:rFonts w:cs="Arial"/>
          <w:noProof/>
          <w:szCs w:val="20"/>
          <w:lang w:val="en-GB" w:eastAsia="zh-CN"/>
        </w:rPr>
        <w:t>ng-related</w:t>
      </w:r>
      <w:r w:rsidRPr="00666B27">
        <w:rPr>
          <w:rFonts w:cs="Arial"/>
          <w:noProof/>
          <w:szCs w:val="20"/>
          <w:lang w:val="en-GB" w:eastAsia="zh-CN"/>
        </w:rPr>
        <w:t xml:space="preserve"> barriers.</w:t>
      </w:r>
    </w:p>
    <w:p w:rsidR="00870F61" w:rsidRPr="00353542" w:rsidRDefault="00870F61" w:rsidP="00870F61">
      <w:pPr>
        <w:spacing w:before="240" w:after="0"/>
        <w:rPr>
          <w:rFonts w:cs="Arial"/>
          <w:noProof/>
          <w:szCs w:val="20"/>
          <w:lang w:val="en-GB" w:eastAsia="zh-CN"/>
        </w:rPr>
      </w:pPr>
      <w:r w:rsidRPr="00666B27">
        <w:rPr>
          <w:rFonts w:cs="Arial"/>
          <w:noProof/>
          <w:szCs w:val="20"/>
          <w:lang w:val="en-GB" w:eastAsia="zh-CN"/>
        </w:rPr>
        <w:t xml:space="preserve">The risks shown in the table </w:t>
      </w:r>
      <w:r w:rsidR="000B53E4" w:rsidRPr="00666B27">
        <w:rPr>
          <w:rFonts w:cs="Arial"/>
          <w:noProof/>
          <w:szCs w:val="20"/>
          <w:lang w:val="en-GB" w:eastAsia="zh-CN"/>
        </w:rPr>
        <w:t xml:space="preserve">of </w:t>
      </w:r>
      <w:r w:rsidR="000B53E4" w:rsidRPr="0057545E">
        <w:rPr>
          <w:rFonts w:cs="Arial"/>
          <w:noProof/>
          <w:szCs w:val="20"/>
          <w:lang w:val="en-GB" w:eastAsia="zh-CN"/>
        </w:rPr>
        <w:fldChar w:fldCharType="begin"/>
      </w:r>
      <w:r w:rsidR="000B53E4" w:rsidRPr="00666B27">
        <w:rPr>
          <w:rFonts w:cs="Arial"/>
          <w:noProof/>
          <w:szCs w:val="20"/>
          <w:lang w:val="en-GB" w:eastAsia="zh-CN"/>
        </w:rPr>
        <w:instrText xml:space="preserve"> REF _Ref256522 \h  \* MERGEFORMAT </w:instrText>
      </w:r>
      <w:r w:rsidR="000B53E4" w:rsidRPr="0057545E">
        <w:rPr>
          <w:rFonts w:cs="Arial"/>
          <w:noProof/>
          <w:szCs w:val="20"/>
          <w:lang w:val="en-GB" w:eastAsia="zh-CN"/>
        </w:rPr>
      </w:r>
      <w:r w:rsidR="000B53E4" w:rsidRPr="0057545E">
        <w:rPr>
          <w:rFonts w:cs="Arial"/>
          <w:noProof/>
          <w:szCs w:val="20"/>
          <w:lang w:val="en-GB" w:eastAsia="zh-CN"/>
        </w:rPr>
        <w:fldChar w:fldCharType="separate"/>
      </w:r>
      <w:r w:rsidR="00BB1E93" w:rsidRPr="00BB1E93">
        <w:rPr>
          <w:rFonts w:ascii="Arial" w:hAnsi="Arial" w:cs="Arial"/>
          <w:color w:val="2E74B5"/>
          <w:sz w:val="18"/>
          <w:lang w:val="en-GB"/>
        </w:rPr>
        <w:t xml:space="preserve">Box </w:t>
      </w:r>
      <w:r w:rsidR="00BB1E93" w:rsidRPr="00BB1E93">
        <w:rPr>
          <w:rFonts w:ascii="Arial" w:hAnsi="Arial" w:cs="Arial"/>
          <w:noProof/>
          <w:color w:val="2E74B5"/>
          <w:sz w:val="18"/>
          <w:lang w:val="en-GB"/>
        </w:rPr>
        <w:t>9</w:t>
      </w:r>
      <w:r w:rsidR="000B53E4" w:rsidRPr="0057545E">
        <w:rPr>
          <w:rFonts w:cs="Arial"/>
          <w:noProof/>
          <w:szCs w:val="20"/>
          <w:lang w:val="en-GB" w:eastAsia="zh-CN"/>
        </w:rPr>
        <w:fldChar w:fldCharType="end"/>
      </w:r>
      <w:r w:rsidR="000B53E4" w:rsidRPr="0057545E">
        <w:rPr>
          <w:rFonts w:cs="Arial"/>
          <w:noProof/>
          <w:szCs w:val="20"/>
          <w:lang w:val="en-GB" w:eastAsia="zh-CN"/>
        </w:rPr>
        <w:t xml:space="preserve"> </w:t>
      </w:r>
      <w:r w:rsidRPr="0057545E">
        <w:rPr>
          <w:rFonts w:cs="Arial"/>
          <w:noProof/>
          <w:szCs w:val="20"/>
          <w:lang w:val="en-GB" w:eastAsia="zh-CN"/>
        </w:rPr>
        <w:t>reflect re</w:t>
      </w:r>
      <w:r w:rsidRPr="00514DE8">
        <w:rPr>
          <w:rFonts w:cs="Arial"/>
          <w:noProof/>
          <w:szCs w:val="20"/>
          <w:lang w:val="en-GB" w:eastAsia="zh-CN"/>
        </w:rPr>
        <w:t>maining factors that lie outside the direct activities of the project, or along its periphery.  As per standard UNDP requirements, the Project Manager will monitor risks quarterly and report on the status of risks to the UNDP Country Office. The UNDP Count</w:t>
      </w:r>
      <w:r w:rsidRPr="00353542">
        <w:rPr>
          <w:rFonts w:cs="Arial"/>
          <w:noProof/>
          <w:szCs w:val="20"/>
          <w:lang w:val="en-GB" w:eastAsia="zh-CN"/>
        </w:rPr>
        <w:t>ry Office will record progress in the UNDP ATLAS risk log. Management responses to critical risks will also be reported to the GEF in the annual PIR.</w:t>
      </w:r>
    </w:p>
    <w:p w:rsidR="00870F61" w:rsidRPr="003B7D62" w:rsidRDefault="00870F61" w:rsidP="00870F61">
      <w:pPr>
        <w:spacing w:after="0"/>
        <w:jc w:val="center"/>
        <w:rPr>
          <w:b/>
          <w:bCs/>
          <w:lang w:val="en-GB"/>
        </w:rPr>
      </w:pPr>
    </w:p>
    <w:p w:rsidR="00870F61" w:rsidRPr="00514DE8" w:rsidRDefault="00870F61" w:rsidP="00870F61">
      <w:pPr>
        <w:spacing w:after="0"/>
        <w:jc w:val="left"/>
        <w:rPr>
          <w:b/>
          <w:bCs/>
          <w:lang w:val="en-GB"/>
        </w:rPr>
      </w:pPr>
      <w:bookmarkStart w:id="113" w:name="_Ref256522"/>
      <w:bookmarkStart w:id="114" w:name="_Toc179833"/>
      <w:r w:rsidRPr="003B7D62">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000B53E4" w:rsidRPr="0057545E">
        <w:rPr>
          <w:rFonts w:ascii="Arial" w:hAnsi="Arial" w:cs="Arial"/>
          <w:b/>
          <w:noProof/>
          <w:color w:val="2E74B5"/>
          <w:sz w:val="18"/>
          <w:lang w:val="en-GB"/>
        </w:rPr>
        <w:t>9</w:t>
      </w:r>
      <w:r w:rsidRPr="0057545E">
        <w:rPr>
          <w:rFonts w:ascii="Arial" w:hAnsi="Arial" w:cs="Arial"/>
          <w:b/>
          <w:color w:val="2E74B5"/>
          <w:sz w:val="18"/>
          <w:lang w:val="en-GB"/>
        </w:rPr>
        <w:fldChar w:fldCharType="end"/>
      </w:r>
      <w:bookmarkEnd w:id="113"/>
      <w:r w:rsidRPr="0057545E">
        <w:rPr>
          <w:rFonts w:ascii="Arial" w:hAnsi="Arial" w:cs="Arial"/>
          <w:b/>
          <w:color w:val="2E74B5"/>
          <w:sz w:val="18"/>
          <w:lang w:val="en-GB"/>
        </w:rPr>
        <w:tab/>
        <w:t>Project risks, including impact and probability, and mitigation measures</w:t>
      </w:r>
      <w:bookmarkEnd w:id="114"/>
    </w:p>
    <w:p w:rsidR="00870F61" w:rsidRPr="00353542" w:rsidRDefault="00870F61" w:rsidP="00870F61">
      <w:pPr>
        <w:spacing w:after="0"/>
        <w:rPr>
          <w:b/>
          <w:bCs/>
          <w:lang w:val="en-GB"/>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5"/>
        <w:gridCol w:w="1417"/>
        <w:gridCol w:w="1276"/>
        <w:gridCol w:w="4111"/>
        <w:gridCol w:w="1417"/>
      </w:tblGrid>
      <w:tr w:rsidR="00870F61" w:rsidRPr="0057545E" w:rsidTr="00F166F4">
        <w:trPr>
          <w:tblHeader/>
        </w:trPr>
        <w:tc>
          <w:tcPr>
            <w:tcW w:w="1985" w:type="dxa"/>
            <w:shd w:val="clear" w:color="auto" w:fill="auto"/>
          </w:tcPr>
          <w:p w:rsidR="00870F61" w:rsidRPr="003B7D62" w:rsidRDefault="00870F61" w:rsidP="008E1A75">
            <w:pPr>
              <w:spacing w:after="120"/>
              <w:ind w:firstLine="5"/>
              <w:rPr>
                <w:rFonts w:cs="Arial"/>
                <w:b/>
                <w:sz w:val="19"/>
                <w:szCs w:val="19"/>
                <w:lang w:val="en-GB"/>
              </w:rPr>
            </w:pPr>
            <w:bookmarkStart w:id="115" w:name="_Hlk536468515"/>
            <w:r w:rsidRPr="003B7D62">
              <w:rPr>
                <w:rFonts w:cs="Arial"/>
                <w:b/>
                <w:sz w:val="19"/>
                <w:szCs w:val="19"/>
                <w:lang w:val="en-GB"/>
              </w:rPr>
              <w:t>Description</w:t>
            </w:r>
          </w:p>
        </w:tc>
        <w:tc>
          <w:tcPr>
            <w:tcW w:w="1417" w:type="dxa"/>
            <w:shd w:val="clear" w:color="auto" w:fill="auto"/>
          </w:tcPr>
          <w:p w:rsidR="00870F61" w:rsidRPr="004722F0" w:rsidRDefault="00870F61" w:rsidP="008E1A75">
            <w:pPr>
              <w:spacing w:after="120"/>
              <w:rPr>
                <w:rFonts w:cs="Arial"/>
                <w:b/>
                <w:sz w:val="19"/>
                <w:szCs w:val="19"/>
                <w:lang w:val="en-GB"/>
              </w:rPr>
            </w:pPr>
            <w:r w:rsidRPr="004722F0">
              <w:rPr>
                <w:rFonts w:cs="Arial"/>
                <w:b/>
                <w:sz w:val="19"/>
                <w:szCs w:val="19"/>
                <w:lang w:val="en-GB"/>
              </w:rPr>
              <w:t>Type</w:t>
            </w:r>
          </w:p>
        </w:tc>
        <w:tc>
          <w:tcPr>
            <w:tcW w:w="1276" w:type="dxa"/>
            <w:shd w:val="clear" w:color="auto" w:fill="auto"/>
          </w:tcPr>
          <w:p w:rsidR="00870F61" w:rsidRPr="00666B27" w:rsidRDefault="00870F61" w:rsidP="008E1A75">
            <w:pPr>
              <w:spacing w:after="120"/>
              <w:jc w:val="left"/>
              <w:rPr>
                <w:rFonts w:cs="Arial"/>
                <w:b/>
                <w:sz w:val="19"/>
                <w:szCs w:val="19"/>
                <w:lang w:val="en-GB"/>
              </w:rPr>
            </w:pPr>
            <w:r w:rsidRPr="00666B27">
              <w:rPr>
                <w:rFonts w:cs="Arial"/>
                <w:b/>
                <w:sz w:val="19"/>
                <w:szCs w:val="19"/>
                <w:lang w:val="en-GB"/>
              </w:rPr>
              <w:t>Risk level</w:t>
            </w:r>
          </w:p>
          <w:p w:rsidR="00870F61" w:rsidRPr="00666B27" w:rsidRDefault="00870F61" w:rsidP="008E1A75">
            <w:pPr>
              <w:spacing w:after="120"/>
              <w:jc w:val="left"/>
              <w:rPr>
                <w:rFonts w:cs="Arial"/>
                <w:b/>
                <w:sz w:val="19"/>
                <w:szCs w:val="19"/>
                <w:lang w:val="en-GB"/>
              </w:rPr>
            </w:pPr>
            <w:r w:rsidRPr="00666B27">
              <w:rPr>
                <w:rFonts w:cs="Arial"/>
                <w:b/>
                <w:sz w:val="19"/>
                <w:szCs w:val="19"/>
                <w:lang w:val="en-GB"/>
              </w:rPr>
              <w:t>Impact &amp; Probability</w:t>
            </w:r>
          </w:p>
        </w:tc>
        <w:tc>
          <w:tcPr>
            <w:tcW w:w="4111" w:type="dxa"/>
            <w:shd w:val="clear" w:color="auto" w:fill="auto"/>
          </w:tcPr>
          <w:p w:rsidR="00870F61" w:rsidRPr="00666B27" w:rsidRDefault="00870F61" w:rsidP="008E1A75">
            <w:pPr>
              <w:spacing w:after="120"/>
              <w:rPr>
                <w:rFonts w:cs="Arial"/>
                <w:b/>
                <w:sz w:val="19"/>
                <w:szCs w:val="19"/>
                <w:lang w:val="en-GB"/>
              </w:rPr>
            </w:pPr>
            <w:r w:rsidRPr="00666B27">
              <w:rPr>
                <w:rFonts w:cs="Arial"/>
                <w:b/>
                <w:sz w:val="19"/>
                <w:szCs w:val="19"/>
                <w:lang w:val="en-GB"/>
              </w:rPr>
              <w:t>Mitigation Measures</w:t>
            </w:r>
          </w:p>
        </w:tc>
        <w:tc>
          <w:tcPr>
            <w:tcW w:w="1417" w:type="dxa"/>
            <w:shd w:val="clear" w:color="auto" w:fill="auto"/>
          </w:tcPr>
          <w:p w:rsidR="00870F61" w:rsidRPr="00666B27" w:rsidRDefault="00870F61" w:rsidP="008E1A75">
            <w:pPr>
              <w:spacing w:after="120"/>
              <w:rPr>
                <w:rFonts w:cs="Arial"/>
                <w:b/>
                <w:sz w:val="19"/>
                <w:szCs w:val="19"/>
                <w:lang w:val="en-GB"/>
              </w:rPr>
            </w:pPr>
            <w:r w:rsidRPr="00666B27">
              <w:rPr>
                <w:rFonts w:cs="Arial"/>
                <w:b/>
                <w:sz w:val="19"/>
                <w:szCs w:val="19"/>
                <w:lang w:val="en-GB"/>
              </w:rPr>
              <w:t>Responsible Parties</w:t>
            </w:r>
          </w:p>
        </w:tc>
      </w:tr>
      <w:tr w:rsidR="00870F61" w:rsidRPr="0057545E" w:rsidTr="00F166F4">
        <w:trPr>
          <w:trHeight w:val="2987"/>
        </w:trPr>
        <w:tc>
          <w:tcPr>
            <w:tcW w:w="1985" w:type="dxa"/>
          </w:tcPr>
          <w:p w:rsidR="00870F61" w:rsidRPr="00353542" w:rsidRDefault="00870F61" w:rsidP="00A65267">
            <w:pPr>
              <w:jc w:val="left"/>
              <w:rPr>
                <w:rFonts w:cs="Arial"/>
                <w:sz w:val="19"/>
                <w:szCs w:val="19"/>
                <w:lang w:val="en-GB"/>
              </w:rPr>
            </w:pPr>
            <w:r w:rsidRPr="0057545E">
              <w:rPr>
                <w:rFonts w:cs="Arial"/>
                <w:sz w:val="19"/>
                <w:szCs w:val="19"/>
                <w:lang w:val="en-GB"/>
              </w:rPr>
              <w:t>Unanticipated political opposition and/or weak government support in South Africa inhibit the adoption of mandatory MEPS and labels for LEDs and MEPS for distribution transformers and weakens effective implementation of the MVE system</w:t>
            </w:r>
          </w:p>
        </w:tc>
        <w:tc>
          <w:tcPr>
            <w:tcW w:w="1417" w:type="dxa"/>
          </w:tcPr>
          <w:p w:rsidR="00870F61" w:rsidRPr="003B7D62" w:rsidRDefault="00870F61" w:rsidP="00A65267">
            <w:pPr>
              <w:jc w:val="left"/>
              <w:rPr>
                <w:rFonts w:cs="Arial"/>
                <w:sz w:val="19"/>
                <w:szCs w:val="19"/>
                <w:lang w:val="en-GB"/>
              </w:rPr>
            </w:pPr>
            <w:r w:rsidRPr="003B7D62">
              <w:rPr>
                <w:rFonts w:cs="Arial"/>
                <w:sz w:val="19"/>
                <w:szCs w:val="19"/>
                <w:lang w:val="en-GB"/>
              </w:rPr>
              <w:t>Political and institutional</w:t>
            </w:r>
          </w:p>
        </w:tc>
        <w:tc>
          <w:tcPr>
            <w:tcW w:w="1276" w:type="dxa"/>
          </w:tcPr>
          <w:p w:rsidR="00870F61" w:rsidRPr="005431FB" w:rsidRDefault="00870F61" w:rsidP="00A65267">
            <w:pPr>
              <w:jc w:val="left"/>
              <w:rPr>
                <w:rFonts w:cs="Arial"/>
                <w:sz w:val="19"/>
                <w:szCs w:val="19"/>
                <w:lang w:val="en-GB"/>
              </w:rPr>
            </w:pPr>
            <w:r w:rsidRPr="004722F0">
              <w:rPr>
                <w:rFonts w:cs="Arial"/>
                <w:sz w:val="19"/>
                <w:szCs w:val="19"/>
                <w:lang w:val="en-GB"/>
              </w:rPr>
              <w:t>Medium</w:t>
            </w:r>
          </w:p>
          <w:p w:rsidR="00870F61" w:rsidRPr="00666B27" w:rsidRDefault="00870F61" w:rsidP="00A65267">
            <w:pPr>
              <w:jc w:val="left"/>
              <w:rPr>
                <w:rFonts w:cs="Arial"/>
                <w:sz w:val="19"/>
                <w:szCs w:val="19"/>
                <w:lang w:val="en-GB"/>
              </w:rPr>
            </w:pPr>
            <w:r w:rsidRPr="00666B27">
              <w:rPr>
                <w:rFonts w:cs="Arial"/>
                <w:sz w:val="19"/>
                <w:szCs w:val="19"/>
                <w:lang w:val="en-GB"/>
              </w:rPr>
              <w:t>Impact = 2</w:t>
            </w:r>
          </w:p>
          <w:p w:rsidR="00870F61" w:rsidRPr="00666B27" w:rsidRDefault="00870F61" w:rsidP="00A65267">
            <w:pPr>
              <w:jc w:val="left"/>
              <w:rPr>
                <w:rFonts w:cs="Arial"/>
                <w:sz w:val="19"/>
                <w:szCs w:val="19"/>
                <w:lang w:val="en-GB"/>
              </w:rPr>
            </w:pPr>
            <w:r w:rsidRPr="00666B27">
              <w:rPr>
                <w:rFonts w:cs="Arial"/>
                <w:sz w:val="19"/>
                <w:szCs w:val="19"/>
                <w:lang w:val="en-GB"/>
              </w:rPr>
              <w:t>Probability = 2</w:t>
            </w:r>
          </w:p>
        </w:tc>
        <w:tc>
          <w:tcPr>
            <w:tcW w:w="4111" w:type="dxa"/>
          </w:tcPr>
          <w:p w:rsidR="00870F61" w:rsidRPr="00666B27" w:rsidRDefault="00870F61" w:rsidP="00A65267">
            <w:pPr>
              <w:jc w:val="left"/>
              <w:rPr>
                <w:rFonts w:cs="Arial"/>
                <w:sz w:val="19"/>
                <w:szCs w:val="19"/>
                <w:lang w:val="en-GB"/>
              </w:rPr>
            </w:pPr>
            <w:r w:rsidRPr="00666B27">
              <w:rPr>
                <w:rFonts w:cs="Arial"/>
                <w:sz w:val="19"/>
                <w:szCs w:val="19"/>
                <w:lang w:val="en-GB"/>
              </w:rPr>
              <w:t xml:space="preserve">The political enabling environment is especially conducive, based on the recent experience with mandatory appliance and equipment efficiency standards. It can be expected that extending the scheme to new appliances will </w:t>
            </w:r>
            <w:r w:rsidR="00E236DA" w:rsidRPr="00666B27">
              <w:rPr>
                <w:rFonts w:cs="Arial"/>
                <w:sz w:val="19"/>
                <w:szCs w:val="19"/>
                <w:lang w:val="en-GB"/>
              </w:rPr>
              <w:t xml:space="preserve">be </w:t>
            </w:r>
            <w:r w:rsidRPr="00666B27">
              <w:rPr>
                <w:rFonts w:cs="Arial"/>
                <w:sz w:val="19"/>
                <w:szCs w:val="19"/>
                <w:lang w:val="en-GB"/>
              </w:rPr>
              <w:t xml:space="preserve">widely </w:t>
            </w:r>
            <w:r w:rsidRPr="00666B27">
              <w:rPr>
                <w:rFonts w:cs="Arial"/>
                <w:noProof/>
                <w:sz w:val="19"/>
                <w:szCs w:val="19"/>
                <w:lang w:val="en-GB"/>
              </w:rPr>
              <w:t>supported</w:t>
            </w:r>
            <w:r w:rsidRPr="00666B27">
              <w:rPr>
                <w:rFonts w:cs="Arial"/>
                <w:sz w:val="19"/>
                <w:szCs w:val="19"/>
                <w:lang w:val="en-GB"/>
              </w:rPr>
              <w:t xml:space="preserve"> and, regarding lighting, even expected.  </w:t>
            </w:r>
          </w:p>
          <w:p w:rsidR="00870F61" w:rsidRPr="00666B27" w:rsidRDefault="00870F61" w:rsidP="00A65267">
            <w:pPr>
              <w:jc w:val="left"/>
              <w:rPr>
                <w:rFonts w:cs="Arial"/>
                <w:sz w:val="19"/>
                <w:szCs w:val="19"/>
                <w:lang w:val="en-GB"/>
              </w:rPr>
            </w:pPr>
            <w:r w:rsidRPr="00666B27">
              <w:rPr>
                <w:rFonts w:cs="Arial"/>
                <w:sz w:val="19"/>
                <w:szCs w:val="19"/>
                <w:lang w:val="en-GB"/>
              </w:rPr>
              <w:t>Ensure that the action plan not only encompasses measures and strategies, but identifies sources of on-going funding, including government budgets, public-private partnerships, and international donor and investor support (</w:t>
            </w:r>
            <w:r w:rsidR="000B53E4" w:rsidRPr="00666B27">
              <w:rPr>
                <w:rFonts w:cs="Arial"/>
                <w:sz w:val="19"/>
                <w:szCs w:val="19"/>
                <w:lang w:val="en-GB"/>
              </w:rPr>
              <w:t>including the V-</w:t>
            </w:r>
            <w:r w:rsidRPr="00666B27">
              <w:rPr>
                <w:rFonts w:cs="Arial"/>
                <w:sz w:val="19"/>
                <w:szCs w:val="19"/>
                <w:lang w:val="en-GB"/>
              </w:rPr>
              <w:t>NAMA on EE in public building).</w:t>
            </w:r>
          </w:p>
        </w:tc>
        <w:tc>
          <w:tcPr>
            <w:tcW w:w="1417" w:type="dxa"/>
          </w:tcPr>
          <w:p w:rsidR="00870F61" w:rsidRPr="00666B27" w:rsidRDefault="00870F61" w:rsidP="00A65267">
            <w:pPr>
              <w:jc w:val="left"/>
              <w:rPr>
                <w:rFonts w:cs="Arial"/>
                <w:sz w:val="19"/>
                <w:szCs w:val="19"/>
                <w:lang w:val="en-GB"/>
              </w:rPr>
            </w:pPr>
            <w:r w:rsidRPr="00666B27">
              <w:rPr>
                <w:rFonts w:cs="Arial"/>
                <w:sz w:val="19"/>
                <w:szCs w:val="19"/>
                <w:lang w:val="en-GB"/>
              </w:rPr>
              <w:t xml:space="preserve">Department of Energy; Department of Trade and Industry (with NCRS, SABS) regarding standards and </w:t>
            </w:r>
            <w:r w:rsidRPr="00666B27">
              <w:rPr>
                <w:rFonts w:cs="Arial"/>
                <w:noProof/>
                <w:sz w:val="19"/>
                <w:szCs w:val="19"/>
                <w:lang w:val="en-GB"/>
              </w:rPr>
              <w:t>labelling</w:t>
            </w:r>
            <w:r w:rsidRPr="00666B27">
              <w:rPr>
                <w:rFonts w:cs="Arial"/>
                <w:sz w:val="19"/>
                <w:szCs w:val="19"/>
                <w:lang w:val="en-GB"/>
              </w:rPr>
              <w:t>, regarding stakeholder</w:t>
            </w:r>
          </w:p>
        </w:tc>
      </w:tr>
      <w:tr w:rsidR="00870F61" w:rsidRPr="0057545E" w:rsidTr="006A68A3">
        <w:trPr>
          <w:trHeight w:val="1025"/>
        </w:trPr>
        <w:tc>
          <w:tcPr>
            <w:tcW w:w="1985" w:type="dxa"/>
          </w:tcPr>
          <w:p w:rsidR="00870F61" w:rsidRPr="003B7D62" w:rsidRDefault="00870F61" w:rsidP="00A65267">
            <w:pPr>
              <w:jc w:val="left"/>
              <w:rPr>
                <w:rFonts w:cs="Arial"/>
                <w:sz w:val="19"/>
                <w:szCs w:val="19"/>
                <w:lang w:val="en-GB"/>
              </w:rPr>
            </w:pPr>
            <w:bookmarkStart w:id="116" w:name="_Hlk338673"/>
            <w:r w:rsidRPr="0057545E">
              <w:rPr>
                <w:rFonts w:cs="Arial"/>
                <w:sz w:val="19"/>
                <w:szCs w:val="19"/>
                <w:lang w:val="en-GB"/>
              </w:rPr>
              <w:t xml:space="preserve">Low-level participation from the private sector actors including </w:t>
            </w:r>
            <w:r w:rsidR="00440B54" w:rsidRPr="00353542">
              <w:rPr>
                <w:rFonts w:cs="Arial"/>
                <w:sz w:val="19"/>
                <w:szCs w:val="19"/>
                <w:lang w:val="en-GB"/>
              </w:rPr>
              <w:t xml:space="preserve">ESCOs, </w:t>
            </w:r>
            <w:r w:rsidRPr="00353542">
              <w:rPr>
                <w:rFonts w:cs="Arial"/>
                <w:sz w:val="19"/>
                <w:szCs w:val="19"/>
                <w:lang w:val="en-GB"/>
              </w:rPr>
              <w:t xml:space="preserve">manufacturers </w:t>
            </w:r>
            <w:r w:rsidRPr="003B7D62">
              <w:rPr>
                <w:rFonts w:cs="Arial"/>
                <w:noProof/>
                <w:sz w:val="19"/>
                <w:szCs w:val="19"/>
                <w:lang w:val="en-GB"/>
              </w:rPr>
              <w:t>and</w:t>
            </w:r>
            <w:r w:rsidRPr="003B7D62">
              <w:rPr>
                <w:rFonts w:cs="Arial"/>
                <w:sz w:val="19"/>
                <w:szCs w:val="19"/>
                <w:lang w:val="en-GB"/>
              </w:rPr>
              <w:t xml:space="preserve"> distributors </w:t>
            </w:r>
          </w:p>
        </w:tc>
        <w:tc>
          <w:tcPr>
            <w:tcW w:w="1417" w:type="dxa"/>
          </w:tcPr>
          <w:p w:rsidR="00870F61" w:rsidRPr="00666B27" w:rsidRDefault="00870F61" w:rsidP="00A65267">
            <w:pPr>
              <w:jc w:val="left"/>
              <w:rPr>
                <w:rFonts w:cs="Arial"/>
                <w:sz w:val="19"/>
                <w:szCs w:val="19"/>
                <w:lang w:val="en-GB"/>
              </w:rPr>
            </w:pPr>
            <w:r w:rsidRPr="004722F0">
              <w:rPr>
                <w:rFonts w:cs="Arial"/>
                <w:sz w:val="19"/>
                <w:szCs w:val="19"/>
                <w:lang w:val="en-GB"/>
              </w:rPr>
              <w:t>Soc</w:t>
            </w:r>
            <w:r w:rsidRPr="005431FB">
              <w:rPr>
                <w:rFonts w:cs="Arial"/>
                <w:sz w:val="19"/>
                <w:szCs w:val="19"/>
                <w:lang w:val="en-GB"/>
              </w:rPr>
              <w:t>ietal (business)</w:t>
            </w:r>
          </w:p>
        </w:tc>
        <w:tc>
          <w:tcPr>
            <w:tcW w:w="1276" w:type="dxa"/>
          </w:tcPr>
          <w:p w:rsidR="00870F61" w:rsidRPr="00666B27" w:rsidRDefault="00F94814" w:rsidP="00A65267">
            <w:pPr>
              <w:jc w:val="left"/>
              <w:rPr>
                <w:rFonts w:cs="Arial"/>
                <w:sz w:val="19"/>
                <w:szCs w:val="19"/>
                <w:lang w:val="en-GB"/>
              </w:rPr>
            </w:pPr>
            <w:r>
              <w:rPr>
                <w:rFonts w:cs="Arial"/>
                <w:sz w:val="19"/>
                <w:szCs w:val="19"/>
                <w:lang w:val="en-GB"/>
              </w:rPr>
              <w:t>High</w:t>
            </w:r>
          </w:p>
          <w:p w:rsidR="00870F61" w:rsidRPr="00666B27" w:rsidRDefault="00870F61" w:rsidP="00A65267">
            <w:pPr>
              <w:jc w:val="left"/>
              <w:rPr>
                <w:rFonts w:cs="Arial"/>
                <w:sz w:val="19"/>
                <w:szCs w:val="19"/>
                <w:lang w:val="en-GB"/>
              </w:rPr>
            </w:pPr>
            <w:r w:rsidRPr="00666B27">
              <w:rPr>
                <w:rFonts w:cs="Arial"/>
                <w:sz w:val="19"/>
                <w:szCs w:val="19"/>
                <w:lang w:val="en-GB"/>
              </w:rPr>
              <w:t>Impact =3</w:t>
            </w:r>
          </w:p>
          <w:p w:rsidR="00870F61" w:rsidRPr="00666B27" w:rsidRDefault="00870F61" w:rsidP="00A65267">
            <w:pPr>
              <w:jc w:val="left"/>
              <w:rPr>
                <w:rFonts w:cs="Arial"/>
                <w:sz w:val="19"/>
                <w:szCs w:val="19"/>
                <w:lang w:val="en-GB"/>
              </w:rPr>
            </w:pPr>
            <w:r w:rsidRPr="00666B27">
              <w:rPr>
                <w:rFonts w:cs="Arial"/>
                <w:sz w:val="19"/>
                <w:szCs w:val="19"/>
                <w:lang w:val="en-GB"/>
              </w:rPr>
              <w:t>Probability =</w:t>
            </w:r>
            <w:r w:rsidR="00F94814">
              <w:rPr>
                <w:rFonts w:cs="Arial"/>
                <w:sz w:val="19"/>
                <w:szCs w:val="19"/>
                <w:lang w:val="en-GB"/>
              </w:rPr>
              <w:t>4</w:t>
            </w:r>
          </w:p>
        </w:tc>
        <w:tc>
          <w:tcPr>
            <w:tcW w:w="4111" w:type="dxa"/>
          </w:tcPr>
          <w:p w:rsidR="00870F61" w:rsidRPr="00666B27" w:rsidRDefault="00870F61" w:rsidP="00A65267">
            <w:pPr>
              <w:jc w:val="left"/>
              <w:rPr>
                <w:rFonts w:cs="Arial"/>
                <w:sz w:val="19"/>
                <w:szCs w:val="19"/>
                <w:lang w:val="en-GB"/>
              </w:rPr>
            </w:pPr>
            <w:r w:rsidRPr="00666B27">
              <w:rPr>
                <w:rFonts w:cs="Arial"/>
                <w:sz w:val="19"/>
                <w:szCs w:val="19"/>
                <w:lang w:val="en-GB"/>
              </w:rPr>
              <w:t xml:space="preserve">Broad inclusiveness of stakeholders in development, review, and comment regarding new energy standards will help to retain this consensus by involving the private sector key players from the project design stage in the action </w:t>
            </w:r>
            <w:r w:rsidRPr="00666B27">
              <w:rPr>
                <w:rFonts w:cs="Arial"/>
                <w:sz w:val="19"/>
                <w:szCs w:val="19"/>
                <w:lang w:val="en-GB"/>
              </w:rPr>
              <w:lastRenderedPageBreak/>
              <w:t xml:space="preserve">formulation (Component </w:t>
            </w:r>
            <w:r w:rsidR="00440B54" w:rsidRPr="00666B27">
              <w:rPr>
                <w:rFonts w:cs="Arial"/>
                <w:sz w:val="19"/>
                <w:szCs w:val="19"/>
                <w:lang w:val="en-GB"/>
              </w:rPr>
              <w:t>1</w:t>
            </w:r>
            <w:r w:rsidRPr="00666B27">
              <w:rPr>
                <w:rFonts w:cs="Arial"/>
                <w:sz w:val="19"/>
                <w:szCs w:val="19"/>
                <w:lang w:val="en-GB"/>
              </w:rPr>
              <w:t>). Among domestic manufacturers, technical support for compliance will also help to reduce resistance, as well as the effective communication to manufacturers and suppliers about the benefits and economic opportunities to be gained from supply LED lighting and high-efficiency transformers</w:t>
            </w:r>
            <w:r w:rsidR="00440B54" w:rsidRPr="00666B27">
              <w:rPr>
                <w:rFonts w:cs="Arial"/>
                <w:sz w:val="19"/>
                <w:szCs w:val="19"/>
                <w:lang w:val="en-GB"/>
              </w:rPr>
              <w:t xml:space="preserve"> (Components 2 and 3)</w:t>
            </w:r>
          </w:p>
        </w:tc>
        <w:tc>
          <w:tcPr>
            <w:tcW w:w="1417" w:type="dxa"/>
          </w:tcPr>
          <w:p w:rsidR="00870F61" w:rsidRPr="00666B27" w:rsidRDefault="00870F61" w:rsidP="00A65267">
            <w:pPr>
              <w:jc w:val="left"/>
              <w:rPr>
                <w:rFonts w:cs="Arial"/>
                <w:sz w:val="19"/>
                <w:szCs w:val="19"/>
                <w:lang w:val="en-GB"/>
              </w:rPr>
            </w:pPr>
            <w:r w:rsidRPr="00666B27">
              <w:rPr>
                <w:rFonts w:cs="Arial"/>
                <w:sz w:val="19"/>
                <w:szCs w:val="19"/>
                <w:lang w:val="en-GB"/>
              </w:rPr>
              <w:lastRenderedPageBreak/>
              <w:t xml:space="preserve">The project will provide outreach and technical support and </w:t>
            </w:r>
            <w:r w:rsidRPr="00666B27">
              <w:rPr>
                <w:rFonts w:cs="Arial"/>
                <w:sz w:val="19"/>
                <w:szCs w:val="19"/>
                <w:lang w:val="en-GB"/>
              </w:rPr>
              <w:lastRenderedPageBreak/>
              <w:t>skills enhancement in cooperation with the national partners</w:t>
            </w:r>
          </w:p>
        </w:tc>
      </w:tr>
      <w:tr w:rsidR="00440B54" w:rsidRPr="0057545E" w:rsidTr="00F166F4">
        <w:trPr>
          <w:trHeight w:val="600"/>
        </w:trPr>
        <w:tc>
          <w:tcPr>
            <w:tcW w:w="1985" w:type="dxa"/>
            <w:tcBorders>
              <w:top w:val="single" w:sz="4" w:space="0" w:color="auto"/>
              <w:left w:val="single" w:sz="4" w:space="0" w:color="auto"/>
              <w:bottom w:val="single" w:sz="4" w:space="0" w:color="auto"/>
              <w:right w:val="single" w:sz="4" w:space="0" w:color="auto"/>
            </w:tcBorders>
          </w:tcPr>
          <w:p w:rsidR="00870F61" w:rsidRPr="0057545E" w:rsidRDefault="00870F61" w:rsidP="00A65267">
            <w:pPr>
              <w:jc w:val="left"/>
              <w:rPr>
                <w:rFonts w:cs="Arial"/>
                <w:sz w:val="19"/>
                <w:szCs w:val="19"/>
                <w:lang w:val="en-GB"/>
              </w:rPr>
            </w:pPr>
            <w:r w:rsidRPr="0057545E">
              <w:rPr>
                <w:rFonts w:cs="Arial"/>
                <w:sz w:val="19"/>
                <w:szCs w:val="19"/>
                <w:lang w:val="en-GB"/>
              </w:rPr>
              <w:lastRenderedPageBreak/>
              <w:t>Low-level participation from municipalities and resistance from consumers</w:t>
            </w:r>
          </w:p>
        </w:tc>
        <w:tc>
          <w:tcPr>
            <w:tcW w:w="1417" w:type="dxa"/>
            <w:tcBorders>
              <w:top w:val="single" w:sz="4" w:space="0" w:color="auto"/>
              <w:left w:val="single" w:sz="4" w:space="0" w:color="auto"/>
              <w:bottom w:val="single" w:sz="4" w:space="0" w:color="auto"/>
              <w:right w:val="single" w:sz="4" w:space="0" w:color="auto"/>
            </w:tcBorders>
          </w:tcPr>
          <w:p w:rsidR="00870F61" w:rsidRPr="00353542" w:rsidRDefault="00870F61" w:rsidP="00A65267">
            <w:pPr>
              <w:jc w:val="left"/>
              <w:rPr>
                <w:rFonts w:cs="Arial"/>
                <w:sz w:val="19"/>
                <w:szCs w:val="19"/>
                <w:lang w:val="en-GB"/>
              </w:rPr>
            </w:pPr>
            <w:r w:rsidRPr="00353542">
              <w:rPr>
                <w:rFonts w:cs="Arial"/>
                <w:sz w:val="19"/>
                <w:szCs w:val="19"/>
                <w:lang w:val="en-GB"/>
              </w:rPr>
              <w:t>Societal (consumers)</w:t>
            </w:r>
          </w:p>
          <w:p w:rsidR="00870F61" w:rsidRPr="003B7D62" w:rsidRDefault="00870F61" w:rsidP="00A65267">
            <w:pPr>
              <w:jc w:val="left"/>
              <w:rPr>
                <w:rFonts w:cs="Arial"/>
                <w:sz w:val="19"/>
                <w:szCs w:val="19"/>
                <w:lang w:val="en-GB"/>
              </w:rPr>
            </w:pPr>
          </w:p>
        </w:tc>
        <w:tc>
          <w:tcPr>
            <w:tcW w:w="1276" w:type="dxa"/>
            <w:tcBorders>
              <w:top w:val="single" w:sz="4" w:space="0" w:color="auto"/>
              <w:left w:val="single" w:sz="4" w:space="0" w:color="auto"/>
              <w:bottom w:val="single" w:sz="4" w:space="0" w:color="auto"/>
              <w:right w:val="single" w:sz="4" w:space="0" w:color="auto"/>
            </w:tcBorders>
          </w:tcPr>
          <w:p w:rsidR="00870F61" w:rsidRPr="005431FB" w:rsidRDefault="00870F61" w:rsidP="00A65267">
            <w:pPr>
              <w:jc w:val="left"/>
              <w:rPr>
                <w:rFonts w:cs="Arial"/>
                <w:sz w:val="19"/>
                <w:szCs w:val="19"/>
                <w:lang w:val="en-GB"/>
              </w:rPr>
            </w:pPr>
            <w:r w:rsidRPr="004722F0">
              <w:rPr>
                <w:rFonts w:cs="Arial"/>
                <w:sz w:val="19"/>
                <w:szCs w:val="19"/>
                <w:lang w:val="en-GB"/>
              </w:rPr>
              <w:t>Low</w:t>
            </w:r>
          </w:p>
          <w:p w:rsidR="00870F61" w:rsidRPr="00666B27" w:rsidRDefault="00870F61" w:rsidP="00A65267">
            <w:pPr>
              <w:jc w:val="left"/>
              <w:rPr>
                <w:rFonts w:cs="Arial"/>
                <w:sz w:val="19"/>
                <w:szCs w:val="19"/>
                <w:lang w:val="en-GB"/>
              </w:rPr>
            </w:pPr>
            <w:r w:rsidRPr="00666B27">
              <w:rPr>
                <w:rFonts w:cs="Arial"/>
                <w:sz w:val="19"/>
                <w:szCs w:val="19"/>
                <w:lang w:val="en-GB"/>
              </w:rPr>
              <w:t>Impact =</w:t>
            </w:r>
            <w:r w:rsidR="000B53E4" w:rsidRPr="00666B27">
              <w:rPr>
                <w:rFonts w:cs="Arial"/>
                <w:sz w:val="19"/>
                <w:szCs w:val="19"/>
                <w:lang w:val="en-GB"/>
              </w:rPr>
              <w:t>2</w:t>
            </w:r>
          </w:p>
          <w:p w:rsidR="00870F61" w:rsidRPr="00666B27" w:rsidRDefault="00870F61" w:rsidP="00A65267">
            <w:pPr>
              <w:jc w:val="left"/>
              <w:rPr>
                <w:rFonts w:cs="Arial"/>
                <w:sz w:val="19"/>
                <w:szCs w:val="19"/>
                <w:lang w:val="en-GB"/>
              </w:rPr>
            </w:pPr>
            <w:r w:rsidRPr="00666B27">
              <w:rPr>
                <w:rFonts w:cs="Arial"/>
                <w:sz w:val="19"/>
                <w:szCs w:val="19"/>
                <w:lang w:val="en-GB"/>
              </w:rPr>
              <w:t>Probability =</w:t>
            </w:r>
            <w:r w:rsidR="000B53E4" w:rsidRPr="00666B27">
              <w:rPr>
                <w:rFonts w:cs="Arial"/>
                <w:sz w:val="19"/>
                <w:szCs w:val="19"/>
                <w:lang w:val="en-GB"/>
              </w:rPr>
              <w:t>2</w:t>
            </w:r>
          </w:p>
        </w:tc>
        <w:tc>
          <w:tcPr>
            <w:tcW w:w="4111" w:type="dxa"/>
            <w:tcBorders>
              <w:top w:val="single" w:sz="4" w:space="0" w:color="auto"/>
              <w:left w:val="single" w:sz="4" w:space="0" w:color="auto"/>
              <w:bottom w:val="single" w:sz="4" w:space="0" w:color="auto"/>
              <w:right w:val="single" w:sz="4" w:space="0" w:color="auto"/>
            </w:tcBorders>
          </w:tcPr>
          <w:p w:rsidR="00870F61" w:rsidRPr="00666B27" w:rsidRDefault="00E77C3B" w:rsidP="00A65267">
            <w:pPr>
              <w:jc w:val="left"/>
              <w:rPr>
                <w:rFonts w:cs="Arial"/>
                <w:sz w:val="19"/>
                <w:szCs w:val="19"/>
                <w:lang w:val="en-GB"/>
              </w:rPr>
            </w:pPr>
            <w:r w:rsidRPr="00666B27">
              <w:rPr>
                <w:rFonts w:cs="Arial"/>
                <w:sz w:val="19"/>
                <w:szCs w:val="19"/>
                <w:lang w:val="en-GB"/>
              </w:rPr>
              <w:t>Building on</w:t>
            </w:r>
            <w:r w:rsidR="00870F61" w:rsidRPr="00666B27">
              <w:rPr>
                <w:rFonts w:cs="Arial"/>
                <w:sz w:val="19"/>
                <w:szCs w:val="19"/>
                <w:lang w:val="en-GB"/>
              </w:rPr>
              <w:t xml:space="preserve"> Eskom’s IDM </w:t>
            </w:r>
            <w:r w:rsidRPr="00666B27">
              <w:rPr>
                <w:rFonts w:cs="Arial"/>
                <w:sz w:val="19"/>
                <w:szCs w:val="19"/>
                <w:lang w:val="en-GB"/>
              </w:rPr>
              <w:t xml:space="preserve">efforts, awareness creation </w:t>
            </w:r>
            <w:r w:rsidR="00870F61" w:rsidRPr="00666B27">
              <w:rPr>
                <w:rFonts w:cs="Arial"/>
                <w:sz w:val="19"/>
                <w:szCs w:val="19"/>
                <w:lang w:val="en-GB"/>
              </w:rPr>
              <w:t xml:space="preserve">will help to reduce confusion, social burdens on the consumer side and communicate the benefits of LED lighting. </w:t>
            </w:r>
            <w:r w:rsidRPr="00666B27">
              <w:rPr>
                <w:rFonts w:cs="Arial"/>
                <w:sz w:val="19"/>
                <w:szCs w:val="19"/>
                <w:lang w:val="en-GB"/>
              </w:rPr>
              <w:t>Capacity</w:t>
            </w:r>
            <w:r w:rsidR="00870F61" w:rsidRPr="00666B27">
              <w:rPr>
                <w:rFonts w:cs="Arial"/>
                <w:sz w:val="19"/>
                <w:szCs w:val="19"/>
                <w:lang w:val="en-GB"/>
              </w:rPr>
              <w:t xml:space="preserve"> technical and financial support within Component 3 will overcome political opposition and institutional barriers (e.g. lack of resources and skills) at the municipal level</w:t>
            </w:r>
            <w:r w:rsidR="000B53E4" w:rsidRPr="00666B27">
              <w:rPr>
                <w:rFonts w:cs="Arial"/>
                <w:sz w:val="19"/>
                <w:szCs w:val="19"/>
                <w:lang w:val="en-GB"/>
              </w:rPr>
              <w:t>.</w:t>
            </w:r>
          </w:p>
        </w:tc>
        <w:tc>
          <w:tcPr>
            <w:tcW w:w="1417" w:type="dxa"/>
            <w:tcBorders>
              <w:top w:val="single" w:sz="4" w:space="0" w:color="auto"/>
              <w:left w:val="single" w:sz="4" w:space="0" w:color="auto"/>
              <w:bottom w:val="single" w:sz="4" w:space="0" w:color="auto"/>
              <w:right w:val="single" w:sz="4" w:space="0" w:color="auto"/>
            </w:tcBorders>
          </w:tcPr>
          <w:p w:rsidR="00870F61" w:rsidRPr="00666B27" w:rsidRDefault="00440B54" w:rsidP="00A65267">
            <w:pPr>
              <w:jc w:val="left"/>
              <w:rPr>
                <w:rFonts w:cs="Arial"/>
                <w:sz w:val="19"/>
                <w:szCs w:val="19"/>
                <w:lang w:val="en-GB"/>
              </w:rPr>
            </w:pPr>
            <w:r w:rsidRPr="00666B27">
              <w:rPr>
                <w:rFonts w:cs="Arial"/>
                <w:sz w:val="19"/>
                <w:szCs w:val="19"/>
                <w:lang w:val="en-GB"/>
              </w:rPr>
              <w:t xml:space="preserve">The project will provide outreach and technical support and skills enhancement </w:t>
            </w:r>
          </w:p>
        </w:tc>
      </w:tr>
      <w:tr w:rsidR="00440B54" w:rsidRPr="0057545E" w:rsidTr="00F166F4">
        <w:trPr>
          <w:trHeight w:val="1970"/>
        </w:trPr>
        <w:tc>
          <w:tcPr>
            <w:tcW w:w="1985" w:type="dxa"/>
            <w:tcBorders>
              <w:top w:val="single" w:sz="4" w:space="0" w:color="auto"/>
              <w:left w:val="single" w:sz="4" w:space="0" w:color="auto"/>
              <w:bottom w:val="single" w:sz="4" w:space="0" w:color="auto"/>
              <w:right w:val="single" w:sz="4" w:space="0" w:color="auto"/>
            </w:tcBorders>
          </w:tcPr>
          <w:p w:rsidR="00440B54" w:rsidRPr="00353542" w:rsidRDefault="00440B54" w:rsidP="00A65267">
            <w:pPr>
              <w:jc w:val="left"/>
              <w:rPr>
                <w:rFonts w:cs="Arial"/>
                <w:sz w:val="19"/>
                <w:szCs w:val="19"/>
                <w:lang w:val="en-GB"/>
              </w:rPr>
            </w:pPr>
            <w:r w:rsidRPr="0057545E">
              <w:rPr>
                <w:rFonts w:cs="Arial"/>
                <w:sz w:val="19"/>
                <w:szCs w:val="19"/>
                <w:lang w:val="en-GB"/>
              </w:rPr>
              <w:t xml:space="preserve">Hazardous substances </w:t>
            </w:r>
            <w:r w:rsidRPr="00514DE8">
              <w:rPr>
                <w:rFonts w:cs="Arial"/>
                <w:sz w:val="19"/>
                <w:szCs w:val="19"/>
                <w:lang w:val="en-GB"/>
              </w:rPr>
              <w:t>(mercury, PCBs, etc</w:t>
            </w:r>
            <w:r w:rsidR="00514DE8">
              <w:rPr>
                <w:rFonts w:cs="Arial"/>
                <w:sz w:val="19"/>
                <w:szCs w:val="19"/>
                <w:lang w:val="en-GB"/>
              </w:rPr>
              <w:t>.</w:t>
            </w:r>
            <w:r w:rsidRPr="00514DE8">
              <w:rPr>
                <w:rFonts w:cs="Arial"/>
                <w:sz w:val="19"/>
                <w:szCs w:val="19"/>
                <w:lang w:val="en-GB"/>
              </w:rPr>
              <w:t>) in existing and/or new products are not properly handled during production, lifetime and end of life.</w:t>
            </w:r>
          </w:p>
        </w:tc>
        <w:tc>
          <w:tcPr>
            <w:tcW w:w="1417" w:type="dxa"/>
            <w:tcBorders>
              <w:top w:val="single" w:sz="4" w:space="0" w:color="auto"/>
              <w:left w:val="single" w:sz="4" w:space="0" w:color="auto"/>
              <w:bottom w:val="single" w:sz="4" w:space="0" w:color="auto"/>
              <w:right w:val="single" w:sz="4" w:space="0" w:color="auto"/>
            </w:tcBorders>
          </w:tcPr>
          <w:p w:rsidR="00440B54" w:rsidRPr="003B7D62" w:rsidRDefault="00440B54" w:rsidP="00A65267">
            <w:pPr>
              <w:jc w:val="left"/>
              <w:rPr>
                <w:rFonts w:cs="Arial"/>
                <w:sz w:val="19"/>
                <w:szCs w:val="19"/>
                <w:lang w:val="en-GB"/>
              </w:rPr>
            </w:pPr>
            <w:r w:rsidRPr="003B7D62">
              <w:rPr>
                <w:rFonts w:cs="Arial"/>
                <w:sz w:val="19"/>
                <w:szCs w:val="19"/>
                <w:lang w:val="en-GB"/>
              </w:rPr>
              <w:t>Environmental</w:t>
            </w:r>
          </w:p>
        </w:tc>
        <w:tc>
          <w:tcPr>
            <w:tcW w:w="1276" w:type="dxa"/>
            <w:tcBorders>
              <w:top w:val="single" w:sz="4" w:space="0" w:color="auto"/>
              <w:left w:val="single" w:sz="4" w:space="0" w:color="auto"/>
              <w:bottom w:val="single" w:sz="4" w:space="0" w:color="auto"/>
              <w:right w:val="single" w:sz="4" w:space="0" w:color="auto"/>
            </w:tcBorders>
          </w:tcPr>
          <w:p w:rsidR="00440B54" w:rsidRPr="005431FB" w:rsidRDefault="00440B54" w:rsidP="00A65267">
            <w:pPr>
              <w:jc w:val="left"/>
              <w:rPr>
                <w:rFonts w:cs="Arial"/>
                <w:sz w:val="19"/>
                <w:szCs w:val="19"/>
                <w:lang w:val="en-GB"/>
              </w:rPr>
            </w:pPr>
            <w:r w:rsidRPr="004722F0">
              <w:rPr>
                <w:rFonts w:cs="Arial"/>
                <w:sz w:val="19"/>
                <w:szCs w:val="19"/>
                <w:lang w:val="en-GB"/>
              </w:rPr>
              <w:t>Low</w:t>
            </w:r>
          </w:p>
          <w:p w:rsidR="00440B54" w:rsidRPr="00666B27" w:rsidRDefault="00440B54" w:rsidP="00A65267">
            <w:pPr>
              <w:jc w:val="left"/>
              <w:rPr>
                <w:rFonts w:cs="Arial"/>
                <w:sz w:val="19"/>
                <w:szCs w:val="19"/>
                <w:lang w:val="en-GB"/>
              </w:rPr>
            </w:pPr>
            <w:r w:rsidRPr="00666B27">
              <w:rPr>
                <w:rFonts w:cs="Arial"/>
                <w:sz w:val="19"/>
                <w:szCs w:val="19"/>
                <w:lang w:val="en-GB"/>
              </w:rPr>
              <w:t>Impact = 1</w:t>
            </w:r>
          </w:p>
          <w:p w:rsidR="00440B54" w:rsidRPr="00666B27" w:rsidRDefault="00440B54" w:rsidP="00A65267">
            <w:pPr>
              <w:jc w:val="left"/>
              <w:rPr>
                <w:rFonts w:cs="Arial"/>
                <w:sz w:val="19"/>
                <w:szCs w:val="19"/>
                <w:lang w:val="en-GB"/>
              </w:rPr>
            </w:pPr>
            <w:r w:rsidRPr="00666B27">
              <w:rPr>
                <w:rFonts w:cs="Arial"/>
                <w:sz w:val="19"/>
                <w:szCs w:val="19"/>
                <w:lang w:val="en-GB"/>
              </w:rPr>
              <w:t>Probability =2</w:t>
            </w:r>
          </w:p>
        </w:tc>
        <w:tc>
          <w:tcPr>
            <w:tcW w:w="4111" w:type="dxa"/>
            <w:tcBorders>
              <w:top w:val="single" w:sz="4" w:space="0" w:color="auto"/>
              <w:left w:val="single" w:sz="4" w:space="0" w:color="auto"/>
              <w:bottom w:val="single" w:sz="4" w:space="0" w:color="auto"/>
              <w:right w:val="single" w:sz="4" w:space="0" w:color="auto"/>
            </w:tcBorders>
          </w:tcPr>
          <w:p w:rsidR="00440B54" w:rsidRPr="00666B27" w:rsidRDefault="00440B54" w:rsidP="00A65267">
            <w:pPr>
              <w:jc w:val="left"/>
              <w:rPr>
                <w:rFonts w:cs="Arial"/>
                <w:sz w:val="19"/>
                <w:szCs w:val="19"/>
                <w:lang w:val="en-GB"/>
              </w:rPr>
            </w:pPr>
            <w:r w:rsidRPr="00666B27">
              <w:rPr>
                <w:rFonts w:cs="Arial"/>
                <w:sz w:val="19"/>
                <w:szCs w:val="19"/>
                <w:lang w:val="en-GB"/>
              </w:rPr>
              <w:t xml:space="preserve">Awareness creation and training will be carried out both policymakers and practitioners on proper handling substances (e.g. lamp disposal and mercury recovery) are an integral part of Component 4 of the Project. The issue of PCB in oil-filled transformers is dealt </w:t>
            </w:r>
            <w:r w:rsidR="000B53E4" w:rsidRPr="00666B27">
              <w:rPr>
                <w:rFonts w:cs="Arial"/>
                <w:sz w:val="19"/>
                <w:szCs w:val="19"/>
                <w:lang w:val="en-GB"/>
              </w:rPr>
              <w:t xml:space="preserve">with </w:t>
            </w:r>
            <w:r w:rsidRPr="00666B27">
              <w:rPr>
                <w:rFonts w:cs="Arial"/>
                <w:sz w:val="19"/>
                <w:szCs w:val="19"/>
                <w:lang w:val="en-GB"/>
              </w:rPr>
              <w:t>separately in a proposed DBSA-implemented project on PCB-contaminated oil.</w:t>
            </w:r>
          </w:p>
        </w:tc>
        <w:tc>
          <w:tcPr>
            <w:tcW w:w="1417" w:type="dxa"/>
            <w:tcBorders>
              <w:top w:val="single" w:sz="4" w:space="0" w:color="auto"/>
              <w:left w:val="single" w:sz="4" w:space="0" w:color="auto"/>
              <w:bottom w:val="single" w:sz="4" w:space="0" w:color="auto"/>
              <w:right w:val="single" w:sz="4" w:space="0" w:color="auto"/>
            </w:tcBorders>
          </w:tcPr>
          <w:p w:rsidR="00440B54" w:rsidRPr="00666B27" w:rsidRDefault="00440B54" w:rsidP="00A65267">
            <w:pPr>
              <w:jc w:val="left"/>
              <w:rPr>
                <w:rFonts w:cs="Arial"/>
                <w:sz w:val="19"/>
                <w:szCs w:val="19"/>
                <w:lang w:val="en-GB"/>
              </w:rPr>
            </w:pPr>
            <w:r w:rsidRPr="00666B27">
              <w:rPr>
                <w:rFonts w:cs="Arial"/>
                <w:sz w:val="19"/>
                <w:szCs w:val="19"/>
                <w:lang w:val="en-GB"/>
              </w:rPr>
              <w:t>DBSA, DEA</w:t>
            </w:r>
          </w:p>
          <w:p w:rsidR="00440B54" w:rsidRPr="00666B27" w:rsidRDefault="004A400D" w:rsidP="00A65267">
            <w:pPr>
              <w:jc w:val="left"/>
              <w:rPr>
                <w:rFonts w:cs="Arial"/>
                <w:sz w:val="19"/>
                <w:szCs w:val="19"/>
                <w:lang w:val="en-GB"/>
              </w:rPr>
            </w:pPr>
            <w:r w:rsidRPr="00666B27">
              <w:rPr>
                <w:rFonts w:cs="Arial"/>
                <w:sz w:val="19"/>
                <w:szCs w:val="19"/>
                <w:lang w:val="en-GB"/>
              </w:rPr>
              <w:t>National partners</w:t>
            </w:r>
          </w:p>
          <w:p w:rsidR="004A400D" w:rsidRPr="00666B27" w:rsidRDefault="004A400D" w:rsidP="00A65267">
            <w:pPr>
              <w:jc w:val="left"/>
              <w:rPr>
                <w:rFonts w:cs="Arial"/>
                <w:sz w:val="19"/>
                <w:szCs w:val="19"/>
                <w:lang w:val="en-GB"/>
              </w:rPr>
            </w:pPr>
            <w:r w:rsidRPr="00666B27">
              <w:rPr>
                <w:rFonts w:cs="Arial"/>
                <w:sz w:val="19"/>
                <w:szCs w:val="19"/>
                <w:lang w:val="en-GB"/>
              </w:rPr>
              <w:t xml:space="preserve">Project </w:t>
            </w:r>
          </w:p>
        </w:tc>
      </w:tr>
      <w:bookmarkEnd w:id="116"/>
      <w:tr w:rsidR="00440B54" w:rsidRPr="0057545E" w:rsidTr="00F166F4">
        <w:trPr>
          <w:trHeight w:val="2551"/>
        </w:trPr>
        <w:tc>
          <w:tcPr>
            <w:tcW w:w="1985" w:type="dxa"/>
            <w:tcBorders>
              <w:top w:val="single" w:sz="4" w:space="0" w:color="auto"/>
              <w:left w:val="single" w:sz="4" w:space="0" w:color="auto"/>
              <w:bottom w:val="single" w:sz="4" w:space="0" w:color="auto"/>
              <w:right w:val="single" w:sz="4" w:space="0" w:color="auto"/>
            </w:tcBorders>
          </w:tcPr>
          <w:p w:rsidR="00870F61" w:rsidRPr="00353542" w:rsidRDefault="00870F61" w:rsidP="00A65267">
            <w:pPr>
              <w:jc w:val="left"/>
              <w:rPr>
                <w:rFonts w:cs="Arial"/>
                <w:sz w:val="19"/>
                <w:szCs w:val="19"/>
                <w:lang w:val="en-GB"/>
              </w:rPr>
            </w:pPr>
            <w:r w:rsidRPr="0057545E">
              <w:rPr>
                <w:rFonts w:cs="Arial"/>
                <w:sz w:val="19"/>
                <w:szCs w:val="19"/>
                <w:lang w:val="en-GB"/>
              </w:rPr>
              <w:t xml:space="preserve">Dumping, incorrect documentation, and other illegal practices in </w:t>
            </w:r>
            <w:r w:rsidRPr="0057545E">
              <w:rPr>
                <w:rFonts w:cs="Arial"/>
                <w:noProof/>
                <w:sz w:val="19"/>
                <w:szCs w:val="19"/>
                <w:lang w:val="en-GB"/>
              </w:rPr>
              <w:t>importation</w:t>
            </w:r>
            <w:r w:rsidRPr="00514DE8">
              <w:rPr>
                <w:rFonts w:cs="Arial"/>
                <w:sz w:val="19"/>
                <w:szCs w:val="19"/>
                <w:lang w:val="en-GB"/>
              </w:rPr>
              <w:t xml:space="preserve"> of LED and other lighting products complicate enforcement</w:t>
            </w:r>
          </w:p>
        </w:tc>
        <w:tc>
          <w:tcPr>
            <w:tcW w:w="1417" w:type="dxa"/>
            <w:tcBorders>
              <w:top w:val="single" w:sz="4" w:space="0" w:color="auto"/>
              <w:left w:val="single" w:sz="4" w:space="0" w:color="auto"/>
              <w:bottom w:val="single" w:sz="4" w:space="0" w:color="auto"/>
              <w:right w:val="single" w:sz="4" w:space="0" w:color="auto"/>
            </w:tcBorders>
          </w:tcPr>
          <w:p w:rsidR="00870F61" w:rsidRPr="003B7D62" w:rsidRDefault="00870F61" w:rsidP="00A65267">
            <w:pPr>
              <w:jc w:val="left"/>
              <w:rPr>
                <w:rFonts w:cs="Arial"/>
                <w:sz w:val="19"/>
                <w:szCs w:val="19"/>
                <w:lang w:val="en-GB"/>
              </w:rPr>
            </w:pPr>
            <w:r w:rsidRPr="003B7D62">
              <w:rPr>
                <w:rFonts w:cs="Arial"/>
                <w:sz w:val="19"/>
                <w:szCs w:val="19"/>
                <w:lang w:val="en-GB"/>
              </w:rPr>
              <w:t>Regulatory and market</w:t>
            </w:r>
          </w:p>
        </w:tc>
        <w:tc>
          <w:tcPr>
            <w:tcW w:w="1276" w:type="dxa"/>
            <w:tcBorders>
              <w:top w:val="single" w:sz="4" w:space="0" w:color="auto"/>
              <w:left w:val="single" w:sz="4" w:space="0" w:color="auto"/>
              <w:bottom w:val="single" w:sz="4" w:space="0" w:color="auto"/>
              <w:right w:val="single" w:sz="4" w:space="0" w:color="auto"/>
            </w:tcBorders>
          </w:tcPr>
          <w:p w:rsidR="00870F61" w:rsidRPr="005431FB" w:rsidRDefault="00870F61" w:rsidP="00A65267">
            <w:pPr>
              <w:jc w:val="left"/>
              <w:rPr>
                <w:rFonts w:cs="Arial"/>
                <w:sz w:val="19"/>
                <w:szCs w:val="19"/>
                <w:lang w:val="en-GB"/>
              </w:rPr>
            </w:pPr>
            <w:r w:rsidRPr="004722F0">
              <w:rPr>
                <w:rFonts w:cs="Arial"/>
                <w:sz w:val="19"/>
                <w:szCs w:val="19"/>
                <w:lang w:val="en-GB"/>
              </w:rPr>
              <w:t>Low</w:t>
            </w:r>
          </w:p>
          <w:p w:rsidR="00870F61" w:rsidRPr="00666B27" w:rsidRDefault="00870F61" w:rsidP="00A65267">
            <w:pPr>
              <w:jc w:val="left"/>
              <w:rPr>
                <w:rFonts w:cs="Arial"/>
                <w:sz w:val="19"/>
                <w:szCs w:val="19"/>
                <w:lang w:val="en-GB"/>
              </w:rPr>
            </w:pPr>
            <w:r w:rsidRPr="00666B27">
              <w:rPr>
                <w:rFonts w:cs="Arial"/>
                <w:sz w:val="19"/>
                <w:szCs w:val="19"/>
                <w:lang w:val="en-GB"/>
              </w:rPr>
              <w:t>Impact = 2</w:t>
            </w:r>
          </w:p>
          <w:p w:rsidR="00870F61" w:rsidRPr="00666B27" w:rsidRDefault="00870F61" w:rsidP="00A65267">
            <w:pPr>
              <w:jc w:val="left"/>
              <w:rPr>
                <w:rFonts w:cs="Arial"/>
                <w:sz w:val="19"/>
                <w:szCs w:val="19"/>
                <w:lang w:val="en-GB"/>
              </w:rPr>
            </w:pPr>
            <w:r w:rsidRPr="00666B27">
              <w:rPr>
                <w:rFonts w:cs="Arial"/>
                <w:sz w:val="19"/>
                <w:szCs w:val="19"/>
                <w:lang w:val="en-GB"/>
              </w:rPr>
              <w:t>Probability = 1</w:t>
            </w:r>
          </w:p>
        </w:tc>
        <w:tc>
          <w:tcPr>
            <w:tcW w:w="4111" w:type="dxa"/>
            <w:tcBorders>
              <w:top w:val="single" w:sz="4" w:space="0" w:color="auto"/>
              <w:left w:val="single" w:sz="4" w:space="0" w:color="auto"/>
              <w:bottom w:val="single" w:sz="4" w:space="0" w:color="auto"/>
              <w:right w:val="single" w:sz="4" w:space="0" w:color="auto"/>
            </w:tcBorders>
          </w:tcPr>
          <w:p w:rsidR="00870F61" w:rsidRPr="00666B27" w:rsidRDefault="00870F61" w:rsidP="00A65267">
            <w:pPr>
              <w:jc w:val="left"/>
              <w:rPr>
                <w:rFonts w:cs="Arial"/>
                <w:sz w:val="19"/>
                <w:szCs w:val="19"/>
                <w:lang w:val="en-GB"/>
              </w:rPr>
            </w:pPr>
            <w:r w:rsidRPr="00666B27">
              <w:rPr>
                <w:rFonts w:cs="Arial"/>
                <w:sz w:val="19"/>
                <w:szCs w:val="19"/>
                <w:lang w:val="en-GB"/>
              </w:rPr>
              <w:t xml:space="preserve">Direct activity regarding customs control of imported goods lies beyond the scope of the project, but to a significant extent, the project’s MVE activities in Component 2 (verification and enforcement with testing, market snapshot </w:t>
            </w:r>
            <w:r w:rsidRPr="00666B27">
              <w:rPr>
                <w:rFonts w:cs="Arial"/>
                <w:noProof/>
                <w:sz w:val="19"/>
                <w:szCs w:val="19"/>
                <w:lang w:val="en-GB"/>
              </w:rPr>
              <w:t>and</w:t>
            </w:r>
            <w:r w:rsidRPr="00666B27">
              <w:rPr>
                <w:rFonts w:cs="Arial"/>
                <w:sz w:val="19"/>
                <w:szCs w:val="19"/>
                <w:lang w:val="en-GB"/>
              </w:rPr>
              <w:t xml:space="preserve"> publicity, register of products) will help catch non-compliant products (low-quality lamps) that might enter the country.  Such cases that are indeed revealed through project activity will be reported to responsible customs authorities and to the mass media.</w:t>
            </w:r>
          </w:p>
        </w:tc>
        <w:tc>
          <w:tcPr>
            <w:tcW w:w="1417" w:type="dxa"/>
            <w:tcBorders>
              <w:top w:val="single" w:sz="4" w:space="0" w:color="auto"/>
              <w:left w:val="single" w:sz="4" w:space="0" w:color="auto"/>
              <w:bottom w:val="single" w:sz="4" w:space="0" w:color="auto"/>
              <w:right w:val="single" w:sz="4" w:space="0" w:color="auto"/>
            </w:tcBorders>
          </w:tcPr>
          <w:p w:rsidR="00870F61" w:rsidRPr="00666B27" w:rsidRDefault="00870F61" w:rsidP="00A65267">
            <w:pPr>
              <w:jc w:val="left"/>
              <w:rPr>
                <w:rFonts w:cs="Arial"/>
                <w:sz w:val="19"/>
                <w:szCs w:val="19"/>
                <w:lang w:val="en-GB"/>
              </w:rPr>
            </w:pPr>
            <w:r w:rsidRPr="00666B27">
              <w:rPr>
                <w:rFonts w:cs="Arial"/>
                <w:sz w:val="19"/>
                <w:szCs w:val="19"/>
                <w:lang w:val="en-GB"/>
              </w:rPr>
              <w:t>Project</w:t>
            </w:r>
            <w:r w:rsidR="00440B54" w:rsidRPr="00666B27">
              <w:rPr>
                <w:rFonts w:cs="Arial"/>
                <w:sz w:val="19"/>
                <w:szCs w:val="19"/>
                <w:lang w:val="en-GB"/>
              </w:rPr>
              <w:t xml:space="preserve"> and government agencies involved in MVE</w:t>
            </w:r>
          </w:p>
        </w:tc>
      </w:tr>
      <w:tr w:rsidR="00440B54" w:rsidRPr="0057545E" w:rsidTr="00F166F4">
        <w:trPr>
          <w:trHeight w:val="1087"/>
        </w:trPr>
        <w:tc>
          <w:tcPr>
            <w:tcW w:w="1985" w:type="dxa"/>
            <w:tcBorders>
              <w:top w:val="single" w:sz="4" w:space="0" w:color="auto"/>
              <w:left w:val="single" w:sz="4" w:space="0" w:color="auto"/>
              <w:bottom w:val="single" w:sz="4" w:space="0" w:color="auto"/>
              <w:right w:val="single" w:sz="4" w:space="0" w:color="auto"/>
            </w:tcBorders>
          </w:tcPr>
          <w:p w:rsidR="00870F61" w:rsidRPr="0057545E" w:rsidRDefault="00870F61" w:rsidP="00A65267">
            <w:pPr>
              <w:jc w:val="left"/>
              <w:rPr>
                <w:rFonts w:cs="Arial"/>
                <w:sz w:val="19"/>
                <w:szCs w:val="19"/>
                <w:lang w:val="en-GB"/>
              </w:rPr>
            </w:pPr>
            <w:r w:rsidRPr="0057545E">
              <w:rPr>
                <w:rFonts w:cs="Arial"/>
                <w:sz w:val="19"/>
                <w:szCs w:val="19"/>
                <w:lang w:val="en-GB"/>
              </w:rPr>
              <w:t xml:space="preserve">Delayed implementation of activities that are baselines for specific incremental activities of the proposed program. </w:t>
            </w:r>
          </w:p>
        </w:tc>
        <w:tc>
          <w:tcPr>
            <w:tcW w:w="1417" w:type="dxa"/>
            <w:tcBorders>
              <w:top w:val="single" w:sz="4" w:space="0" w:color="auto"/>
              <w:left w:val="single" w:sz="4" w:space="0" w:color="auto"/>
              <w:bottom w:val="single" w:sz="4" w:space="0" w:color="auto"/>
              <w:right w:val="single" w:sz="4" w:space="0" w:color="auto"/>
            </w:tcBorders>
          </w:tcPr>
          <w:p w:rsidR="00870F61" w:rsidRPr="00353542" w:rsidRDefault="00870F61" w:rsidP="00A65267">
            <w:pPr>
              <w:jc w:val="left"/>
              <w:rPr>
                <w:rFonts w:cs="Arial"/>
                <w:sz w:val="19"/>
                <w:szCs w:val="19"/>
                <w:lang w:val="en-GB"/>
              </w:rPr>
            </w:pPr>
            <w:r w:rsidRPr="00353542">
              <w:rPr>
                <w:rFonts w:cs="Arial"/>
                <w:sz w:val="19"/>
                <w:szCs w:val="19"/>
                <w:lang w:val="en-GB"/>
              </w:rPr>
              <w:t>Organizational</w:t>
            </w:r>
          </w:p>
        </w:tc>
        <w:tc>
          <w:tcPr>
            <w:tcW w:w="1276" w:type="dxa"/>
            <w:tcBorders>
              <w:top w:val="single" w:sz="4" w:space="0" w:color="auto"/>
              <w:left w:val="single" w:sz="4" w:space="0" w:color="auto"/>
              <w:bottom w:val="single" w:sz="4" w:space="0" w:color="auto"/>
              <w:right w:val="single" w:sz="4" w:space="0" w:color="auto"/>
            </w:tcBorders>
          </w:tcPr>
          <w:p w:rsidR="00870F61" w:rsidRPr="003B7D62" w:rsidRDefault="00870F61" w:rsidP="00A65267">
            <w:pPr>
              <w:jc w:val="left"/>
              <w:rPr>
                <w:rFonts w:cs="Arial"/>
                <w:sz w:val="19"/>
                <w:szCs w:val="19"/>
                <w:lang w:val="en-GB"/>
              </w:rPr>
            </w:pPr>
            <w:r w:rsidRPr="003B7D62">
              <w:rPr>
                <w:rFonts w:cs="Arial"/>
                <w:sz w:val="19"/>
                <w:szCs w:val="19"/>
                <w:lang w:val="en-GB"/>
              </w:rPr>
              <w:t>Medium</w:t>
            </w:r>
          </w:p>
          <w:p w:rsidR="00870F61" w:rsidRPr="005431FB" w:rsidRDefault="00870F61" w:rsidP="00A65267">
            <w:pPr>
              <w:jc w:val="left"/>
              <w:rPr>
                <w:rFonts w:cs="Arial"/>
                <w:sz w:val="19"/>
                <w:szCs w:val="19"/>
                <w:lang w:val="en-GB"/>
              </w:rPr>
            </w:pPr>
            <w:r w:rsidRPr="004722F0">
              <w:rPr>
                <w:rFonts w:cs="Arial"/>
                <w:sz w:val="19"/>
                <w:szCs w:val="19"/>
                <w:lang w:val="en-GB"/>
              </w:rPr>
              <w:t>Impact = 2</w:t>
            </w:r>
          </w:p>
          <w:p w:rsidR="00870F61" w:rsidRPr="00666B27" w:rsidRDefault="00870F61" w:rsidP="00A65267">
            <w:pPr>
              <w:jc w:val="left"/>
              <w:rPr>
                <w:rFonts w:cs="Arial"/>
                <w:sz w:val="19"/>
                <w:szCs w:val="19"/>
                <w:lang w:val="en-GB"/>
              </w:rPr>
            </w:pPr>
            <w:r w:rsidRPr="00666B27">
              <w:rPr>
                <w:rFonts w:cs="Arial"/>
                <w:sz w:val="19"/>
                <w:szCs w:val="19"/>
                <w:lang w:val="en-GB"/>
              </w:rPr>
              <w:t>Probability = 1</w:t>
            </w:r>
          </w:p>
        </w:tc>
        <w:tc>
          <w:tcPr>
            <w:tcW w:w="4111" w:type="dxa"/>
            <w:tcBorders>
              <w:top w:val="single" w:sz="4" w:space="0" w:color="auto"/>
              <w:left w:val="single" w:sz="4" w:space="0" w:color="auto"/>
              <w:bottom w:val="single" w:sz="4" w:space="0" w:color="auto"/>
              <w:right w:val="single" w:sz="4" w:space="0" w:color="auto"/>
            </w:tcBorders>
          </w:tcPr>
          <w:p w:rsidR="00870F61" w:rsidRPr="00666B27" w:rsidRDefault="00870F61" w:rsidP="00A65267">
            <w:pPr>
              <w:jc w:val="left"/>
              <w:rPr>
                <w:rFonts w:cs="Arial"/>
                <w:sz w:val="19"/>
                <w:szCs w:val="19"/>
                <w:lang w:val="en-GB"/>
              </w:rPr>
            </w:pPr>
            <w:r w:rsidRPr="00666B27">
              <w:rPr>
                <w:rFonts w:cs="Arial"/>
                <w:sz w:val="19"/>
                <w:szCs w:val="19"/>
                <w:lang w:val="en-GB"/>
              </w:rPr>
              <w:t>During the proposed program inception meeting the precise role of each partner and their responsibilities will be established</w:t>
            </w:r>
            <w:r w:rsidR="000B53E4" w:rsidRPr="00666B27">
              <w:rPr>
                <w:rFonts w:cs="Arial"/>
                <w:sz w:val="19"/>
                <w:szCs w:val="19"/>
                <w:lang w:val="en-GB"/>
              </w:rPr>
              <w:t>.</w:t>
            </w:r>
          </w:p>
        </w:tc>
        <w:tc>
          <w:tcPr>
            <w:tcW w:w="1417" w:type="dxa"/>
            <w:tcBorders>
              <w:top w:val="single" w:sz="4" w:space="0" w:color="auto"/>
              <w:left w:val="single" w:sz="4" w:space="0" w:color="auto"/>
              <w:bottom w:val="single" w:sz="4" w:space="0" w:color="auto"/>
              <w:right w:val="single" w:sz="4" w:space="0" w:color="auto"/>
            </w:tcBorders>
          </w:tcPr>
          <w:p w:rsidR="00870F61" w:rsidRPr="00666B27" w:rsidRDefault="00440B54" w:rsidP="00A65267">
            <w:pPr>
              <w:jc w:val="left"/>
              <w:rPr>
                <w:rFonts w:cs="Arial"/>
                <w:sz w:val="19"/>
                <w:szCs w:val="19"/>
                <w:lang w:val="en-GB"/>
              </w:rPr>
            </w:pPr>
            <w:r w:rsidRPr="00666B27">
              <w:rPr>
                <w:rFonts w:cs="Arial"/>
                <w:sz w:val="19"/>
                <w:szCs w:val="19"/>
                <w:lang w:val="en-GB"/>
              </w:rPr>
              <w:t>DOE, DTI, DEA</w:t>
            </w:r>
            <w:r w:rsidR="00E236DA" w:rsidRPr="00666B27">
              <w:rPr>
                <w:rFonts w:cs="Arial"/>
                <w:sz w:val="19"/>
                <w:szCs w:val="19"/>
                <w:lang w:val="en-GB"/>
              </w:rPr>
              <w:t>,</w:t>
            </w:r>
            <w:r w:rsidRPr="00666B27">
              <w:rPr>
                <w:rFonts w:cs="Arial"/>
                <w:sz w:val="19"/>
                <w:szCs w:val="19"/>
                <w:lang w:val="en-GB"/>
              </w:rPr>
              <w:t xml:space="preserve"> </w:t>
            </w:r>
            <w:r w:rsidRPr="00666B27">
              <w:rPr>
                <w:rFonts w:cs="Arial"/>
                <w:noProof/>
                <w:sz w:val="19"/>
                <w:szCs w:val="19"/>
                <w:lang w:val="en-GB"/>
              </w:rPr>
              <w:t>and</w:t>
            </w:r>
            <w:r w:rsidRPr="00666B27">
              <w:rPr>
                <w:rFonts w:cs="Arial"/>
                <w:sz w:val="19"/>
                <w:szCs w:val="19"/>
                <w:lang w:val="en-GB"/>
              </w:rPr>
              <w:t xml:space="preserve"> other Board members</w:t>
            </w:r>
          </w:p>
        </w:tc>
      </w:tr>
      <w:bookmarkEnd w:id="115"/>
    </w:tbl>
    <w:p w:rsidR="00440B54" w:rsidRPr="0057545E" w:rsidRDefault="00440B54" w:rsidP="00870F61">
      <w:pPr>
        <w:rPr>
          <w:bCs/>
          <w:sz w:val="18"/>
          <w:szCs w:val="18"/>
          <w:lang w:val="en-GB"/>
        </w:rPr>
      </w:pPr>
    </w:p>
    <w:p w:rsidR="004A400D" w:rsidRDefault="00870F61" w:rsidP="00870F61">
      <w:pPr>
        <w:rPr>
          <w:bCs/>
          <w:sz w:val="18"/>
          <w:szCs w:val="18"/>
          <w:lang w:val="en-GB"/>
        </w:rPr>
      </w:pPr>
      <w:r w:rsidRPr="00353542">
        <w:rPr>
          <w:bCs/>
          <w:sz w:val="18"/>
          <w:szCs w:val="18"/>
          <w:lang w:val="en-GB"/>
        </w:rPr>
        <w:t>Note: Probability scale from 1 (low) to 5 (high); Impact scale from 1 (low) to 5 (high)</w:t>
      </w:r>
      <w:r w:rsidR="004A400D" w:rsidRPr="00353542">
        <w:rPr>
          <w:bCs/>
          <w:sz w:val="18"/>
          <w:szCs w:val="18"/>
          <w:lang w:val="en-GB"/>
        </w:rPr>
        <w:t>.</w:t>
      </w:r>
    </w:p>
    <w:p w:rsidR="00BB1E93" w:rsidRPr="00353542" w:rsidRDefault="00BB1E93" w:rsidP="00870F61">
      <w:pPr>
        <w:rPr>
          <w:bCs/>
          <w:sz w:val="18"/>
          <w:szCs w:val="18"/>
          <w:lang w:val="en-GB"/>
        </w:rPr>
      </w:pPr>
    </w:p>
    <w:bookmarkEnd w:id="112"/>
    <w:p w:rsidR="004A400D" w:rsidRPr="003B7D62" w:rsidRDefault="004A400D" w:rsidP="00870F61">
      <w:pPr>
        <w:rPr>
          <w:bCs/>
          <w:sz w:val="18"/>
          <w:szCs w:val="18"/>
          <w:lang w:val="en-GB"/>
        </w:rPr>
      </w:pPr>
    </w:p>
    <w:p w:rsidR="004A400D" w:rsidRPr="00666B27" w:rsidRDefault="004A400D" w:rsidP="004A400D">
      <w:pPr>
        <w:pStyle w:val="Heading2"/>
      </w:pPr>
      <w:bookmarkStart w:id="117" w:name="_Toc497848302"/>
      <w:bookmarkStart w:id="118" w:name="_Toc340761"/>
      <w:r w:rsidRPr="004722F0">
        <w:lastRenderedPageBreak/>
        <w:t>South-South and Triangular Cooperation (</w:t>
      </w:r>
      <w:proofErr w:type="spellStart"/>
      <w:r w:rsidRPr="005431FB">
        <w:rPr>
          <w:noProof/>
        </w:rPr>
        <w:t>SSTrC</w:t>
      </w:r>
      <w:proofErr w:type="spellEnd"/>
      <w:r w:rsidRPr="00666B27">
        <w:t>):</w:t>
      </w:r>
      <w:bookmarkEnd w:id="117"/>
      <w:bookmarkEnd w:id="118"/>
      <w:r w:rsidRPr="00666B27">
        <w:t xml:space="preserve">  </w:t>
      </w:r>
    </w:p>
    <w:p w:rsidR="004A400D" w:rsidRPr="00666B27" w:rsidRDefault="004A400D" w:rsidP="004A400D">
      <w:pPr>
        <w:rPr>
          <w:lang w:val="en-GB" w:eastAsia="en-GB"/>
        </w:rPr>
      </w:pPr>
    </w:p>
    <w:p w:rsidR="004A400D" w:rsidRDefault="004A400D" w:rsidP="004A400D">
      <w:pPr>
        <w:spacing w:after="0"/>
        <w:rPr>
          <w:lang w:val="en-GB" w:eastAsia="en-GB"/>
        </w:rPr>
      </w:pPr>
      <w:bookmarkStart w:id="119" w:name="_Hlk1632085"/>
      <w:bookmarkStart w:id="120" w:name="_Hlk4679815"/>
      <w:r w:rsidRPr="00666B27">
        <w:rPr>
          <w:lang w:val="en-GB" w:eastAsia="en-GB"/>
        </w:rPr>
        <w:t>U4E will provide broader contacts and coordination, especially with other child projects of the global leapfrogging project, in sharing experience, best practices, and lessons learned and with other recent UNEP and UNDP-supported projects funded by GEF on efficient lighting, appliances and equipment in Costa Rica, Bolivia, Peru, Chile, Morocco, Tunisia, Sudan, Turkey, Jordan, Kazakhstan, Pakistan, Myanmar and Indonesia</w:t>
      </w:r>
      <w:r w:rsidR="000B53E4" w:rsidRPr="00666B27">
        <w:rPr>
          <w:lang w:val="en-GB" w:eastAsia="en-GB"/>
        </w:rPr>
        <w:t xml:space="preserve">. </w:t>
      </w:r>
      <w:r w:rsidRPr="00666B27">
        <w:rPr>
          <w:lang w:val="en-GB" w:eastAsia="en-GB"/>
        </w:rPr>
        <w:t xml:space="preserve">UNDP will invite representatives of </w:t>
      </w:r>
      <w:r w:rsidR="000B53E4" w:rsidRPr="00666B27">
        <w:rPr>
          <w:lang w:val="en-GB" w:eastAsia="en-GB"/>
        </w:rPr>
        <w:t>the projects in these countries</w:t>
      </w:r>
      <w:r w:rsidRPr="00666B27">
        <w:rPr>
          <w:lang w:val="en-GB" w:eastAsia="en-GB"/>
        </w:rPr>
        <w:t xml:space="preserve"> to attend the closing </w:t>
      </w:r>
      <w:r w:rsidR="000B53E4" w:rsidRPr="00666B27">
        <w:rPr>
          <w:lang w:val="en-GB" w:eastAsia="en-GB"/>
        </w:rPr>
        <w:t xml:space="preserve">(and other) </w:t>
      </w:r>
      <w:r w:rsidRPr="00666B27">
        <w:rPr>
          <w:lang w:val="en-GB" w:eastAsia="en-GB"/>
        </w:rPr>
        <w:t>workshop</w:t>
      </w:r>
      <w:r w:rsidR="000B53E4" w:rsidRPr="00666B27">
        <w:rPr>
          <w:lang w:val="en-GB" w:eastAsia="en-GB"/>
        </w:rPr>
        <w:t>(s)</w:t>
      </w:r>
      <w:r w:rsidRPr="00666B27">
        <w:rPr>
          <w:lang w:val="en-GB" w:eastAsia="en-GB"/>
        </w:rPr>
        <w:t xml:space="preserve"> of the project in South </w:t>
      </w:r>
      <w:r w:rsidRPr="00666B27">
        <w:rPr>
          <w:noProof/>
          <w:lang w:val="en-GB" w:eastAsia="en-GB"/>
        </w:rPr>
        <w:t>Africa,</w:t>
      </w:r>
      <w:r w:rsidRPr="00666B27">
        <w:rPr>
          <w:lang w:val="en-GB" w:eastAsia="en-GB"/>
        </w:rPr>
        <w:t xml:space="preserve"> and to deliver presentations and disseminate their own materials</w:t>
      </w:r>
      <w:bookmarkEnd w:id="119"/>
      <w:r w:rsidRPr="00666B27">
        <w:rPr>
          <w:lang w:val="en-GB" w:eastAsia="en-GB"/>
        </w:rPr>
        <w:t xml:space="preserve">.  </w:t>
      </w:r>
    </w:p>
    <w:p w:rsidR="002C64A4" w:rsidRDefault="002C64A4" w:rsidP="004A400D">
      <w:pPr>
        <w:spacing w:after="0"/>
        <w:rPr>
          <w:lang w:val="en-GB" w:eastAsia="en-GB"/>
        </w:rPr>
      </w:pPr>
    </w:p>
    <w:p w:rsidR="002C64A4" w:rsidRPr="00281A49" w:rsidRDefault="002C64A4" w:rsidP="002C64A4">
      <w:pPr>
        <w:spacing w:after="0"/>
        <w:rPr>
          <w:color w:val="2F5496" w:themeColor="accent1" w:themeShade="BF"/>
          <w:lang w:val="en-GB" w:eastAsia="en-GB"/>
        </w:rPr>
      </w:pPr>
      <w:bookmarkStart w:id="121" w:name="_Hlk15036478"/>
      <w:r w:rsidRPr="00281A49">
        <w:rPr>
          <w:color w:val="2F5496" w:themeColor="accent1" w:themeShade="BF"/>
          <w:lang w:val="en-GB" w:eastAsia="en-GB"/>
        </w:rPr>
        <w:t>On new knowledge products and training/conferences etc to be done under the new child project, this will be guided mostly through U4E and UNEP’s lead role in the global Leapfrogging Program Framework Document, and our project in South Africa is one of several in this grouping. It will benefit both from exchanges with sister projects managed by UNDP (in Sudan, Kazakhstan and Indonesia) and others handled by UNEP. On transformers the project will establish and exchange link with the UNDP Kazakhstan project, which also has a focus on transformers. Also, the Project will the project will seek cooperation with relevant international organisations, for example, the International Copper Association, or the inter-governmental Super-efficient Equipment and Appliance Deployment (SEAD) Initiative.</w:t>
      </w:r>
    </w:p>
    <w:bookmarkEnd w:id="121"/>
    <w:p w:rsidR="002C64A4" w:rsidRPr="00666B27" w:rsidRDefault="002C64A4" w:rsidP="004A400D">
      <w:pPr>
        <w:spacing w:after="0"/>
        <w:rPr>
          <w:lang w:val="en-GB" w:eastAsia="en-GB"/>
        </w:rPr>
      </w:pPr>
    </w:p>
    <w:p w:rsidR="004A400D" w:rsidRPr="00666B27" w:rsidRDefault="004A400D" w:rsidP="004A400D">
      <w:pPr>
        <w:spacing w:after="0"/>
        <w:rPr>
          <w:lang w:val="en-GB" w:eastAsia="en-GB"/>
        </w:rPr>
      </w:pPr>
      <w:r w:rsidRPr="00666B27">
        <w:rPr>
          <w:lang w:val="en-GB" w:eastAsia="en-GB"/>
        </w:rPr>
        <w:t xml:space="preserve">In addition, the Project will promote collaboration on issues and options on efficient lighting and power distribution in the regional context (SAPP, SADC, COMESA) and this is an explicit part of </w:t>
      </w:r>
      <w:r w:rsidR="00A65267" w:rsidRPr="00666B27">
        <w:rPr>
          <w:lang w:val="en-GB" w:eastAsia="en-GB"/>
        </w:rPr>
        <w:t>Output 1.2.</w:t>
      </w:r>
      <w:r w:rsidRPr="00666B27">
        <w:rPr>
          <w:lang w:val="en-GB" w:eastAsia="en-GB"/>
        </w:rPr>
        <w:t xml:space="preserve"> In this context, the Project will work with U4E on a 1) a regional market assessment (quantitative information and product prioritization</w:t>
      </w:r>
      <w:r w:rsidR="00A65267" w:rsidRPr="00666B27">
        <w:rPr>
          <w:lang w:val="en-GB" w:eastAsia="en-GB"/>
        </w:rPr>
        <w:t>)</w:t>
      </w:r>
      <w:r w:rsidRPr="00666B27">
        <w:rPr>
          <w:lang w:val="en-GB" w:eastAsia="en-GB"/>
        </w:rPr>
        <w:t xml:space="preserve">; </w:t>
      </w:r>
      <w:r w:rsidR="00A65267" w:rsidRPr="00666B27">
        <w:rPr>
          <w:lang w:val="en-GB" w:eastAsia="en-GB"/>
        </w:rPr>
        <w:t xml:space="preserve">and, </w:t>
      </w:r>
      <w:r w:rsidRPr="00666B27">
        <w:rPr>
          <w:lang w:val="en-GB" w:eastAsia="en-GB"/>
        </w:rPr>
        <w:t xml:space="preserve">2) </w:t>
      </w:r>
      <w:r w:rsidR="00A65267" w:rsidRPr="00666B27">
        <w:rPr>
          <w:lang w:val="en-GB" w:eastAsia="en-GB"/>
        </w:rPr>
        <w:t xml:space="preserve">to </w:t>
      </w:r>
      <w:r w:rsidRPr="00666B27">
        <w:rPr>
          <w:lang w:val="en-GB" w:eastAsia="en-GB"/>
        </w:rPr>
        <w:t>develop an integrated policy approach and policy framework for a transition to energy efficient lighting, appliances and</w:t>
      </w:r>
      <w:r w:rsidR="00F06810" w:rsidRPr="00666B27">
        <w:rPr>
          <w:lang w:val="en-GB" w:eastAsia="en-GB"/>
        </w:rPr>
        <w:t xml:space="preserve"> </w:t>
      </w:r>
      <w:r w:rsidRPr="00666B27">
        <w:rPr>
          <w:lang w:val="en-GB" w:eastAsia="en-GB"/>
        </w:rPr>
        <w:t>equipment in Southern Africa</w:t>
      </w:r>
      <w:r w:rsidR="00A65267" w:rsidRPr="00666B27">
        <w:rPr>
          <w:lang w:val="en-GB" w:eastAsia="en-GB"/>
        </w:rPr>
        <w:t>.</w:t>
      </w:r>
    </w:p>
    <w:bookmarkEnd w:id="120"/>
    <w:p w:rsidR="00035AA0" w:rsidRPr="00666B27" w:rsidRDefault="00035AA0" w:rsidP="00870F61">
      <w:pPr>
        <w:rPr>
          <w:sz w:val="18"/>
          <w:szCs w:val="18"/>
          <w:lang w:val="en-GB" w:eastAsia="en-GB"/>
        </w:rPr>
      </w:pPr>
    </w:p>
    <w:p w:rsidR="00035AA0" w:rsidRPr="00666B27" w:rsidRDefault="00035AA0" w:rsidP="00035AA0">
      <w:pPr>
        <w:pStyle w:val="Heading2"/>
      </w:pPr>
      <w:bookmarkStart w:id="122" w:name="_Toc497848301"/>
      <w:bookmarkStart w:id="123" w:name="_Toc340762"/>
      <w:r w:rsidRPr="00666B27">
        <w:t>Stakeholder engagement</w:t>
      </w:r>
      <w:bookmarkEnd w:id="122"/>
      <w:bookmarkEnd w:id="123"/>
    </w:p>
    <w:p w:rsidR="00035AA0" w:rsidRPr="00666B27" w:rsidRDefault="00035AA0" w:rsidP="00035AA0">
      <w:pPr>
        <w:spacing w:after="0"/>
        <w:rPr>
          <w:lang w:val="en-GB" w:eastAsia="en-GB"/>
        </w:rPr>
      </w:pPr>
    </w:p>
    <w:p w:rsidR="00035AA0" w:rsidRPr="00666B27" w:rsidRDefault="00035AA0" w:rsidP="00035AA0">
      <w:pPr>
        <w:spacing w:after="0"/>
        <w:rPr>
          <w:lang w:val="en-GB" w:eastAsia="en-GB"/>
        </w:rPr>
      </w:pPr>
      <w:bookmarkStart w:id="124" w:name="_Hlk365123"/>
      <w:r w:rsidRPr="00666B27">
        <w:rPr>
          <w:lang w:val="en-GB" w:eastAsia="en-GB"/>
        </w:rPr>
        <w:t xml:space="preserve">The project team has met with a wide array of stakeholders during project preparation, including representatives of Department of Energy and Eskom; retailers; manufacturers; representatives of city governments; NGOs and representatives from women’s and vulnerable groups </w:t>
      </w:r>
      <w:r w:rsidRPr="00666B27">
        <w:rPr>
          <w:noProof/>
          <w:lang w:val="en-GB" w:eastAsia="en-GB"/>
        </w:rPr>
        <w:t>organisations</w:t>
      </w:r>
      <w:r w:rsidRPr="00666B27">
        <w:rPr>
          <w:lang w:val="en-GB" w:eastAsia="en-GB"/>
        </w:rPr>
        <w:t xml:space="preserve">.  UNDP will continue to engage with these stakeholders throughout the project period.  The Project </w:t>
      </w:r>
      <w:r w:rsidR="00A65267" w:rsidRPr="00666B27">
        <w:rPr>
          <w:lang w:val="en-GB" w:eastAsia="en-GB"/>
        </w:rPr>
        <w:t>Steering Committee (PSC)</w:t>
      </w:r>
      <w:r w:rsidRPr="00666B27">
        <w:rPr>
          <w:lang w:val="en-GB" w:eastAsia="en-GB"/>
        </w:rPr>
        <w:t xml:space="preserve"> will include a diversely representative array of these groups. </w:t>
      </w:r>
    </w:p>
    <w:p w:rsidR="00035AA0" w:rsidRPr="00666B27" w:rsidRDefault="00035AA0" w:rsidP="00035AA0">
      <w:pPr>
        <w:spacing w:after="0"/>
        <w:rPr>
          <w:lang w:val="en-GB" w:eastAsia="en-GB"/>
        </w:rPr>
      </w:pPr>
    </w:p>
    <w:p w:rsidR="00035AA0" w:rsidRPr="00666B27" w:rsidRDefault="00035AA0" w:rsidP="00035AA0">
      <w:pPr>
        <w:rPr>
          <w:lang w:val="en-GB" w:eastAsia="en-GB"/>
        </w:rPr>
      </w:pPr>
      <w:r w:rsidRPr="00666B27">
        <w:rPr>
          <w:lang w:val="en-GB" w:eastAsia="en-GB"/>
        </w:rPr>
        <w:t xml:space="preserve">A detailed Stakeholder Engagement Plan is provided in Annex G.  Starting immediately during the inception period, the project will engage the stakeholders by means of </w:t>
      </w:r>
      <w:r w:rsidRPr="00666B27">
        <w:rPr>
          <w:noProof/>
          <w:lang w:val="en-GB" w:eastAsia="en-GB"/>
        </w:rPr>
        <w:t>organising</w:t>
      </w:r>
      <w:r w:rsidRPr="00666B27">
        <w:rPr>
          <w:lang w:val="en-GB" w:eastAsia="en-GB"/>
        </w:rPr>
        <w:t xml:space="preserve"> an Inception Workshop. During the subsequent project implementation, there is the opportunity to involve stakeholders at the various workshops, seminars</w:t>
      </w:r>
      <w:r w:rsidR="00E236DA"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technical training. The outreach, technical assistance</w:t>
      </w:r>
      <w:r w:rsidR="00E236DA"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w:t>
      </w:r>
      <w:r w:rsidR="00A65267" w:rsidRPr="00666B27">
        <w:rPr>
          <w:lang w:val="en-GB" w:eastAsia="en-GB"/>
        </w:rPr>
        <w:t xml:space="preserve">the EEFI </w:t>
      </w:r>
      <w:r w:rsidR="00F53799">
        <w:rPr>
          <w:lang w:val="en-GB" w:eastAsia="en-GB"/>
        </w:rPr>
        <w:t>finance</w:t>
      </w:r>
      <w:r w:rsidRPr="00666B27">
        <w:rPr>
          <w:lang w:val="en-GB" w:eastAsia="en-GB"/>
        </w:rPr>
        <w:t xml:space="preserve"> programmes will be designed in direct recognition of input received from these stakeholders.</w:t>
      </w:r>
    </w:p>
    <w:bookmarkEnd w:id="124"/>
    <w:p w:rsidR="00035AA0" w:rsidRPr="00666B27" w:rsidRDefault="00035AA0" w:rsidP="00035AA0">
      <w:pPr>
        <w:spacing w:after="0"/>
        <w:rPr>
          <w:lang w:val="en-GB" w:eastAsia="en-GB"/>
        </w:rPr>
      </w:pPr>
    </w:p>
    <w:p w:rsidR="00035AA0" w:rsidRPr="0057545E" w:rsidRDefault="00D521DF" w:rsidP="00035AA0">
      <w:pPr>
        <w:spacing w:after="0"/>
        <w:rPr>
          <w:lang w:val="en-GB" w:eastAsia="en-GB"/>
        </w:rPr>
      </w:pPr>
      <w:bookmarkStart w:id="125" w:name="_Toc179834"/>
      <w:r w:rsidRPr="00666B27">
        <w:rPr>
          <w:rFonts w:ascii="Arial" w:hAnsi="Arial" w:cs="Arial"/>
          <w:b/>
          <w:color w:val="2E74B5"/>
          <w:sz w:val="18"/>
          <w:lang w:val="en-GB"/>
        </w:rPr>
        <w:t xml:space="preserve">Box </w:t>
      </w:r>
      <w:r w:rsidRPr="0057545E">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57545E">
        <w:rPr>
          <w:rFonts w:ascii="Arial" w:hAnsi="Arial" w:cs="Arial"/>
          <w:b/>
          <w:color w:val="2E74B5"/>
          <w:sz w:val="18"/>
          <w:lang w:val="en-GB"/>
        </w:rPr>
        <w:fldChar w:fldCharType="separate"/>
      </w:r>
      <w:r w:rsidRPr="0057545E">
        <w:rPr>
          <w:rFonts w:ascii="Arial" w:hAnsi="Arial" w:cs="Arial"/>
          <w:b/>
          <w:noProof/>
          <w:color w:val="2E74B5"/>
          <w:sz w:val="18"/>
          <w:lang w:val="en-GB"/>
        </w:rPr>
        <w:t>10</w:t>
      </w:r>
      <w:r w:rsidRPr="0057545E">
        <w:rPr>
          <w:rFonts w:ascii="Arial" w:hAnsi="Arial" w:cs="Arial"/>
          <w:b/>
          <w:color w:val="2E74B5"/>
          <w:sz w:val="18"/>
          <w:lang w:val="en-GB"/>
        </w:rPr>
        <w:fldChar w:fldCharType="end"/>
      </w:r>
      <w:r w:rsidRPr="0057545E">
        <w:rPr>
          <w:rFonts w:ascii="Arial" w:hAnsi="Arial" w:cs="Arial"/>
          <w:b/>
          <w:color w:val="2E74B5"/>
          <w:sz w:val="18"/>
          <w:lang w:val="en-GB"/>
        </w:rPr>
        <w:tab/>
        <w:t>Role of stakeholders in the Project</w:t>
      </w:r>
      <w:bookmarkEnd w:id="125"/>
    </w:p>
    <w:p w:rsidR="005A4077" w:rsidRPr="00353542" w:rsidRDefault="005A4077" w:rsidP="00035AA0">
      <w:pPr>
        <w:spacing w:after="0"/>
        <w:rPr>
          <w:lang w:val="en-GB" w:eastAsia="en-GB"/>
        </w:rPr>
      </w:pPr>
    </w:p>
    <w:tbl>
      <w:tblPr>
        <w:tblW w:w="0" w:type="auto"/>
        <w:tblInd w:w="-5" w:type="dxa"/>
        <w:tblLook w:val="04A0" w:firstRow="1" w:lastRow="0" w:firstColumn="1" w:lastColumn="0" w:noHBand="0" w:noVBand="1"/>
      </w:tblPr>
      <w:tblGrid>
        <w:gridCol w:w="2416"/>
        <w:gridCol w:w="7507"/>
      </w:tblGrid>
      <w:tr w:rsidR="00035AA0" w:rsidRPr="0057545E" w:rsidTr="00035AA0">
        <w:trPr>
          <w:cantSplit/>
          <w:tblHeader/>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3B7D62" w:rsidRDefault="00035AA0" w:rsidP="008E1A75">
            <w:pPr>
              <w:spacing w:before="120" w:after="120"/>
              <w:jc w:val="left"/>
              <w:rPr>
                <w:rFonts w:cs="Calibri"/>
                <w:b/>
                <w:szCs w:val="20"/>
                <w:lang w:val="en-GB"/>
              </w:rPr>
            </w:pPr>
            <w:bookmarkStart w:id="126" w:name="_Hlk536814962"/>
            <w:r w:rsidRPr="003B7D62">
              <w:rPr>
                <w:rFonts w:cs="Calibri"/>
                <w:b/>
                <w:szCs w:val="20"/>
                <w:lang w:val="en-GB"/>
              </w:rPr>
              <w:t>Stakeholder</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4722F0" w:rsidRDefault="00035AA0" w:rsidP="008E1A75">
            <w:pPr>
              <w:spacing w:before="120" w:after="120"/>
              <w:jc w:val="left"/>
              <w:rPr>
                <w:rFonts w:cs="Calibri"/>
                <w:b/>
                <w:szCs w:val="20"/>
                <w:lang w:val="en-GB"/>
              </w:rPr>
            </w:pPr>
            <w:r w:rsidRPr="004722F0">
              <w:rPr>
                <w:rFonts w:cs="Calibri"/>
                <w:b/>
                <w:szCs w:val="20"/>
                <w:lang w:val="en-GB"/>
              </w:rPr>
              <w:t>Role</w:t>
            </w:r>
          </w:p>
        </w:tc>
      </w:tr>
      <w:tr w:rsidR="00035AA0"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353542" w:rsidRDefault="00035AA0" w:rsidP="008E1A75">
            <w:pPr>
              <w:spacing w:after="0"/>
              <w:jc w:val="left"/>
              <w:rPr>
                <w:rFonts w:cs="Calibri"/>
                <w:szCs w:val="20"/>
                <w:lang w:val="en-GB"/>
              </w:rPr>
            </w:pPr>
            <w:r w:rsidRPr="0057545E">
              <w:rPr>
                <w:rFonts w:cs="Calibri"/>
                <w:szCs w:val="20"/>
                <w:lang w:val="en-GB"/>
              </w:rPr>
              <w:t xml:space="preserve">Government and national </w:t>
            </w:r>
            <w:r w:rsidR="00870F61" w:rsidRPr="00353542">
              <w:rPr>
                <w:rFonts w:cs="Calibri"/>
                <w:szCs w:val="20"/>
                <w:lang w:val="en-GB"/>
              </w:rPr>
              <w:t>agencies; Eskom</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666B27" w:rsidRDefault="00035AA0" w:rsidP="008E1A75">
            <w:pPr>
              <w:spacing w:after="0"/>
              <w:jc w:val="left"/>
              <w:rPr>
                <w:rFonts w:cs="Calibri"/>
                <w:szCs w:val="20"/>
                <w:lang w:val="en-GB"/>
              </w:rPr>
            </w:pPr>
            <w:r w:rsidRPr="003B7D62">
              <w:rPr>
                <w:rFonts w:cs="Calibri"/>
                <w:szCs w:val="20"/>
                <w:lang w:val="en-GB"/>
              </w:rPr>
              <w:t xml:space="preserve">Policymakers, officials and technical staff within government ministries will play a crucial role in the implementation of the proposed program. </w:t>
            </w:r>
            <w:r w:rsidR="00870F61" w:rsidRPr="004722F0">
              <w:rPr>
                <w:rFonts w:cs="Calibri"/>
                <w:szCs w:val="20"/>
                <w:lang w:val="en-GB"/>
              </w:rPr>
              <w:t>These are listed as project partners in Section 4.2. Each project partner is also considered an important stake</w:t>
            </w:r>
            <w:r w:rsidR="00870F61" w:rsidRPr="005431FB">
              <w:rPr>
                <w:rFonts w:cs="Calibri"/>
                <w:szCs w:val="20"/>
                <w:lang w:val="en-GB"/>
              </w:rPr>
              <w:t>holder of the project but is not d</w:t>
            </w:r>
            <w:r w:rsidR="00870F61" w:rsidRPr="00666B27">
              <w:rPr>
                <w:rFonts w:cs="Calibri"/>
                <w:szCs w:val="20"/>
                <w:lang w:val="en-GB"/>
              </w:rPr>
              <w:t>iscussed in detail again here to avoid repetition</w:t>
            </w:r>
            <w:r w:rsidRPr="00666B27">
              <w:rPr>
                <w:rFonts w:cs="Calibri"/>
                <w:szCs w:val="20"/>
                <w:lang w:val="en-GB"/>
              </w:rPr>
              <w:t>.</w:t>
            </w:r>
          </w:p>
        </w:tc>
      </w:tr>
      <w:tr w:rsidR="00035AA0"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57545E" w:rsidRDefault="00870F61" w:rsidP="008E1A75">
            <w:pPr>
              <w:spacing w:after="0"/>
              <w:jc w:val="left"/>
              <w:rPr>
                <w:rFonts w:cs="Calibri"/>
                <w:szCs w:val="20"/>
                <w:lang w:val="en-GB"/>
              </w:rPr>
            </w:pPr>
            <w:bookmarkStart w:id="127" w:name="_Hlk365177"/>
            <w:r w:rsidRPr="0057545E">
              <w:rPr>
                <w:rFonts w:cs="Calibri"/>
                <w:szCs w:val="20"/>
                <w:lang w:val="en-GB"/>
              </w:rPr>
              <w:lastRenderedPageBreak/>
              <w:t>Municipalities and local government associations</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666B27" w:rsidRDefault="00035AA0" w:rsidP="008E1A75">
            <w:pPr>
              <w:spacing w:after="0"/>
              <w:jc w:val="left"/>
              <w:rPr>
                <w:rFonts w:cs="Calibri"/>
                <w:szCs w:val="20"/>
                <w:lang w:val="en-GB"/>
              </w:rPr>
            </w:pPr>
            <w:r w:rsidRPr="00353542">
              <w:rPr>
                <w:rFonts w:cs="Calibri"/>
                <w:szCs w:val="20"/>
                <w:lang w:val="en-GB"/>
              </w:rPr>
              <w:t xml:space="preserve">Electrical utilities and energy service providers have an incentive to encourage efficiency to lower </w:t>
            </w:r>
            <w:r w:rsidR="00870F61" w:rsidRPr="00353542">
              <w:rPr>
                <w:rFonts w:cs="Calibri"/>
                <w:szCs w:val="20"/>
                <w:lang w:val="en-GB"/>
              </w:rPr>
              <w:t>their operating cost</w:t>
            </w:r>
            <w:r w:rsidRPr="00353542">
              <w:rPr>
                <w:rFonts w:cs="Calibri"/>
                <w:szCs w:val="20"/>
                <w:lang w:val="en-GB"/>
              </w:rPr>
              <w:t xml:space="preserve">. </w:t>
            </w:r>
            <w:r w:rsidR="00870F61" w:rsidRPr="003B7D62">
              <w:rPr>
                <w:rFonts w:cs="Calibri"/>
                <w:szCs w:val="20"/>
                <w:lang w:val="en-GB"/>
              </w:rPr>
              <w:t>Municipalities play an important role in designing municipal green and sustainable energy plans and propose investment projects on pu</w:t>
            </w:r>
            <w:r w:rsidR="00870F61" w:rsidRPr="004722F0">
              <w:rPr>
                <w:rFonts w:cs="Calibri"/>
                <w:szCs w:val="20"/>
                <w:lang w:val="en-GB"/>
              </w:rPr>
              <w:t>blic buildings (incl. lighting) and infrastructure (incl. street lighting, distribution networks), and play an important role in awareness creation for the</w:t>
            </w:r>
            <w:r w:rsidR="00870F61" w:rsidRPr="005431FB">
              <w:rPr>
                <w:rFonts w:cs="Calibri"/>
                <w:szCs w:val="20"/>
                <w:lang w:val="en-GB"/>
              </w:rPr>
              <w:t>ir citizenry on sustainable practices (incl. proper waste disposal and efficient ligh</w:t>
            </w:r>
            <w:r w:rsidR="00870F61" w:rsidRPr="00666B27">
              <w:rPr>
                <w:rFonts w:cs="Calibri"/>
                <w:szCs w:val="20"/>
                <w:lang w:val="en-GB"/>
              </w:rPr>
              <w:t>ting.</w:t>
            </w:r>
            <w:r w:rsidR="00465177" w:rsidRPr="00666B27">
              <w:rPr>
                <w:rFonts w:cs="Calibri"/>
                <w:szCs w:val="20"/>
                <w:lang w:val="en-GB"/>
              </w:rPr>
              <w:t xml:space="preserve"> The Project will work closely with and municipal </w:t>
            </w:r>
            <w:r w:rsidR="00465177" w:rsidRPr="00666B27">
              <w:rPr>
                <w:rFonts w:cs="Calibri"/>
                <w:noProof/>
                <w:szCs w:val="20"/>
                <w:lang w:val="en-GB"/>
              </w:rPr>
              <w:t>organisations</w:t>
            </w:r>
            <w:r w:rsidR="00465177" w:rsidRPr="00666B27">
              <w:rPr>
                <w:rFonts w:cs="Calibri"/>
                <w:szCs w:val="20"/>
                <w:lang w:val="en-GB"/>
              </w:rPr>
              <w:t xml:space="preserve">, such as </w:t>
            </w:r>
            <w:r w:rsidR="00E236DA" w:rsidRPr="00666B27">
              <w:rPr>
                <w:rFonts w:cs="Calibri"/>
                <w:noProof/>
                <w:szCs w:val="20"/>
                <w:lang w:val="en-GB"/>
              </w:rPr>
              <w:t xml:space="preserve">the </w:t>
            </w:r>
            <w:r w:rsidR="00465177" w:rsidRPr="00666B27">
              <w:rPr>
                <w:rFonts w:cs="Calibri"/>
                <w:noProof/>
                <w:szCs w:val="20"/>
                <w:lang w:val="en-GB"/>
              </w:rPr>
              <w:t>South</w:t>
            </w:r>
            <w:r w:rsidR="00465177" w:rsidRPr="00666B27">
              <w:rPr>
                <w:rFonts w:cs="Calibri"/>
                <w:szCs w:val="20"/>
                <w:lang w:val="en-GB"/>
              </w:rPr>
              <w:t xml:space="preserve"> African Local Government Association (SALGA) and the Association of Municipal Electrical Utilities (AMEU).</w:t>
            </w:r>
          </w:p>
        </w:tc>
      </w:tr>
      <w:tr w:rsidR="00035AA0"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57545E" w:rsidRDefault="00035AA0" w:rsidP="008E1A75">
            <w:pPr>
              <w:spacing w:after="0"/>
              <w:jc w:val="left"/>
              <w:rPr>
                <w:rFonts w:cs="Calibri"/>
                <w:szCs w:val="20"/>
                <w:lang w:val="en-GB"/>
              </w:rPr>
            </w:pPr>
            <w:r w:rsidRPr="0057545E">
              <w:rPr>
                <w:rFonts w:cs="Calibri"/>
                <w:szCs w:val="20"/>
                <w:lang w:val="en-GB"/>
              </w:rPr>
              <w:t>Testing laboratories and technical institutions</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3B7D62" w:rsidRDefault="00035AA0" w:rsidP="008E1A75">
            <w:pPr>
              <w:spacing w:after="0"/>
              <w:jc w:val="left"/>
              <w:rPr>
                <w:rFonts w:cs="Calibri"/>
                <w:szCs w:val="20"/>
                <w:lang w:val="en-GB"/>
              </w:rPr>
            </w:pPr>
            <w:r w:rsidRPr="00353542">
              <w:rPr>
                <w:rFonts w:cs="Calibri"/>
                <w:szCs w:val="20"/>
                <w:lang w:val="en-GB"/>
              </w:rPr>
              <w:t>Test procedures are an important technical foundation for MEPS. Testing laboratories will take part in the process of developing standards and quality control measures.</w:t>
            </w:r>
          </w:p>
        </w:tc>
      </w:tr>
      <w:tr w:rsidR="00035AA0"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57545E" w:rsidRDefault="00035AA0" w:rsidP="008E1A75">
            <w:pPr>
              <w:spacing w:after="0"/>
              <w:jc w:val="left"/>
              <w:rPr>
                <w:rFonts w:cs="Calibri"/>
                <w:szCs w:val="20"/>
                <w:lang w:val="en-GB"/>
              </w:rPr>
            </w:pPr>
            <w:r w:rsidRPr="0057545E">
              <w:rPr>
                <w:rFonts w:cs="Calibri"/>
                <w:szCs w:val="20"/>
                <w:lang w:val="en-GB"/>
              </w:rPr>
              <w:t>Environmental advocates and consumer groups</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666B27" w:rsidRDefault="00035AA0" w:rsidP="008E1A75">
            <w:pPr>
              <w:spacing w:after="0"/>
              <w:jc w:val="left"/>
              <w:rPr>
                <w:rFonts w:cs="Calibri"/>
                <w:szCs w:val="20"/>
                <w:lang w:val="en-GB"/>
              </w:rPr>
            </w:pPr>
            <w:bookmarkStart w:id="128" w:name="_Hlk1630742"/>
            <w:r w:rsidRPr="00353542">
              <w:rPr>
                <w:rFonts w:cs="Calibri"/>
                <w:szCs w:val="20"/>
                <w:lang w:val="en-GB"/>
              </w:rPr>
              <w:t>Non-governmental organizations that advocate responsible energy policies will contribute their perspectives during the development of the national strategy for energy-efficient products. They will provide a balancing perspect</w:t>
            </w:r>
            <w:r w:rsidRPr="003B7D62">
              <w:rPr>
                <w:rFonts w:cs="Calibri"/>
                <w:szCs w:val="20"/>
                <w:lang w:val="en-GB"/>
              </w:rPr>
              <w:t xml:space="preserve">ive to manufacturers </w:t>
            </w:r>
            <w:proofErr w:type="gramStart"/>
            <w:r w:rsidRPr="003B7D62">
              <w:rPr>
                <w:rFonts w:cs="Calibri"/>
                <w:szCs w:val="20"/>
                <w:lang w:val="en-GB"/>
              </w:rPr>
              <w:t>with regard to</w:t>
            </w:r>
            <w:proofErr w:type="gramEnd"/>
            <w:r w:rsidRPr="003B7D62">
              <w:rPr>
                <w:rFonts w:cs="Calibri"/>
                <w:szCs w:val="20"/>
                <w:lang w:val="en-GB"/>
              </w:rPr>
              <w:t xml:space="preserve"> the stringency of MEPS and MVE schemes. Input from civil society consumer groups can ensure that regulations do not require overly expensive or less functional </w:t>
            </w:r>
            <w:r w:rsidRPr="004722F0">
              <w:rPr>
                <w:rFonts w:cs="Calibri"/>
                <w:noProof/>
                <w:szCs w:val="20"/>
                <w:lang w:val="en-GB"/>
              </w:rPr>
              <w:t>lighting</w:t>
            </w:r>
            <w:r w:rsidRPr="005431FB">
              <w:rPr>
                <w:rFonts w:cs="Calibri"/>
                <w:szCs w:val="20"/>
                <w:lang w:val="en-GB"/>
              </w:rPr>
              <w:t xml:space="preserve"> and equipment</w:t>
            </w:r>
            <w:r w:rsidR="00870F61" w:rsidRPr="00666B27">
              <w:rPr>
                <w:rFonts w:cs="Calibri"/>
                <w:szCs w:val="20"/>
                <w:lang w:val="en-GB"/>
              </w:rPr>
              <w:t xml:space="preserve">. </w:t>
            </w:r>
            <w:r w:rsidRPr="00666B27">
              <w:rPr>
                <w:rFonts w:cs="Calibri"/>
                <w:szCs w:val="20"/>
                <w:lang w:val="en-GB"/>
              </w:rPr>
              <w:t>T</w:t>
            </w:r>
            <w:r w:rsidR="00870F61" w:rsidRPr="00666B27">
              <w:rPr>
                <w:rFonts w:cs="Calibri"/>
                <w:szCs w:val="20"/>
                <w:lang w:val="en-GB"/>
              </w:rPr>
              <w:t xml:space="preserve">his </w:t>
            </w:r>
            <w:r w:rsidR="00870F61" w:rsidRPr="00666B27">
              <w:rPr>
                <w:rFonts w:cs="Calibri"/>
                <w:noProof/>
                <w:szCs w:val="20"/>
                <w:lang w:val="en-GB"/>
              </w:rPr>
              <w:t>include</w:t>
            </w:r>
            <w:r w:rsidR="00E236DA" w:rsidRPr="00666B27">
              <w:rPr>
                <w:rFonts w:cs="Calibri"/>
                <w:noProof/>
                <w:szCs w:val="20"/>
                <w:lang w:val="en-GB"/>
              </w:rPr>
              <w:t>s</w:t>
            </w:r>
            <w:r w:rsidR="00870F61" w:rsidRPr="00666B27">
              <w:rPr>
                <w:rFonts w:cs="Calibri"/>
                <w:szCs w:val="20"/>
                <w:lang w:val="en-GB"/>
              </w:rPr>
              <w:t xml:space="preserve"> the role of women groups and </w:t>
            </w:r>
            <w:r w:rsidR="00870F61" w:rsidRPr="00666B27">
              <w:rPr>
                <w:rFonts w:cs="Calibri"/>
                <w:noProof/>
                <w:szCs w:val="20"/>
                <w:lang w:val="en-GB"/>
              </w:rPr>
              <w:t>organisations</w:t>
            </w:r>
            <w:bookmarkEnd w:id="128"/>
            <w:r w:rsidR="00870F61" w:rsidRPr="00666B27">
              <w:rPr>
                <w:rFonts w:cs="Calibri"/>
                <w:szCs w:val="20"/>
                <w:lang w:val="en-GB"/>
              </w:rPr>
              <w:t xml:space="preserve"> (see </w:t>
            </w:r>
            <w:r w:rsidR="00A65267" w:rsidRPr="00666B27">
              <w:rPr>
                <w:rFonts w:cs="Calibri"/>
                <w:szCs w:val="20"/>
                <w:lang w:val="en-GB"/>
              </w:rPr>
              <w:t xml:space="preserve">next </w:t>
            </w:r>
            <w:r w:rsidR="00870F61" w:rsidRPr="00666B27">
              <w:rPr>
                <w:rFonts w:cs="Calibri"/>
                <w:szCs w:val="20"/>
                <w:lang w:val="en-GB"/>
              </w:rPr>
              <w:t>Section 4.6)</w:t>
            </w:r>
          </w:p>
        </w:tc>
      </w:tr>
      <w:tr w:rsidR="00035AA0"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035AA0" w:rsidRPr="00353542" w:rsidRDefault="00035AA0" w:rsidP="008E1A75">
            <w:pPr>
              <w:spacing w:after="0"/>
              <w:jc w:val="left"/>
              <w:rPr>
                <w:rFonts w:cs="Calibri"/>
                <w:szCs w:val="20"/>
                <w:lang w:val="en-GB"/>
              </w:rPr>
            </w:pPr>
            <w:r w:rsidRPr="0057545E">
              <w:rPr>
                <w:rFonts w:cs="Calibri"/>
                <w:szCs w:val="20"/>
                <w:lang w:val="en-GB"/>
              </w:rPr>
              <w:t xml:space="preserve">Manufacturers, importers, distributors </w:t>
            </w:r>
            <w:r w:rsidRPr="0057545E">
              <w:rPr>
                <w:rFonts w:cs="Calibri"/>
                <w:noProof/>
                <w:szCs w:val="20"/>
                <w:lang w:val="en-GB"/>
              </w:rPr>
              <w:t>and</w:t>
            </w:r>
            <w:r w:rsidRPr="00514DE8">
              <w:rPr>
                <w:rFonts w:cs="Calibri"/>
                <w:szCs w:val="20"/>
                <w:lang w:val="en-GB"/>
              </w:rPr>
              <w:t xml:space="preserve"> retailers of lighting products, appliances and equipment</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035AA0" w:rsidRPr="00666B27" w:rsidRDefault="00035AA0" w:rsidP="00870F61">
            <w:pPr>
              <w:spacing w:after="0"/>
              <w:jc w:val="left"/>
              <w:rPr>
                <w:rFonts w:cs="Calibri"/>
                <w:szCs w:val="20"/>
                <w:lang w:val="en-GB"/>
              </w:rPr>
            </w:pPr>
            <w:r w:rsidRPr="003B7D62">
              <w:rPr>
                <w:rFonts w:cs="Calibri"/>
                <w:szCs w:val="20"/>
                <w:lang w:val="en-GB"/>
              </w:rPr>
              <w:t>Manufacturers, importers, distributors</w:t>
            </w:r>
            <w:r w:rsidR="00E236DA" w:rsidRPr="003B7D62">
              <w:rPr>
                <w:rFonts w:cs="Calibri"/>
                <w:szCs w:val="20"/>
                <w:lang w:val="en-GB"/>
              </w:rPr>
              <w:t>,</w:t>
            </w:r>
            <w:r w:rsidRPr="003B7D62">
              <w:rPr>
                <w:rFonts w:cs="Calibri"/>
                <w:szCs w:val="20"/>
                <w:lang w:val="en-GB"/>
              </w:rPr>
              <w:t xml:space="preserve"> </w:t>
            </w:r>
            <w:r w:rsidRPr="004722F0">
              <w:rPr>
                <w:rFonts w:cs="Calibri"/>
                <w:noProof/>
                <w:szCs w:val="20"/>
                <w:lang w:val="en-GB"/>
              </w:rPr>
              <w:t>and</w:t>
            </w:r>
            <w:r w:rsidRPr="005431FB">
              <w:rPr>
                <w:rFonts w:cs="Calibri"/>
                <w:szCs w:val="20"/>
                <w:lang w:val="en-GB"/>
              </w:rPr>
              <w:t xml:space="preserve"> retailers are directly affected by energy efficiency regulations. T</w:t>
            </w:r>
            <w:r w:rsidRPr="00666B27">
              <w:rPr>
                <w:rFonts w:cs="Calibri"/>
                <w:szCs w:val="20"/>
                <w:lang w:val="en-GB"/>
              </w:rPr>
              <w:t xml:space="preserve">hey have valuable information about production costs and market structures. MEPS necessarily impose some burdens on manufacturers and importers, but these can be acceptable </w:t>
            </w:r>
            <w:proofErr w:type="gramStart"/>
            <w:r w:rsidRPr="00666B27">
              <w:rPr>
                <w:rFonts w:cs="Calibri"/>
                <w:szCs w:val="20"/>
                <w:lang w:val="en-GB"/>
              </w:rPr>
              <w:t>as long as</w:t>
            </w:r>
            <w:proofErr w:type="gramEnd"/>
            <w:r w:rsidRPr="00666B27">
              <w:rPr>
                <w:rFonts w:cs="Calibri"/>
                <w:szCs w:val="20"/>
                <w:lang w:val="en-GB"/>
              </w:rPr>
              <w:t xml:space="preserve"> they affect all companies equally and also introduce new business opportunities. Domestic and international firms will provide their input. Equipment retailers will comment on the proposed program and its future implementation by characterizing the market and consumer response to product efficiency and pricing</w:t>
            </w:r>
            <w:r w:rsidR="00A65267" w:rsidRPr="00666B27">
              <w:rPr>
                <w:rFonts w:cs="Calibri"/>
                <w:szCs w:val="20"/>
                <w:lang w:val="en-GB"/>
              </w:rPr>
              <w:t xml:space="preserve">, and by actively participating in and supporting energy efficiency awareness campaigning. </w:t>
            </w:r>
            <w:r w:rsidR="00870F61" w:rsidRPr="00666B27">
              <w:rPr>
                <w:rFonts w:cs="Calibri"/>
                <w:szCs w:val="20"/>
                <w:lang w:val="en-GB"/>
              </w:rPr>
              <w:t xml:space="preserve"> </w:t>
            </w:r>
            <w:r w:rsidRPr="00666B27">
              <w:rPr>
                <w:rFonts w:cs="Calibri"/>
                <w:szCs w:val="20"/>
                <w:lang w:val="en-GB"/>
              </w:rPr>
              <w:t xml:space="preserve">In order to ensure industry readiness of local industry, the program offers support to local manufacturers and assembly companies </w:t>
            </w:r>
            <w:r w:rsidR="00E236DA" w:rsidRPr="00666B27">
              <w:rPr>
                <w:rFonts w:cs="Calibri"/>
                <w:szCs w:val="20"/>
                <w:lang w:val="en-GB"/>
              </w:rPr>
              <w:t xml:space="preserve">to </w:t>
            </w:r>
            <w:r w:rsidRPr="00666B27">
              <w:rPr>
                <w:rFonts w:cs="Calibri"/>
                <w:szCs w:val="20"/>
                <w:lang w:val="en-GB"/>
              </w:rPr>
              <w:t>produce high energy-efficient products in a sustainable manner.</w:t>
            </w:r>
          </w:p>
        </w:tc>
      </w:tr>
      <w:tr w:rsidR="00E9386C" w:rsidRPr="0057545E" w:rsidTr="00035AA0">
        <w:trPr>
          <w:cantSplit/>
        </w:trPr>
        <w:tc>
          <w:tcPr>
            <w:tcW w:w="2416" w:type="dxa"/>
            <w:tcBorders>
              <w:top w:val="single" w:sz="4" w:space="0" w:color="auto"/>
              <w:left w:val="single" w:sz="4" w:space="0" w:color="auto"/>
              <w:bottom w:val="single" w:sz="4" w:space="0" w:color="auto"/>
              <w:right w:val="single" w:sz="4" w:space="0" w:color="auto"/>
            </w:tcBorders>
            <w:shd w:val="clear" w:color="auto" w:fill="auto"/>
          </w:tcPr>
          <w:p w:rsidR="00E9386C" w:rsidRPr="00F378FF" w:rsidRDefault="00E9386C" w:rsidP="008E1A75">
            <w:pPr>
              <w:spacing w:after="0"/>
              <w:jc w:val="left"/>
              <w:rPr>
                <w:rFonts w:cs="Calibri"/>
                <w:szCs w:val="20"/>
                <w:lang w:val="en-GB"/>
              </w:rPr>
            </w:pPr>
            <w:r w:rsidRPr="00F378FF">
              <w:rPr>
                <w:rFonts w:cs="Calibri"/>
                <w:szCs w:val="20"/>
                <w:lang w:val="en-GB"/>
              </w:rPr>
              <w:t>UNEP – United for Efficiency (U4E)</w:t>
            </w:r>
          </w:p>
        </w:tc>
        <w:tc>
          <w:tcPr>
            <w:tcW w:w="7507" w:type="dxa"/>
            <w:tcBorders>
              <w:top w:val="single" w:sz="4" w:space="0" w:color="auto"/>
              <w:left w:val="single" w:sz="4" w:space="0" w:color="auto"/>
              <w:bottom w:val="single" w:sz="4" w:space="0" w:color="auto"/>
              <w:right w:val="single" w:sz="4" w:space="0" w:color="auto"/>
            </w:tcBorders>
            <w:shd w:val="clear" w:color="auto" w:fill="auto"/>
          </w:tcPr>
          <w:p w:rsidR="00E9386C" w:rsidRPr="00F378FF" w:rsidRDefault="00E9386C" w:rsidP="00E9386C">
            <w:pPr>
              <w:spacing w:after="0"/>
              <w:jc w:val="left"/>
              <w:rPr>
                <w:rFonts w:cs="Calibri"/>
                <w:szCs w:val="20"/>
                <w:lang w:val="en-GB"/>
              </w:rPr>
            </w:pPr>
            <w:r w:rsidRPr="00F378FF">
              <w:rPr>
                <w:rFonts w:cs="Calibri"/>
                <w:szCs w:val="20"/>
                <w:lang w:val="en-GB"/>
              </w:rPr>
              <w:t xml:space="preserve">UN Environment U4E will part of the PSC </w:t>
            </w:r>
            <w:proofErr w:type="gramStart"/>
            <w:r w:rsidRPr="00F378FF">
              <w:rPr>
                <w:rFonts w:cs="Calibri"/>
                <w:szCs w:val="20"/>
                <w:lang w:val="en-GB"/>
              </w:rPr>
              <w:t>and also</w:t>
            </w:r>
            <w:proofErr w:type="gramEnd"/>
            <w:r w:rsidRPr="00F378FF">
              <w:rPr>
                <w:rFonts w:cs="Calibri"/>
                <w:szCs w:val="20"/>
                <w:lang w:val="en-GB"/>
              </w:rPr>
              <w:t xml:space="preserve"> the Working Groups (Lighting, Distribution Transformers and Finance). This will assist in allowing exchange in both directions between the South Africa child project and the UN Environment global project (U4E).   </w:t>
            </w:r>
          </w:p>
          <w:p w:rsidR="00E9386C" w:rsidRPr="00F378FF" w:rsidRDefault="00E9386C" w:rsidP="00E9386C">
            <w:pPr>
              <w:spacing w:after="0"/>
              <w:jc w:val="left"/>
              <w:rPr>
                <w:rFonts w:cs="Calibri"/>
                <w:szCs w:val="20"/>
                <w:lang w:val="en-GB"/>
              </w:rPr>
            </w:pPr>
          </w:p>
          <w:p w:rsidR="00E9386C" w:rsidRPr="00F378FF" w:rsidRDefault="00E9386C" w:rsidP="00E9386C">
            <w:pPr>
              <w:spacing w:after="0"/>
              <w:jc w:val="left"/>
              <w:rPr>
                <w:rFonts w:cs="Calibri"/>
                <w:szCs w:val="20"/>
                <w:lang w:val="en-GB"/>
              </w:rPr>
            </w:pPr>
            <w:r w:rsidRPr="00F378FF">
              <w:rPr>
                <w:rFonts w:cs="Calibri"/>
                <w:szCs w:val="20"/>
                <w:lang w:val="en-GB"/>
              </w:rPr>
              <w:t>Reporting to GEF will be shared with U4E to keep the global project informed on progress on the national activities, sharing experiences (from South Africa to other countries and vice versa) and providing technical guidance. In addition, the Global Project (U4E) will convene regular conference calls with the South Africa Project Management Unit to assist in this process as well.</w:t>
            </w:r>
          </w:p>
        </w:tc>
      </w:tr>
      <w:bookmarkEnd w:id="126"/>
      <w:bookmarkEnd w:id="127"/>
    </w:tbl>
    <w:p w:rsidR="00035AA0" w:rsidRPr="0057545E" w:rsidRDefault="00035AA0" w:rsidP="00035AA0">
      <w:pPr>
        <w:spacing w:after="0"/>
        <w:rPr>
          <w:lang w:val="en-GB" w:eastAsia="en-GB"/>
        </w:rPr>
      </w:pPr>
    </w:p>
    <w:p w:rsidR="00870F61" w:rsidRPr="00353542" w:rsidRDefault="00870F61" w:rsidP="00870F61">
      <w:pPr>
        <w:spacing w:after="0"/>
        <w:rPr>
          <w:lang w:val="en-GB" w:eastAsia="en-GB"/>
        </w:rPr>
      </w:pPr>
    </w:p>
    <w:p w:rsidR="00AA588B" w:rsidRPr="003B7D62" w:rsidRDefault="00F370B1" w:rsidP="00F370B1">
      <w:pPr>
        <w:pStyle w:val="Heading2"/>
      </w:pPr>
      <w:bookmarkStart w:id="129" w:name="_Toc497848303"/>
      <w:bookmarkStart w:id="130" w:name="_Toc340763"/>
      <w:r w:rsidRPr="003B7D62">
        <w:t>Mainstreaming gender</w:t>
      </w:r>
      <w:bookmarkEnd w:id="129"/>
      <w:bookmarkEnd w:id="130"/>
    </w:p>
    <w:p w:rsidR="00AA588B" w:rsidRPr="004722F0" w:rsidRDefault="00AA588B" w:rsidP="00F370B1">
      <w:pPr>
        <w:spacing w:after="0"/>
        <w:rPr>
          <w:lang w:val="en-GB" w:eastAsia="en-GB"/>
        </w:rPr>
      </w:pPr>
    </w:p>
    <w:p w:rsidR="00094C1A" w:rsidRPr="00094C1A" w:rsidRDefault="00094C1A" w:rsidP="00094C1A">
      <w:pPr>
        <w:spacing w:after="0"/>
        <w:rPr>
          <w:szCs w:val="20"/>
          <w:lang w:val="en-GB"/>
        </w:rPr>
      </w:pPr>
      <w:bookmarkStart w:id="131" w:name="_Hlk366013"/>
      <w:r w:rsidRPr="00094C1A">
        <w:rPr>
          <w:szCs w:val="20"/>
          <w:lang w:val="en-GB"/>
        </w:rPr>
        <w:t>A detailed Gender Analysis and Gender Action Plan is included in Annex D. This Section highlights the main elements of the gender action plan, outlining what the project will do to mainstream gender in individual components/outcomes.</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 xml:space="preserve">South Africa is committed to realizing the goal of gender equity by 2063 with a full and inclusive participation by both women and men.  To ensure this, the country has embarked on several initiatives and interventions. A few among these is the country’s adoption of a minimum political gender quota of 50% and already, women constitute 42% of parliamentarians; a </w:t>
      </w:r>
      <w:r w:rsidRPr="00094C1A">
        <w:rPr>
          <w:szCs w:val="20"/>
          <w:lang w:val="en-GB"/>
        </w:rPr>
        <w:lastRenderedPageBreak/>
        <w:t xml:space="preserve">strong and highly intricate gender related machinery to ensure that the issue of gender equality is adequately addressed.  </w:t>
      </w:r>
      <w:r w:rsidR="00BB1E93">
        <w:rPr>
          <w:szCs w:val="20"/>
          <w:lang w:val="en-GB"/>
        </w:rPr>
        <w:t>I</w:t>
      </w:r>
      <w:r w:rsidRPr="00094C1A">
        <w:rPr>
          <w:szCs w:val="20"/>
          <w:lang w:val="en-GB"/>
        </w:rPr>
        <w:t xml:space="preserve">n place </w:t>
      </w:r>
      <w:r w:rsidR="00BB1E93">
        <w:rPr>
          <w:szCs w:val="20"/>
          <w:lang w:val="en-GB"/>
        </w:rPr>
        <w:t xml:space="preserve">too </w:t>
      </w:r>
      <w:r w:rsidRPr="00094C1A">
        <w:rPr>
          <w:szCs w:val="20"/>
          <w:lang w:val="en-GB"/>
        </w:rPr>
        <w:t>are various several pieces of legislation and legal frameworks.</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But there are significant issues that women in South Africa still face, like domestic violence; unfair labour practices; lack of technical skills hence their low participation in the mainstream economy especially at senior management levels.</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Gender mainstreaming in this project therefore will attempt to intervene and ensure that the benefits of the projects is enjoyed by both women and men. The development challenge of this project is increasing GHG emissions from appliances and equipment, as well as related issues of energy costs, consumer choice, and assurances of product quality for both enterprises and all citizens, affects all citizen of South Africa equally. However, the project’s Theory of Change, notes various causes that underlie the persistent barriers and challenges that limit penetration of high efficiency lighting and distribution transformers. In addressing these therefore, the project intends to be gender-responsive in the design and execution of the activities that address these causes.  The key causes are the following:</w:t>
      </w:r>
    </w:p>
    <w:p w:rsidR="00094C1A" w:rsidRPr="00094C1A" w:rsidRDefault="00094C1A" w:rsidP="00094C1A">
      <w:pPr>
        <w:spacing w:after="0"/>
        <w:rPr>
          <w:szCs w:val="20"/>
          <w:lang w:val="en-GB"/>
        </w:rPr>
      </w:pPr>
    </w:p>
    <w:p w:rsidR="00094C1A" w:rsidRPr="00094C1A" w:rsidRDefault="00094C1A" w:rsidP="006A68A3">
      <w:pPr>
        <w:numPr>
          <w:ilvl w:val="0"/>
          <w:numId w:val="64"/>
        </w:numPr>
        <w:spacing w:after="0"/>
        <w:ind w:left="284" w:hanging="284"/>
        <w:rPr>
          <w:szCs w:val="20"/>
          <w:lang w:val="en-GB"/>
        </w:rPr>
      </w:pPr>
      <w:r w:rsidRPr="00094C1A">
        <w:rPr>
          <w:i/>
          <w:szCs w:val="20"/>
          <w:lang w:val="en-GB"/>
        </w:rPr>
        <w:t>Lack or poor signals to the market on the value of energy efficient equipment</w:t>
      </w:r>
      <w:r w:rsidRPr="00094C1A">
        <w:rPr>
          <w:szCs w:val="20"/>
          <w:lang w:val="en-GB"/>
        </w:rPr>
        <w:t>- energy efficient equipment. Their value and importance to the users is not clearly or adequately highlighted. This leads to this valuable equipment treated like any other or being compared inappropriately, for example, in terms of aesthetical beauty, etc.</w:t>
      </w:r>
    </w:p>
    <w:p w:rsidR="00094C1A" w:rsidRPr="00094C1A" w:rsidRDefault="00094C1A" w:rsidP="006A68A3">
      <w:pPr>
        <w:numPr>
          <w:ilvl w:val="0"/>
          <w:numId w:val="64"/>
        </w:numPr>
        <w:spacing w:after="0"/>
        <w:ind w:left="284" w:hanging="284"/>
        <w:rPr>
          <w:szCs w:val="20"/>
          <w:lang w:val="en-GB"/>
        </w:rPr>
      </w:pPr>
      <w:r w:rsidRPr="00094C1A">
        <w:rPr>
          <w:i/>
          <w:szCs w:val="20"/>
          <w:lang w:val="en-GB"/>
        </w:rPr>
        <w:t>Lack of or absence of information on gender dimensions of consumer preferences and household decision making dynamics.</w:t>
      </w:r>
      <w:r w:rsidRPr="00094C1A">
        <w:rPr>
          <w:szCs w:val="20"/>
          <w:lang w:val="en-GB"/>
        </w:rPr>
        <w:t xml:space="preserve"> There is a general lack of information on ownership and consumer preferences in the market regarding appliances of various levels of energy performance, but there is even an acute lack of information disaggregated by gender both quantitatively and qualitatively on decision –making authority and processes within households and enterprises.  Although in South Africa, because of the low economic status of women, most of who are characterized by poverty- many women are unemployed, if employed, they earn very low wages, as many are employed as farm labourers or in the informal sector where they are engaged mostly in manual labour etc., with no hope of future investments even in the form of decent pension.  Decision-making under these circumstances is usually the prerogative of men, who usually make decisions on large equipment purchases. Only a small per cent of affluent women, especially those in the </w:t>
      </w:r>
      <w:r w:rsidR="00B01249" w:rsidRPr="00094C1A">
        <w:rPr>
          <w:szCs w:val="20"/>
          <w:lang w:val="en-GB"/>
        </w:rPr>
        <w:t>decision-making</w:t>
      </w:r>
      <w:r w:rsidRPr="00094C1A">
        <w:rPr>
          <w:szCs w:val="20"/>
          <w:lang w:val="en-GB"/>
        </w:rPr>
        <w:t xml:space="preserve"> echelons in their respective organisations are </w:t>
      </w:r>
      <w:proofErr w:type="gramStart"/>
      <w:r w:rsidRPr="00094C1A">
        <w:rPr>
          <w:szCs w:val="20"/>
          <w:lang w:val="en-GB"/>
        </w:rPr>
        <w:t>in a position</w:t>
      </w:r>
      <w:proofErr w:type="gramEnd"/>
      <w:r w:rsidRPr="00094C1A">
        <w:rPr>
          <w:szCs w:val="20"/>
          <w:lang w:val="en-GB"/>
        </w:rPr>
        <w:t xml:space="preserve"> to make decisions on their consumer choices.</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The project will attempt to address this with market research that will include inter alia surveys, and focus groups structured in such a manner as to allow for the disaggregation of outcomes by gender.</w:t>
      </w:r>
    </w:p>
    <w:p w:rsidR="00094C1A" w:rsidRPr="00094C1A" w:rsidRDefault="00094C1A" w:rsidP="00094C1A">
      <w:pPr>
        <w:spacing w:after="0"/>
        <w:rPr>
          <w:szCs w:val="20"/>
          <w:lang w:val="en-GB"/>
        </w:rPr>
      </w:pPr>
    </w:p>
    <w:p w:rsidR="00094C1A" w:rsidRPr="006A68A3" w:rsidRDefault="00094C1A" w:rsidP="00094C1A">
      <w:pPr>
        <w:numPr>
          <w:ilvl w:val="0"/>
          <w:numId w:val="64"/>
        </w:numPr>
        <w:spacing w:after="0"/>
        <w:ind w:left="284" w:hanging="284"/>
        <w:rPr>
          <w:i/>
          <w:szCs w:val="20"/>
          <w:lang w:val="en-GB"/>
        </w:rPr>
      </w:pPr>
      <w:r w:rsidRPr="006A68A3">
        <w:rPr>
          <w:i/>
          <w:szCs w:val="20"/>
          <w:lang w:val="en-GB"/>
        </w:rPr>
        <w:t>Low income and barriers to purchase of EE items with high initial cost:</w:t>
      </w:r>
    </w:p>
    <w:p w:rsidR="00094C1A" w:rsidRPr="00094C1A" w:rsidRDefault="00094C1A" w:rsidP="00094C1A">
      <w:pPr>
        <w:spacing w:after="0"/>
        <w:rPr>
          <w:szCs w:val="20"/>
          <w:lang w:val="en-GB"/>
        </w:rPr>
      </w:pPr>
      <w:r w:rsidRPr="00094C1A">
        <w:rPr>
          <w:szCs w:val="20"/>
          <w:lang w:val="en-GB"/>
        </w:rPr>
        <w:t xml:space="preserve">Low income citizens, who tend to be women mostly in South Africa, because of their economic status and ranking in the society, tend to face barriers against the purchase of EE items when these have higher initial costs.  This is resultant from the fact that women locally have lower average salaries than men; face greater unemployment levels hence they face this barrier more than men do. The situation becomes worse when it comes to women in rural areas, whose conditions are worsened by a severe scarcity of jobs, transport and long distances that they </w:t>
      </w:r>
      <w:proofErr w:type="gramStart"/>
      <w:r w:rsidRPr="00094C1A">
        <w:rPr>
          <w:szCs w:val="20"/>
          <w:lang w:val="en-GB"/>
        </w:rPr>
        <w:t>have to</w:t>
      </w:r>
      <w:proofErr w:type="gramEnd"/>
      <w:r w:rsidRPr="00094C1A">
        <w:rPr>
          <w:szCs w:val="20"/>
          <w:lang w:val="en-GB"/>
        </w:rPr>
        <w:t xml:space="preserve"> travel between places, which also cost money. The project will address this barrier, with incentives and will be delivered with the assistance of national public organisations for the advancement of the welfare of women and pensioners.</w:t>
      </w:r>
    </w:p>
    <w:p w:rsidR="00094C1A" w:rsidRPr="00094C1A" w:rsidRDefault="00094C1A" w:rsidP="00094C1A">
      <w:pPr>
        <w:spacing w:after="0"/>
        <w:rPr>
          <w:szCs w:val="20"/>
          <w:lang w:val="en-GB"/>
        </w:rPr>
      </w:pPr>
    </w:p>
    <w:p w:rsidR="00094C1A" w:rsidRPr="006A68A3" w:rsidRDefault="00094C1A" w:rsidP="00094C1A">
      <w:pPr>
        <w:numPr>
          <w:ilvl w:val="0"/>
          <w:numId w:val="64"/>
        </w:numPr>
        <w:spacing w:after="0"/>
        <w:ind w:left="284" w:hanging="284"/>
        <w:rPr>
          <w:i/>
          <w:szCs w:val="20"/>
          <w:lang w:val="en-GB"/>
        </w:rPr>
      </w:pPr>
      <w:r w:rsidRPr="006A68A3">
        <w:rPr>
          <w:i/>
          <w:szCs w:val="20"/>
          <w:lang w:val="en-GB"/>
        </w:rPr>
        <w:t xml:space="preserve">Lack of awareness and prioritisation by end users, private sector and policy makers and suppliers and of exposure to international best practice. </w:t>
      </w:r>
    </w:p>
    <w:p w:rsidR="00094C1A" w:rsidRPr="00094C1A" w:rsidRDefault="00094C1A" w:rsidP="00094C1A">
      <w:pPr>
        <w:spacing w:after="0"/>
        <w:rPr>
          <w:szCs w:val="20"/>
          <w:lang w:val="en-GB"/>
        </w:rPr>
      </w:pPr>
      <w:r w:rsidRPr="00094C1A">
        <w:rPr>
          <w:b/>
          <w:szCs w:val="20"/>
          <w:lang w:val="en-GB"/>
        </w:rPr>
        <w:t>T</w:t>
      </w:r>
      <w:r w:rsidRPr="00094C1A">
        <w:rPr>
          <w:szCs w:val="20"/>
          <w:lang w:val="en-GB"/>
        </w:rPr>
        <w:t xml:space="preserve">here is a general lack of knowledge and awareness by both women and men; the private sector; policy makers and the public at large about the costs, performance, and benefits of energy efficiency of appliances. While the introduction of the new EE items may be introduced for the benefit of both men and women at a household level, it must be born in mind that they have different roles they play in the household. For example, women are in the frontline in the use of electricity, gas, water etc. while men are often responsible for the selection and the purchasing of costly household items.  Hence, outreach programmes would have to be done bearing in mind different gender roles. It would thus be very prudent to target women and men separately and differently, hence the project will address these issues with information outreach to both women and men, including outreach particularly directed at women as warranted by market research.  Similarly, professional training and public outreach will be designed with gender equity and responsiveness in mind. It is envisaged that addressing this barrier, many other gender issues will be addressed, e.g. partnering with women in the support to the transitioning to </w:t>
      </w:r>
      <w:r w:rsidRPr="00094C1A">
        <w:rPr>
          <w:szCs w:val="20"/>
          <w:lang w:val="en-GB"/>
        </w:rPr>
        <w:lastRenderedPageBreak/>
        <w:t xml:space="preserve">the renewable because of their important role they play in the use of energy; address the issue of stereotyping of gender roles regarding household responsibilities where the kitchen will be portrayed as a responsibility of both sexes. </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While gender may be less central to the other program activities, those too will be aligned to gender mainstreaming, to make sure that that both males and females benefit from the project.  These will be implemented as follows:</w:t>
      </w:r>
    </w:p>
    <w:p w:rsidR="00094C1A" w:rsidRPr="00094C1A" w:rsidRDefault="00094C1A" w:rsidP="00094C1A">
      <w:pPr>
        <w:numPr>
          <w:ilvl w:val="0"/>
          <w:numId w:val="65"/>
        </w:numPr>
        <w:spacing w:after="0"/>
        <w:rPr>
          <w:szCs w:val="20"/>
          <w:lang w:val="en-GB"/>
        </w:rPr>
      </w:pPr>
      <w:r w:rsidRPr="00094C1A">
        <w:rPr>
          <w:szCs w:val="20"/>
          <w:lang w:val="en-GB"/>
        </w:rPr>
        <w:t>Wherever possible, and where relevant, the project will include sex-disaggregated data. Guidelines and project documents will be designed and targeted with gender sensitiveness to assess and evaluate potential impacts and related policy integration of gender considerations;</w:t>
      </w:r>
    </w:p>
    <w:p w:rsidR="00094C1A" w:rsidRPr="00094C1A" w:rsidRDefault="00094C1A" w:rsidP="00094C1A">
      <w:pPr>
        <w:numPr>
          <w:ilvl w:val="0"/>
          <w:numId w:val="65"/>
        </w:numPr>
        <w:spacing w:after="0"/>
        <w:rPr>
          <w:szCs w:val="20"/>
          <w:lang w:val="en-GB"/>
        </w:rPr>
      </w:pPr>
      <w:r w:rsidRPr="00094C1A">
        <w:rPr>
          <w:szCs w:val="20"/>
          <w:lang w:val="en-GB"/>
        </w:rPr>
        <w:t>All training materials will be prepared bearing in mind the avoidance of gender stereotypes; use an inclusive language, avoiding derogatory and inappropriate illustrations.  Significant women participation and representation will be encouraged during capacity building workshops, both among trainers and trainees to promote gender parity.</w:t>
      </w:r>
    </w:p>
    <w:p w:rsidR="00094C1A" w:rsidRPr="00094C1A" w:rsidRDefault="00094C1A" w:rsidP="00094C1A">
      <w:pPr>
        <w:numPr>
          <w:ilvl w:val="0"/>
          <w:numId w:val="65"/>
        </w:numPr>
        <w:spacing w:after="0"/>
        <w:rPr>
          <w:szCs w:val="20"/>
          <w:lang w:val="en-GB"/>
        </w:rPr>
      </w:pPr>
      <w:r w:rsidRPr="00094C1A">
        <w:rPr>
          <w:szCs w:val="20"/>
          <w:lang w:val="en-GB"/>
        </w:rPr>
        <w:t>Where relevant gender-related findings and sex-disaggregated data will have been brought to the fore, and will be taken cognisant of and incorporated in the design;</w:t>
      </w:r>
    </w:p>
    <w:p w:rsidR="00094C1A" w:rsidRPr="00094C1A" w:rsidRDefault="00094C1A" w:rsidP="00094C1A">
      <w:pPr>
        <w:numPr>
          <w:ilvl w:val="0"/>
          <w:numId w:val="65"/>
        </w:numPr>
        <w:spacing w:after="0"/>
        <w:rPr>
          <w:szCs w:val="20"/>
          <w:lang w:val="en-GB"/>
        </w:rPr>
      </w:pPr>
      <w:r w:rsidRPr="00094C1A">
        <w:rPr>
          <w:szCs w:val="20"/>
          <w:lang w:val="en-GB"/>
        </w:rPr>
        <w:t xml:space="preserve">The project’s policy and enforcement will benefit women a great deal as women will be targeted to participate in this male dominated sector with measures taken to address the gender stereotyping about women’s employment in these fields through inter alia career counselling, job placement and mentoring; </w:t>
      </w:r>
    </w:p>
    <w:p w:rsidR="00094C1A" w:rsidRPr="006A68A3" w:rsidRDefault="00094C1A" w:rsidP="00094C1A">
      <w:pPr>
        <w:numPr>
          <w:ilvl w:val="0"/>
          <w:numId w:val="65"/>
        </w:numPr>
        <w:spacing w:after="0"/>
        <w:rPr>
          <w:i/>
          <w:szCs w:val="20"/>
          <w:lang w:val="en-GB"/>
        </w:rPr>
      </w:pPr>
      <w:r w:rsidRPr="00094C1A">
        <w:rPr>
          <w:szCs w:val="20"/>
          <w:lang w:val="en-GB"/>
        </w:rPr>
        <w:t xml:space="preserve">When providing technical assistance on domestic manufacturing of EESL compliant products, it is envisaged that many female workers stand to benefit tremendously as their qualifications, skills and job security will be greatly enhanced. This will be a contribution to the much cried about </w:t>
      </w:r>
      <w:r w:rsidRPr="006A68A3">
        <w:rPr>
          <w:i/>
          <w:szCs w:val="20"/>
          <w:lang w:val="en-GB"/>
        </w:rPr>
        <w:t>“lack of skills and visibility of women” in technical sectors, especially in the energy sector.</w:t>
      </w:r>
    </w:p>
    <w:p w:rsidR="00094C1A" w:rsidRPr="00094C1A" w:rsidRDefault="00094C1A" w:rsidP="00094C1A">
      <w:pPr>
        <w:numPr>
          <w:ilvl w:val="0"/>
          <w:numId w:val="65"/>
        </w:numPr>
        <w:spacing w:after="0"/>
        <w:rPr>
          <w:szCs w:val="20"/>
          <w:lang w:val="en-GB"/>
        </w:rPr>
      </w:pPr>
      <w:r w:rsidRPr="00094C1A">
        <w:rPr>
          <w:szCs w:val="20"/>
          <w:lang w:val="en-GB"/>
        </w:rPr>
        <w:t>Information dissemination actions will be designed and targeted, considering gender sensitiveness to assess and evaluate potential impact and related policy integration of specific gender considerations.</w:t>
      </w:r>
    </w:p>
    <w:p w:rsidR="00094C1A" w:rsidRPr="00094C1A" w:rsidRDefault="00094C1A" w:rsidP="00094C1A">
      <w:pPr>
        <w:spacing w:after="0"/>
        <w:rPr>
          <w:szCs w:val="20"/>
          <w:lang w:val="en-GB"/>
        </w:rPr>
      </w:pPr>
    </w:p>
    <w:p w:rsidR="00094C1A" w:rsidRPr="00094C1A" w:rsidRDefault="00094C1A" w:rsidP="00094C1A">
      <w:pPr>
        <w:spacing w:after="0"/>
        <w:rPr>
          <w:szCs w:val="20"/>
          <w:lang w:val="en-GB"/>
        </w:rPr>
      </w:pPr>
      <w:r w:rsidRPr="00094C1A">
        <w:rPr>
          <w:szCs w:val="20"/>
          <w:lang w:val="en-GB"/>
        </w:rPr>
        <w:t xml:space="preserve">Over and above the issues to be addressed as listed above, the project will further implement a cross-cutting gender equality strategy </w:t>
      </w:r>
      <w:proofErr w:type="gramStart"/>
      <w:r w:rsidRPr="00094C1A">
        <w:rPr>
          <w:szCs w:val="20"/>
          <w:lang w:val="en-GB"/>
        </w:rPr>
        <w:t>in an effort to</w:t>
      </w:r>
      <w:proofErr w:type="gramEnd"/>
      <w:r w:rsidRPr="00094C1A">
        <w:rPr>
          <w:szCs w:val="20"/>
          <w:lang w:val="en-GB"/>
        </w:rPr>
        <w:t xml:space="preserve"> further the aims of the country towards realizing gender parity. The strategy will be implemented throughout the project life cycle and will comprise inter alia the following:</w:t>
      </w:r>
    </w:p>
    <w:p w:rsidR="00094C1A" w:rsidRPr="00094C1A" w:rsidRDefault="00094C1A" w:rsidP="00094C1A">
      <w:pPr>
        <w:numPr>
          <w:ilvl w:val="0"/>
          <w:numId w:val="66"/>
        </w:numPr>
        <w:spacing w:after="0"/>
        <w:rPr>
          <w:szCs w:val="20"/>
          <w:lang w:val="en-GB"/>
        </w:rPr>
      </w:pPr>
      <w:r w:rsidRPr="00094C1A">
        <w:rPr>
          <w:szCs w:val="20"/>
          <w:lang w:val="en-GB"/>
        </w:rPr>
        <w:t>Sensitization of project stakeholders with regards to gender equality. Efforts will be made to promote a balance between male and female participants in the Project’s activities;</w:t>
      </w:r>
    </w:p>
    <w:p w:rsidR="00094C1A" w:rsidRPr="00094C1A" w:rsidRDefault="00094C1A" w:rsidP="00094C1A">
      <w:pPr>
        <w:numPr>
          <w:ilvl w:val="0"/>
          <w:numId w:val="66"/>
        </w:numPr>
        <w:spacing w:after="0"/>
        <w:rPr>
          <w:szCs w:val="20"/>
          <w:lang w:val="en-GB"/>
        </w:rPr>
      </w:pPr>
      <w:r w:rsidRPr="00094C1A">
        <w:rPr>
          <w:szCs w:val="20"/>
          <w:lang w:val="en-GB"/>
        </w:rPr>
        <w:t>In working teams of the Project governance structure - Project Steering Committee; Project Management Unit, Working Groups - gender balance will be ensured by balancing representation of both male and female participants;</w:t>
      </w:r>
    </w:p>
    <w:p w:rsidR="00094C1A" w:rsidRPr="00094C1A" w:rsidRDefault="00094C1A" w:rsidP="00094C1A">
      <w:pPr>
        <w:numPr>
          <w:ilvl w:val="0"/>
          <w:numId w:val="66"/>
        </w:numPr>
        <w:spacing w:after="0"/>
        <w:rPr>
          <w:szCs w:val="20"/>
          <w:lang w:val="en-GB"/>
        </w:rPr>
      </w:pPr>
      <w:r w:rsidRPr="00094C1A">
        <w:rPr>
          <w:szCs w:val="20"/>
          <w:lang w:val="en-GB"/>
        </w:rPr>
        <w:t>Gender equality will be promoted during all project’s recruitment of personnel/consultants.  All advertised positions will be equally opened to all genders and the text on TORs will be carefully crafted to avoid gender stereotypes and to encourage women to apply;</w:t>
      </w:r>
    </w:p>
    <w:p w:rsidR="00094C1A" w:rsidRPr="00094C1A" w:rsidRDefault="00094C1A" w:rsidP="00094C1A">
      <w:pPr>
        <w:numPr>
          <w:ilvl w:val="0"/>
          <w:numId w:val="66"/>
        </w:numPr>
        <w:spacing w:after="0"/>
        <w:rPr>
          <w:szCs w:val="20"/>
          <w:lang w:val="en-GB"/>
        </w:rPr>
      </w:pPr>
      <w:r w:rsidRPr="00094C1A">
        <w:rPr>
          <w:szCs w:val="20"/>
          <w:lang w:val="en-GB"/>
        </w:rPr>
        <w:t>Ensure women representation in all capacity building workshops and training, as trainers and trainees;</w:t>
      </w:r>
    </w:p>
    <w:p w:rsidR="00094C1A" w:rsidRPr="00094C1A" w:rsidRDefault="00094C1A" w:rsidP="00094C1A">
      <w:pPr>
        <w:numPr>
          <w:ilvl w:val="0"/>
          <w:numId w:val="66"/>
        </w:numPr>
        <w:spacing w:after="0"/>
        <w:rPr>
          <w:szCs w:val="20"/>
          <w:lang w:val="en-GB"/>
        </w:rPr>
      </w:pPr>
      <w:r w:rsidRPr="00094C1A">
        <w:rPr>
          <w:szCs w:val="20"/>
          <w:lang w:val="en-GB"/>
        </w:rPr>
        <w:t>Exposure to training opportunities and transfer of skills to be made available to all, regardless of their gender;</w:t>
      </w:r>
    </w:p>
    <w:p w:rsidR="00094C1A" w:rsidRPr="00094C1A" w:rsidRDefault="00094C1A" w:rsidP="00094C1A">
      <w:pPr>
        <w:numPr>
          <w:ilvl w:val="0"/>
          <w:numId w:val="66"/>
        </w:numPr>
        <w:spacing w:after="0"/>
        <w:rPr>
          <w:szCs w:val="20"/>
          <w:lang w:val="en-GB"/>
        </w:rPr>
      </w:pPr>
      <w:r w:rsidRPr="00094C1A">
        <w:rPr>
          <w:szCs w:val="20"/>
          <w:lang w:val="en-GB"/>
        </w:rPr>
        <w:t>Chauvinistic tendencies, derogatory language, and gender stereotypes will not be tolerated among project staff or project partners;</w:t>
      </w:r>
    </w:p>
    <w:p w:rsidR="00094C1A" w:rsidRPr="00094C1A" w:rsidRDefault="00094C1A" w:rsidP="00094C1A">
      <w:pPr>
        <w:numPr>
          <w:ilvl w:val="0"/>
          <w:numId w:val="66"/>
        </w:numPr>
        <w:spacing w:after="0"/>
        <w:rPr>
          <w:szCs w:val="20"/>
          <w:lang w:val="en-GB"/>
        </w:rPr>
      </w:pPr>
      <w:r w:rsidRPr="00094C1A">
        <w:rPr>
          <w:szCs w:val="20"/>
          <w:lang w:val="en-GB"/>
        </w:rPr>
        <w:t>All training materials, technology, and methodology of dissemination are to be gender sensitive (i.e. avoiding gender stereotypes, using inclusive language and using appropriate illustrations).</w:t>
      </w:r>
    </w:p>
    <w:bookmarkEnd w:id="131"/>
    <w:p w:rsidR="004A26B1" w:rsidRPr="00666B27" w:rsidRDefault="004A26B1" w:rsidP="004A26B1">
      <w:pPr>
        <w:spacing w:after="0"/>
        <w:rPr>
          <w:lang w:val="en-GB" w:eastAsia="en-GB"/>
        </w:rPr>
      </w:pPr>
    </w:p>
    <w:p w:rsidR="00A65267" w:rsidRPr="00666B27" w:rsidRDefault="00A65267" w:rsidP="004A26B1">
      <w:pPr>
        <w:spacing w:after="0"/>
        <w:rPr>
          <w:lang w:val="en-GB" w:eastAsia="en-GB"/>
        </w:rPr>
      </w:pPr>
    </w:p>
    <w:p w:rsidR="004A26B1" w:rsidRPr="00666B27" w:rsidRDefault="004A26B1" w:rsidP="004A26B1">
      <w:pPr>
        <w:pStyle w:val="Heading2"/>
      </w:pPr>
      <w:bookmarkStart w:id="132" w:name="_Toc535354678"/>
      <w:bookmarkStart w:id="133" w:name="_Toc340764"/>
      <w:r w:rsidRPr="00666B27">
        <w:t>Sustainability and scaling up</w:t>
      </w:r>
      <w:bookmarkEnd w:id="132"/>
      <w:bookmarkEnd w:id="133"/>
    </w:p>
    <w:p w:rsidR="004A26B1" w:rsidRPr="00666B27" w:rsidRDefault="004A26B1" w:rsidP="004A26B1">
      <w:pPr>
        <w:spacing w:after="0"/>
        <w:rPr>
          <w:lang w:val="en-GB" w:eastAsia="en-GB"/>
        </w:rPr>
      </w:pPr>
    </w:p>
    <w:p w:rsidR="00FA1950" w:rsidRPr="00666B27" w:rsidRDefault="00FA1950" w:rsidP="00F26C97">
      <w:pPr>
        <w:spacing w:after="0"/>
        <w:rPr>
          <w:u w:val="single"/>
          <w:lang w:val="en-GB" w:eastAsia="en-GB"/>
        </w:rPr>
      </w:pPr>
      <w:bookmarkStart w:id="134" w:name="_Hlk4672858"/>
      <w:r w:rsidRPr="00666B27">
        <w:rPr>
          <w:u w:val="single"/>
          <w:lang w:val="en-GB" w:eastAsia="en-GB"/>
        </w:rPr>
        <w:t>Sustainability</w:t>
      </w:r>
    </w:p>
    <w:p w:rsidR="00FA1950" w:rsidRPr="00666B27" w:rsidRDefault="00FA1950" w:rsidP="00F26C97">
      <w:pPr>
        <w:spacing w:after="0"/>
        <w:rPr>
          <w:lang w:val="en-GB" w:eastAsia="en-GB"/>
        </w:rPr>
      </w:pPr>
    </w:p>
    <w:p w:rsidR="00684609" w:rsidRPr="00666B27" w:rsidRDefault="00684609" w:rsidP="00684609">
      <w:pPr>
        <w:spacing w:after="0"/>
        <w:rPr>
          <w:i/>
          <w:lang w:val="en-GB" w:eastAsia="en-GB"/>
        </w:rPr>
      </w:pPr>
      <w:r w:rsidRPr="00666B27">
        <w:rPr>
          <w:i/>
          <w:lang w:val="en-GB" w:eastAsia="en-GB"/>
        </w:rPr>
        <w:t>Institutional sustainability</w:t>
      </w:r>
    </w:p>
    <w:p w:rsidR="00684609" w:rsidRPr="00666B27" w:rsidRDefault="00684609" w:rsidP="00684609">
      <w:pPr>
        <w:spacing w:after="0"/>
        <w:rPr>
          <w:lang w:val="en-GB" w:eastAsia="en-GB"/>
        </w:rPr>
      </w:pPr>
      <w:r w:rsidRPr="00666B27">
        <w:rPr>
          <w:lang w:val="en-GB" w:eastAsia="en-GB"/>
        </w:rPr>
        <w:t xml:space="preserve">As demonstrated in numerous countries around the world and recently in South Africa, standards and </w:t>
      </w:r>
      <w:r w:rsidRPr="00666B27">
        <w:rPr>
          <w:noProof/>
          <w:lang w:val="en-GB" w:eastAsia="en-GB"/>
        </w:rPr>
        <w:t>labelling</w:t>
      </w:r>
      <w:r w:rsidRPr="00666B27">
        <w:rPr>
          <w:lang w:val="en-GB" w:eastAsia="en-GB"/>
        </w:rPr>
        <w:t xml:space="preserve"> for appliances and equipment are inherently conducive to scaling up, as they apply across entire chosen technology sectors, nationwide, encompassing tens or hundreds of thousands of units of appliances and equipment per year</w:t>
      </w:r>
      <w:r w:rsidR="00A13E11" w:rsidRPr="00666B27">
        <w:rPr>
          <w:lang w:val="en-GB" w:eastAsia="en-GB"/>
        </w:rPr>
        <w:t xml:space="preserve">. </w:t>
      </w:r>
      <w:r w:rsidRPr="00666B27">
        <w:rPr>
          <w:lang w:val="en-GB" w:eastAsia="en-GB"/>
        </w:rPr>
        <w:t xml:space="preserve">South Africa has mandatory standards and/or </w:t>
      </w:r>
      <w:r w:rsidRPr="00666B27">
        <w:rPr>
          <w:noProof/>
          <w:lang w:val="en-GB" w:eastAsia="en-GB"/>
        </w:rPr>
        <w:t>labelling</w:t>
      </w:r>
      <w:r w:rsidRPr="00666B27">
        <w:rPr>
          <w:lang w:val="en-GB" w:eastAsia="en-GB"/>
        </w:rPr>
        <w:t xml:space="preserve"> for </w:t>
      </w:r>
      <w:proofErr w:type="gramStart"/>
      <w:r w:rsidRPr="00666B27">
        <w:rPr>
          <w:lang w:val="en-GB" w:eastAsia="en-GB"/>
        </w:rPr>
        <w:t>a number of</w:t>
      </w:r>
      <w:proofErr w:type="gramEnd"/>
      <w:r w:rsidRPr="00666B27">
        <w:rPr>
          <w:lang w:val="en-GB" w:eastAsia="en-GB"/>
        </w:rPr>
        <w:t xml:space="preserve"> electric appliances. It is expected that by the end of the project period, compulsory lighting (LED) and distribution transformers S&amp;L will have been added. Relevant institutions will be </w:t>
      </w:r>
      <w:r w:rsidRPr="00666B27">
        <w:rPr>
          <w:lang w:val="en-GB" w:eastAsia="en-GB"/>
        </w:rPr>
        <w:lastRenderedPageBreak/>
        <w:t xml:space="preserve">trained and authorized to conduct monitoring, verification, </w:t>
      </w:r>
      <w:r w:rsidRPr="00666B27">
        <w:rPr>
          <w:noProof/>
          <w:lang w:val="en-GB" w:eastAsia="en-GB"/>
        </w:rPr>
        <w:t>and</w:t>
      </w:r>
      <w:r w:rsidRPr="00666B27">
        <w:rPr>
          <w:lang w:val="en-GB" w:eastAsia="en-GB"/>
        </w:rPr>
        <w:t xml:space="preserve"> enforcement (MVE), including equipped and competent testing laboratories by the end of the Project with financial operations based on a sustainable fee-based structure developed by the project.  Similarly, the web portal energysavings.org.za is in operation and it is expected that this will continue with added info on MEPS, </w:t>
      </w:r>
      <w:r w:rsidRPr="00666B27">
        <w:rPr>
          <w:noProof/>
          <w:lang w:val="en-GB" w:eastAsia="en-GB"/>
        </w:rPr>
        <w:t>labelling</w:t>
      </w:r>
      <w:r w:rsidRPr="00666B27">
        <w:rPr>
          <w:lang w:val="en-GB" w:eastAsia="en-GB"/>
        </w:rPr>
        <w:t>, and list of certified lighting products and distribution transformers.</w:t>
      </w:r>
    </w:p>
    <w:p w:rsidR="00684609" w:rsidRPr="00666B27" w:rsidRDefault="00684609" w:rsidP="00684609">
      <w:pPr>
        <w:spacing w:after="0"/>
        <w:rPr>
          <w:lang w:val="en-GB" w:eastAsia="en-GB"/>
        </w:rPr>
      </w:pPr>
    </w:p>
    <w:p w:rsidR="00684609" w:rsidRPr="00666B27" w:rsidRDefault="00684609" w:rsidP="00684609">
      <w:pPr>
        <w:spacing w:after="0"/>
        <w:rPr>
          <w:i/>
          <w:lang w:val="en-GB" w:eastAsia="en-GB"/>
        </w:rPr>
      </w:pPr>
      <w:r w:rsidRPr="00666B27">
        <w:rPr>
          <w:i/>
          <w:lang w:val="en-GB" w:eastAsia="en-GB"/>
        </w:rPr>
        <w:t>Social sustainability</w:t>
      </w:r>
    </w:p>
    <w:p w:rsidR="00684609" w:rsidRPr="00666B27" w:rsidRDefault="00684609" w:rsidP="00684609">
      <w:pPr>
        <w:spacing w:after="0"/>
        <w:rPr>
          <w:lang w:val="en-GB" w:eastAsia="en-GB"/>
        </w:rPr>
      </w:pPr>
      <w:r w:rsidRPr="00666B27">
        <w:rPr>
          <w:lang w:val="en-GB" w:eastAsia="en-GB"/>
        </w:rPr>
        <w:t xml:space="preserve">Furthermore, standards and </w:t>
      </w:r>
      <w:r w:rsidRPr="00666B27">
        <w:rPr>
          <w:noProof/>
          <w:lang w:val="en-GB" w:eastAsia="en-GB"/>
        </w:rPr>
        <w:t>labelling</w:t>
      </w:r>
      <w:r w:rsidRPr="00666B27">
        <w:rPr>
          <w:lang w:val="en-GB" w:eastAsia="en-GB"/>
        </w:rPr>
        <w:t xml:space="preserve"> lead to permanent market transformation by prompting changes in manufacturers’ product lines, shifts in consumers’ preferences and knowledge, and new competitive dynamics in the market regarding energy performance as a measure of value and quality for consumers. </w:t>
      </w:r>
      <w:bookmarkStart w:id="135" w:name="_Hlk374270"/>
      <w:r w:rsidR="00A13E11" w:rsidRPr="00666B27">
        <w:rPr>
          <w:lang w:val="en-GB" w:eastAsia="en-GB"/>
        </w:rPr>
        <w:t>The Project will raise more awareness on the net benefits of using high efficiency lighting (residential, private and municipal buildings) and distribution transformers (municipal utilities) and build capacity and skills of decision-makers and technical staff in municipalities, ESCOs and private companies.</w:t>
      </w:r>
      <w:bookmarkEnd w:id="135"/>
    </w:p>
    <w:p w:rsidR="00684609" w:rsidRPr="00666B27" w:rsidRDefault="00684609" w:rsidP="00684609">
      <w:pPr>
        <w:spacing w:after="0"/>
        <w:rPr>
          <w:lang w:val="en-GB" w:eastAsia="en-GB"/>
        </w:rPr>
      </w:pPr>
    </w:p>
    <w:p w:rsidR="00684609" w:rsidRPr="00666B27" w:rsidRDefault="00684609" w:rsidP="00684609">
      <w:pPr>
        <w:spacing w:after="0"/>
        <w:rPr>
          <w:i/>
          <w:lang w:val="en-GB" w:eastAsia="en-GB"/>
        </w:rPr>
      </w:pPr>
      <w:r w:rsidRPr="00666B27">
        <w:rPr>
          <w:i/>
          <w:lang w:val="en-GB" w:eastAsia="en-GB"/>
        </w:rPr>
        <w:t>Financial sustainability</w:t>
      </w:r>
    </w:p>
    <w:p w:rsidR="00684609" w:rsidRPr="00666B27" w:rsidRDefault="00684609" w:rsidP="00684609">
      <w:pPr>
        <w:spacing w:after="0"/>
        <w:rPr>
          <w:lang w:val="en-GB" w:eastAsia="en-GB"/>
        </w:rPr>
      </w:pPr>
      <w:r w:rsidRPr="00666B27">
        <w:rPr>
          <w:lang w:val="en-GB" w:eastAsia="en-GB"/>
        </w:rPr>
        <w:t>Whilst state support to local government for</w:t>
      </w:r>
      <w:r w:rsidR="003B7D62">
        <w:rPr>
          <w:lang w:val="en-GB" w:eastAsia="en-GB"/>
        </w:rPr>
        <w:t xml:space="preserve"> </w:t>
      </w:r>
      <w:r w:rsidRPr="003B7D62">
        <w:rPr>
          <w:lang w:val="en-GB" w:eastAsia="en-GB"/>
        </w:rPr>
        <w:t>energy efficiency measur</w:t>
      </w:r>
      <w:r w:rsidRPr="004722F0">
        <w:rPr>
          <w:lang w:val="en-GB" w:eastAsia="en-GB"/>
        </w:rPr>
        <w:t>es</w:t>
      </w:r>
      <w:r w:rsidRPr="005431FB">
        <w:rPr>
          <w:lang w:val="en-GB" w:eastAsia="en-GB"/>
        </w:rPr>
        <w:t xml:space="preserve"> </w:t>
      </w:r>
      <w:r w:rsidR="006D4741">
        <w:rPr>
          <w:lang w:val="en-GB" w:eastAsia="en-GB"/>
        </w:rPr>
        <w:t xml:space="preserve">is </w:t>
      </w:r>
      <w:r w:rsidRPr="005431FB">
        <w:rPr>
          <w:lang w:val="en-GB" w:eastAsia="en-GB"/>
        </w:rPr>
        <w:t xml:space="preserve">critically important, new, innovative and sustainable ways </w:t>
      </w:r>
      <w:r w:rsidRPr="00666B27">
        <w:rPr>
          <w:lang w:val="en-GB" w:eastAsia="en-GB"/>
        </w:rPr>
        <w:t xml:space="preserve">to finance public sector interventions, such as working with ESCOs and accessing debt financing, will be explored. In addition, the Project will work with existing public and private financiers to link investments by private sector in energy efficient products and the local production thereof. A diverse mix of funding sources may better mitigate risk, stabilise the availability of funding. </w:t>
      </w:r>
    </w:p>
    <w:p w:rsidR="00684609" w:rsidRPr="00666B27" w:rsidRDefault="00684609" w:rsidP="00684609">
      <w:pPr>
        <w:spacing w:after="0"/>
        <w:rPr>
          <w:lang w:val="en-GB" w:eastAsia="en-GB"/>
        </w:rPr>
      </w:pPr>
    </w:p>
    <w:p w:rsidR="00684609" w:rsidRPr="00666B27" w:rsidRDefault="00684609" w:rsidP="00684609">
      <w:pPr>
        <w:spacing w:after="0"/>
        <w:rPr>
          <w:lang w:val="en-GB" w:eastAsia="en-GB"/>
        </w:rPr>
      </w:pPr>
      <w:r w:rsidRPr="00666B27">
        <w:rPr>
          <w:lang w:val="en-GB" w:eastAsia="en-GB"/>
        </w:rPr>
        <w:t xml:space="preserve">On sustainability, several </w:t>
      </w:r>
      <w:r w:rsidRPr="00666B27">
        <w:rPr>
          <w:i/>
          <w:lang w:val="en-GB" w:eastAsia="en-GB"/>
        </w:rPr>
        <w:t>risks</w:t>
      </w:r>
      <w:r w:rsidRPr="00666B27">
        <w:rPr>
          <w:lang w:val="en-GB" w:eastAsia="en-GB"/>
        </w:rPr>
        <w:t xml:space="preserve"> may affect the likelihood of the </w:t>
      </w:r>
      <w:r w:rsidRPr="00666B27">
        <w:rPr>
          <w:noProof/>
          <w:lang w:val="en-GB" w:eastAsia="en-GB"/>
        </w:rPr>
        <w:t>continuation</w:t>
      </w:r>
      <w:r w:rsidRPr="00666B27">
        <w:rPr>
          <w:lang w:val="en-GB" w:eastAsia="en-GB"/>
        </w:rPr>
        <w:t xml:space="preserve"> of the project’s benefits after the project ends. These are listed in </w:t>
      </w:r>
      <w:r w:rsidRPr="00666B27">
        <w:rPr>
          <w:noProof/>
          <w:lang w:val="en-GB" w:eastAsia="en-GB"/>
        </w:rPr>
        <w:t>Section</w:t>
      </w:r>
      <w:r w:rsidRPr="00666B27">
        <w:rPr>
          <w:lang w:val="en-GB" w:eastAsia="en-GB"/>
        </w:rPr>
        <w:t xml:space="preserve"> 4.3 (and possible risk mitigation measures are assessed). The project will expand its strong partnership with private sector companies, technical organizations, </w:t>
      </w:r>
      <w:r w:rsidRPr="00666B27">
        <w:rPr>
          <w:noProof/>
          <w:lang w:val="en-GB" w:eastAsia="en-GB"/>
        </w:rPr>
        <w:t>and</w:t>
      </w:r>
      <w:r w:rsidRPr="00666B27">
        <w:rPr>
          <w:lang w:val="en-GB" w:eastAsia="en-GB"/>
        </w:rPr>
        <w:t xml:space="preserve"> international agencies and initiatives to encourage energy efficiency innovation and in public procurement. </w:t>
      </w:r>
    </w:p>
    <w:p w:rsidR="00FA1950" w:rsidRPr="00666B27" w:rsidRDefault="00FA1950" w:rsidP="00F26C97">
      <w:pPr>
        <w:spacing w:after="0"/>
        <w:rPr>
          <w:lang w:val="en-GB" w:eastAsia="en-GB"/>
        </w:rPr>
      </w:pPr>
    </w:p>
    <w:p w:rsidR="00FA1950" w:rsidRPr="00666B27" w:rsidRDefault="00FA1950" w:rsidP="00F26C97">
      <w:pPr>
        <w:spacing w:after="0"/>
        <w:rPr>
          <w:u w:val="single"/>
          <w:lang w:val="en-GB" w:eastAsia="en-GB"/>
        </w:rPr>
      </w:pPr>
      <w:r w:rsidRPr="00666B27">
        <w:rPr>
          <w:u w:val="single"/>
          <w:lang w:val="en-GB" w:eastAsia="en-GB"/>
        </w:rPr>
        <w:t>Scaling up</w:t>
      </w:r>
      <w:r w:rsidR="00F26C97" w:rsidRPr="00666B27">
        <w:rPr>
          <w:u w:val="single"/>
          <w:lang w:val="en-GB" w:eastAsia="en-GB"/>
        </w:rPr>
        <w:t xml:space="preserve"> and replicability</w:t>
      </w:r>
    </w:p>
    <w:p w:rsidR="00FA1950" w:rsidRPr="00666B27" w:rsidRDefault="00FA1950" w:rsidP="00F26C97">
      <w:pPr>
        <w:spacing w:after="0"/>
        <w:rPr>
          <w:lang w:val="en-GB" w:eastAsia="en-GB"/>
        </w:rPr>
      </w:pPr>
    </w:p>
    <w:p w:rsidR="00A65267" w:rsidRPr="00666B27" w:rsidRDefault="00F26C97" w:rsidP="00F26C97">
      <w:pPr>
        <w:spacing w:after="0"/>
        <w:rPr>
          <w:lang w:val="en-GB" w:eastAsia="en-GB"/>
        </w:rPr>
      </w:pPr>
      <w:r w:rsidRPr="00666B27">
        <w:rPr>
          <w:lang w:val="en-GB" w:eastAsia="en-GB"/>
        </w:rPr>
        <w:t xml:space="preserve">To encourage replicability the project has adopted a balance between capacity building and strengthening regulations (standards, </w:t>
      </w:r>
      <w:r w:rsidRPr="00666B27">
        <w:rPr>
          <w:noProof/>
          <w:lang w:val="en-GB" w:eastAsia="en-GB"/>
        </w:rPr>
        <w:t>labelling</w:t>
      </w:r>
      <w:r w:rsidRPr="00666B27">
        <w:rPr>
          <w:lang w:val="en-GB" w:eastAsia="en-GB"/>
        </w:rPr>
        <w:t xml:space="preserve">, procurement) and boosting financing availability to create an enabling environment </w:t>
      </w:r>
      <w:r w:rsidR="00A65267" w:rsidRPr="00666B27">
        <w:rPr>
          <w:lang w:val="en-GB" w:eastAsia="en-GB"/>
        </w:rPr>
        <w:t>for investments</w:t>
      </w:r>
      <w:r w:rsidRPr="00666B27">
        <w:rPr>
          <w:lang w:val="en-GB" w:eastAsia="en-GB"/>
        </w:rPr>
        <w:t xml:space="preserve"> in high-efficiency lighting and transformers</w:t>
      </w:r>
      <w:r w:rsidR="00A65267" w:rsidRPr="00666B27">
        <w:rPr>
          <w:lang w:val="en-GB" w:eastAsia="en-GB"/>
        </w:rPr>
        <w:t xml:space="preserve"> applications and local production</w:t>
      </w:r>
      <w:r w:rsidRPr="00666B27">
        <w:rPr>
          <w:lang w:val="en-GB" w:eastAsia="en-GB"/>
        </w:rPr>
        <w:t>. Emphasis on awareness raising and knowledge management (Component 3) will pro-actively identify lessons to inform replication and scaling-up and the institutional arrangements will be put in place to ensure then this reaches national and the local level.</w:t>
      </w:r>
    </w:p>
    <w:p w:rsidR="00A65267" w:rsidRPr="00666B27" w:rsidRDefault="00A65267" w:rsidP="00F26C97">
      <w:pPr>
        <w:spacing w:after="0"/>
        <w:rPr>
          <w:lang w:val="en-GB" w:eastAsia="en-GB"/>
        </w:rPr>
      </w:pPr>
    </w:p>
    <w:p w:rsidR="00F26C97" w:rsidRPr="00666B27" w:rsidRDefault="00F26C97" w:rsidP="00F26C97">
      <w:pPr>
        <w:spacing w:after="0"/>
        <w:rPr>
          <w:lang w:val="en-GB" w:eastAsia="en-GB"/>
        </w:rPr>
      </w:pPr>
      <w:r w:rsidRPr="00666B27">
        <w:rPr>
          <w:lang w:val="en-GB" w:eastAsia="en-GB"/>
        </w:rPr>
        <w:t xml:space="preserve">Regarding scaling up, the project has been designed to focus on the public sector (municipalities in particular) to empower it to lead with </w:t>
      </w:r>
      <w:r w:rsidRPr="00666B27">
        <w:rPr>
          <w:noProof/>
          <w:lang w:val="en-GB" w:eastAsia="en-GB"/>
        </w:rPr>
        <w:t>example</w:t>
      </w:r>
      <w:r w:rsidR="00E236DA" w:rsidRPr="00666B27">
        <w:rPr>
          <w:lang w:val="en-GB" w:eastAsia="en-GB"/>
        </w:rPr>
        <w:t>s of energy efficiency interventions</w:t>
      </w:r>
      <w:r w:rsidRPr="00666B27">
        <w:rPr>
          <w:lang w:val="en-GB" w:eastAsia="en-GB"/>
        </w:rPr>
        <w:t xml:space="preserve">. The replacement of conventional and obsolete appliances in public institutions is envisioned to be scaled up, starting from a small number of demonstration projects focused on the highest energy consuming public institutions and then expanded to all public institutions through the enforcement of the national policy on MEPS and/or labels for LED lighting and distribution transformers, and the support from the Energy Efficiency Financial Instrument (EEFI) to support new public-private partnerships (e.g. municipalities working with energy service providers, ESCOs). </w:t>
      </w:r>
      <w:proofErr w:type="gramStart"/>
      <w:r w:rsidRPr="00666B27">
        <w:rPr>
          <w:lang w:val="en-GB" w:eastAsia="en-GB"/>
        </w:rPr>
        <w:t>In particular, a</w:t>
      </w:r>
      <w:proofErr w:type="gramEnd"/>
      <w:r w:rsidRPr="00666B27">
        <w:rPr>
          <w:lang w:val="en-GB" w:eastAsia="en-GB"/>
        </w:rPr>
        <w:t xml:space="preserve"> learning-by-doing approach is promoted whereby EE lighting and transformers planning and investment proposals will be supported in participating municipalities. This will be followed up with on-going capacity development and on-the-job technical assistance during the normal local planning and budget cycles</w:t>
      </w:r>
      <w:r w:rsidR="00A65267" w:rsidRPr="00666B27">
        <w:rPr>
          <w:lang w:val="en-GB" w:eastAsia="en-GB"/>
        </w:rPr>
        <w:t>.</w:t>
      </w:r>
    </w:p>
    <w:bookmarkEnd w:id="134"/>
    <w:p w:rsidR="00F26C97" w:rsidRPr="00666B27" w:rsidRDefault="00F26C97" w:rsidP="00F26C97">
      <w:pPr>
        <w:spacing w:after="0"/>
        <w:rPr>
          <w:lang w:val="en-GB" w:eastAsia="en-GB"/>
        </w:rPr>
      </w:pPr>
    </w:p>
    <w:p w:rsidR="00F26C97" w:rsidRPr="00666B27" w:rsidRDefault="00F26C97" w:rsidP="004A400D">
      <w:pPr>
        <w:spacing w:after="0"/>
        <w:jc w:val="left"/>
        <w:rPr>
          <w:lang w:val="en-GB" w:eastAsia="en-GB"/>
        </w:rPr>
      </w:pPr>
    </w:p>
    <w:p w:rsidR="00F26C97" w:rsidRPr="00666B27" w:rsidRDefault="00F26C97" w:rsidP="004A400D">
      <w:pPr>
        <w:spacing w:after="0"/>
        <w:jc w:val="left"/>
        <w:rPr>
          <w:lang w:val="en-GB" w:eastAsia="en-GB"/>
        </w:rPr>
      </w:pPr>
    </w:p>
    <w:p w:rsidR="00F26C97" w:rsidRPr="00666B27" w:rsidRDefault="00F26C97" w:rsidP="004A400D">
      <w:pPr>
        <w:spacing w:after="0"/>
        <w:jc w:val="left"/>
        <w:rPr>
          <w:lang w:val="en-GB" w:eastAsia="en-GB"/>
        </w:rPr>
      </w:pPr>
    </w:p>
    <w:p w:rsidR="00F26C97" w:rsidRPr="00666B27" w:rsidRDefault="00F26C97" w:rsidP="004A400D">
      <w:pPr>
        <w:spacing w:after="0"/>
        <w:jc w:val="left"/>
        <w:rPr>
          <w:lang w:val="en-GB" w:eastAsia="en-GB"/>
        </w:rPr>
      </w:pPr>
    </w:p>
    <w:p w:rsidR="00F75A9F" w:rsidRPr="00666B27" w:rsidRDefault="006A27A2" w:rsidP="005C3406">
      <w:pPr>
        <w:pStyle w:val="Heading1"/>
        <w:tabs>
          <w:tab w:val="left" w:pos="567"/>
        </w:tabs>
      </w:pPr>
      <w:r w:rsidRPr="00666B27">
        <w:br w:type="page"/>
      </w:r>
      <w:bookmarkStart w:id="136" w:name="_Toc497848304"/>
      <w:bookmarkStart w:id="137" w:name="_Toc207800912"/>
      <w:r w:rsidR="005C3406" w:rsidRPr="00666B27">
        <w:lastRenderedPageBreak/>
        <w:tab/>
      </w:r>
      <w:bookmarkStart w:id="138" w:name="_Toc340765"/>
      <w:r w:rsidR="00075FD8" w:rsidRPr="00666B27">
        <w:t>Project Management</w:t>
      </w:r>
      <w:bookmarkEnd w:id="136"/>
      <w:bookmarkEnd w:id="138"/>
    </w:p>
    <w:p w:rsidR="009F19D4" w:rsidRPr="00666B27" w:rsidRDefault="009F19D4" w:rsidP="008C7EE3">
      <w:pPr>
        <w:pStyle w:val="ListParagraph"/>
        <w:spacing w:after="60"/>
        <w:ind w:left="0"/>
        <w:contextualSpacing/>
        <w:rPr>
          <w:rFonts w:cs="Segoe UI"/>
          <w:color w:val="000000"/>
          <w:szCs w:val="20"/>
          <w:lang w:val="en-GB"/>
        </w:rPr>
      </w:pPr>
    </w:p>
    <w:p w:rsidR="005A1C2C" w:rsidRPr="00666B27" w:rsidRDefault="002365DA" w:rsidP="00731F0C">
      <w:pPr>
        <w:pStyle w:val="Heading2"/>
        <w:numPr>
          <w:ilvl w:val="1"/>
          <w:numId w:val="30"/>
        </w:numPr>
      </w:pPr>
      <w:bookmarkStart w:id="139" w:name="_Toc497848305"/>
      <w:bookmarkStart w:id="140" w:name="_Toc340766"/>
      <w:r w:rsidRPr="00666B27">
        <w:t>Cost efficiency and effectiveness</w:t>
      </w:r>
      <w:bookmarkEnd w:id="139"/>
      <w:bookmarkEnd w:id="140"/>
    </w:p>
    <w:p w:rsidR="002365DA" w:rsidRPr="00666B27" w:rsidRDefault="002365DA" w:rsidP="002365DA">
      <w:pPr>
        <w:rPr>
          <w:lang w:val="en-GB" w:eastAsia="en-GB"/>
        </w:rPr>
      </w:pPr>
    </w:p>
    <w:p w:rsidR="009B20C5" w:rsidRPr="00666B27" w:rsidRDefault="009B20C5" w:rsidP="009B20C5">
      <w:pPr>
        <w:spacing w:after="0"/>
        <w:rPr>
          <w:u w:val="single"/>
          <w:lang w:val="en-GB" w:eastAsia="en-GB"/>
        </w:rPr>
      </w:pPr>
      <w:r w:rsidRPr="00666B27">
        <w:rPr>
          <w:u w:val="single"/>
          <w:lang w:val="en-GB" w:eastAsia="en-GB"/>
        </w:rPr>
        <w:t>Socio-economic benefits</w:t>
      </w:r>
    </w:p>
    <w:p w:rsidR="009B20C5" w:rsidRPr="00666B27" w:rsidRDefault="009B20C5" w:rsidP="009B20C5">
      <w:pPr>
        <w:spacing w:after="0"/>
        <w:rPr>
          <w:lang w:val="en-GB" w:eastAsia="en-GB"/>
        </w:rPr>
      </w:pPr>
    </w:p>
    <w:p w:rsidR="009B20C5" w:rsidRPr="00666B27" w:rsidRDefault="009B20C5" w:rsidP="009B20C5">
      <w:pPr>
        <w:spacing w:after="0"/>
        <w:rPr>
          <w:rFonts w:cs="Arial"/>
          <w:noProof/>
          <w:szCs w:val="20"/>
          <w:lang w:val="en-GB" w:eastAsia="zh-CN"/>
        </w:rPr>
      </w:pPr>
      <w:bookmarkStart w:id="141" w:name="_Hlk4681951"/>
      <w:r w:rsidRPr="00666B27">
        <w:rPr>
          <w:rFonts w:cs="Arial"/>
          <w:noProof/>
          <w:szCs w:val="20"/>
          <w:lang w:val="en-GB" w:eastAsia="zh-CN"/>
        </w:rPr>
        <w:t>Appliance and equipment efficiency standards are well known as being among the very most cost-effective instruments</w:t>
      </w:r>
      <w:r w:rsidRPr="0057545E">
        <w:rPr>
          <w:rFonts w:ascii="Arial" w:hAnsi="Arial"/>
          <w:noProof/>
          <w:sz w:val="18"/>
          <w:szCs w:val="20"/>
          <w:vertAlign w:val="superscript"/>
          <w:lang w:val="en-GB" w:eastAsia="zh-CN"/>
        </w:rPr>
        <w:footnoteReference w:id="12"/>
      </w:r>
      <w:r w:rsidRPr="0057545E">
        <w:rPr>
          <w:rFonts w:cs="Arial"/>
          <w:noProof/>
          <w:szCs w:val="20"/>
          <w:lang w:val="en-GB" w:eastAsia="zh-CN"/>
        </w:rPr>
        <w:t xml:space="preserve"> for achieving energy savings</w:t>
      </w:r>
      <w:r w:rsidRPr="0057545E">
        <w:rPr>
          <w:rFonts w:ascii="Arial" w:hAnsi="Arial"/>
          <w:noProof/>
          <w:sz w:val="18"/>
          <w:szCs w:val="20"/>
          <w:vertAlign w:val="superscript"/>
          <w:lang w:val="en-GB" w:eastAsia="zh-CN"/>
        </w:rPr>
        <w:footnoteReference w:id="13"/>
      </w:r>
      <w:r w:rsidRPr="0057545E">
        <w:rPr>
          <w:rFonts w:cs="Arial"/>
          <w:noProof/>
          <w:szCs w:val="20"/>
          <w:lang w:val="en-GB" w:eastAsia="zh-CN"/>
        </w:rPr>
        <w:t xml:space="preserve">, cost savings for consumers, and associated GHG emissions reduction at scale. Standards and </w:t>
      </w:r>
      <w:r w:rsidRPr="00353542">
        <w:rPr>
          <w:rFonts w:cs="Arial"/>
          <w:noProof/>
          <w:szCs w:val="20"/>
          <w:lang w:val="en-GB" w:eastAsia="zh-CN"/>
        </w:rPr>
        <w:t>labelling</w:t>
      </w:r>
      <w:r w:rsidRPr="003B7D62">
        <w:rPr>
          <w:rFonts w:cs="Arial"/>
          <w:noProof/>
          <w:szCs w:val="20"/>
          <w:lang w:val="en-GB" w:eastAsia="zh-CN"/>
        </w:rPr>
        <w:t xml:space="preserve"> offer such remarkable cost-effectiveness because they affect entire market sectors involving annual sales of tens or hundreds of thousands of electricity-intensive products, using policy and an efficient laboratory-based enforcement process, leading ul</w:t>
      </w:r>
      <w:r w:rsidRPr="004722F0">
        <w:rPr>
          <w:rFonts w:cs="Arial"/>
          <w:noProof/>
          <w:szCs w:val="20"/>
          <w:lang w:val="en-GB" w:eastAsia="zh-CN"/>
        </w:rPr>
        <w:t xml:space="preserve">timately to </w:t>
      </w:r>
      <w:r w:rsidRPr="00666B27">
        <w:rPr>
          <w:rFonts w:cs="Arial"/>
          <w:noProof/>
          <w:szCs w:val="20"/>
          <w:lang w:val="en-GB" w:eastAsia="zh-CN"/>
        </w:rPr>
        <w:t xml:space="preserve">market transformation that is sustained mostly through consumer demand and competition among producers.  </w:t>
      </w:r>
    </w:p>
    <w:p w:rsidR="009B20C5" w:rsidRPr="00666B27" w:rsidRDefault="009B20C5" w:rsidP="009B20C5">
      <w:pPr>
        <w:spacing w:after="0"/>
        <w:rPr>
          <w:lang w:val="en-GB" w:eastAsia="en-GB"/>
        </w:rPr>
      </w:pPr>
    </w:p>
    <w:p w:rsidR="009B20C5" w:rsidRPr="00666B27" w:rsidRDefault="009B20C5" w:rsidP="009B20C5">
      <w:pPr>
        <w:spacing w:after="0"/>
        <w:rPr>
          <w:lang w:val="en-GB" w:eastAsia="en-GB"/>
        </w:rPr>
      </w:pPr>
      <w:r w:rsidRPr="00666B27">
        <w:rPr>
          <w:lang w:val="en-GB" w:eastAsia="en-GB"/>
        </w:rPr>
        <w:t xml:space="preserve">High-efficiency appliances will provide end-users savings on the total lifecycle costs of the product through reduced electricity use, allowing for purchasing power for </w:t>
      </w:r>
      <w:r w:rsidR="00E236DA" w:rsidRPr="00666B27">
        <w:rPr>
          <w:lang w:val="en-GB" w:eastAsia="en-GB"/>
        </w:rPr>
        <w:t xml:space="preserve">an </w:t>
      </w:r>
      <w:r w:rsidRPr="00666B27">
        <w:rPr>
          <w:noProof/>
          <w:lang w:val="en-GB" w:eastAsia="en-GB"/>
        </w:rPr>
        <w:t>improved</w:t>
      </w:r>
      <w:r w:rsidRPr="00666B27">
        <w:rPr>
          <w:lang w:val="en-GB" w:eastAsia="en-GB"/>
        </w:rPr>
        <w:t xml:space="preserve"> standard of living. Further, the end-users (men and women) are empowered through increased visibility in the quality and efficiency of the product through energy-efficiency </w:t>
      </w:r>
      <w:r w:rsidRPr="00666B27">
        <w:rPr>
          <w:noProof/>
          <w:lang w:val="en-GB" w:eastAsia="en-GB"/>
        </w:rPr>
        <w:t>labelling</w:t>
      </w:r>
      <w:r w:rsidRPr="00666B27">
        <w:rPr>
          <w:lang w:val="en-GB" w:eastAsia="en-GB"/>
        </w:rPr>
        <w:t>.</w:t>
      </w:r>
    </w:p>
    <w:p w:rsidR="009B20C5" w:rsidRPr="00666B27" w:rsidRDefault="009B20C5" w:rsidP="009B20C5">
      <w:pPr>
        <w:spacing w:after="0"/>
        <w:rPr>
          <w:lang w:val="en-GB" w:eastAsia="en-GB"/>
        </w:rPr>
      </w:pPr>
    </w:p>
    <w:p w:rsidR="004A400D" w:rsidRPr="00666B27" w:rsidRDefault="009B20C5" w:rsidP="009B20C5">
      <w:pPr>
        <w:spacing w:after="0"/>
        <w:rPr>
          <w:lang w:val="en-GB" w:eastAsia="en-GB"/>
        </w:rPr>
      </w:pPr>
      <w:r w:rsidRPr="00666B27">
        <w:rPr>
          <w:lang w:val="en-GB" w:eastAsia="en-GB"/>
        </w:rPr>
        <w:t xml:space="preserve">Local manufacturers stand to benefit by increasingly stringent energy efficiency standards and strategies by producing higher-efficient products that meet the need of local markets </w:t>
      </w:r>
      <w:proofErr w:type="gramStart"/>
      <w:r w:rsidRPr="00666B27">
        <w:rPr>
          <w:lang w:val="en-GB" w:eastAsia="en-GB"/>
        </w:rPr>
        <w:t>and also</w:t>
      </w:r>
      <w:proofErr w:type="gramEnd"/>
      <w:r w:rsidRPr="00666B27">
        <w:rPr>
          <w:lang w:val="en-GB" w:eastAsia="en-GB"/>
        </w:rPr>
        <w:t xml:space="preserve"> the possibility to enter new markets that have existing energy efficiency standards, such as in OECD countries. The project will also provide economic benefits by promoting regional </w:t>
      </w:r>
      <w:r w:rsidRPr="00666B27">
        <w:rPr>
          <w:noProof/>
          <w:lang w:val="en-GB" w:eastAsia="en-GB"/>
        </w:rPr>
        <w:t>harmonisation</w:t>
      </w:r>
      <w:r w:rsidRPr="00666B27">
        <w:rPr>
          <w:lang w:val="en-GB" w:eastAsia="en-GB"/>
        </w:rPr>
        <w:t xml:space="preserve"> of standards (on lighting and transformers). This will reduce </w:t>
      </w:r>
      <w:r w:rsidR="00E236DA" w:rsidRPr="00666B27">
        <w:rPr>
          <w:lang w:val="en-GB" w:eastAsia="en-GB"/>
        </w:rPr>
        <w:t xml:space="preserve">the </w:t>
      </w:r>
      <w:r w:rsidRPr="00666B27">
        <w:rPr>
          <w:noProof/>
          <w:lang w:val="en-GB" w:eastAsia="en-GB"/>
        </w:rPr>
        <w:t>costs</w:t>
      </w:r>
      <w:r w:rsidRPr="00666B27">
        <w:rPr>
          <w:lang w:val="en-GB" w:eastAsia="en-GB"/>
        </w:rPr>
        <w:t xml:space="preserve"> of doing business for manufacturers that otherwise would need to comply with different standards in each country. Further, the benefits will be provided across the economy, as businesses will be able to produce goods more efficiently due to improved technologies and the ability to export these within the Eastern and Southern African region (common market arrangements, SADCC, COMESA). </w:t>
      </w:r>
      <w:r w:rsidR="00D624F3" w:rsidRPr="00666B27">
        <w:rPr>
          <w:lang w:val="en-GB" w:eastAsia="en-GB"/>
        </w:rPr>
        <w:t xml:space="preserve"> </w:t>
      </w:r>
      <w:r w:rsidRPr="00666B27">
        <w:rPr>
          <w:lang w:val="en-GB" w:eastAsia="en-GB"/>
        </w:rPr>
        <w:t xml:space="preserve">Lastly, the economy </w:t>
      </w:r>
      <w:proofErr w:type="gramStart"/>
      <w:r w:rsidRPr="00666B27">
        <w:rPr>
          <w:lang w:val="en-GB" w:eastAsia="en-GB"/>
        </w:rPr>
        <w:t>as a whole stand</w:t>
      </w:r>
      <w:proofErr w:type="gramEnd"/>
      <w:r w:rsidRPr="00666B27">
        <w:rPr>
          <w:lang w:val="en-GB" w:eastAsia="en-GB"/>
        </w:rPr>
        <w:t xml:space="preserve"> to benefit from increased energy </w:t>
      </w:r>
      <w:r w:rsidRPr="00666B27">
        <w:rPr>
          <w:noProof/>
          <w:lang w:val="en-GB" w:eastAsia="en-GB"/>
        </w:rPr>
        <w:t>efficien</w:t>
      </w:r>
      <w:r w:rsidR="00E236DA" w:rsidRPr="00666B27">
        <w:rPr>
          <w:noProof/>
          <w:lang w:val="en-GB" w:eastAsia="en-GB"/>
        </w:rPr>
        <w:t>cy</w:t>
      </w:r>
      <w:r w:rsidRPr="00666B27">
        <w:rPr>
          <w:lang w:val="en-GB" w:eastAsia="en-GB"/>
        </w:rPr>
        <w:t xml:space="preserve"> in the economy will </w:t>
      </w:r>
      <w:r w:rsidRPr="00666B27">
        <w:rPr>
          <w:noProof/>
          <w:lang w:val="en-GB" w:eastAsia="en-GB"/>
        </w:rPr>
        <w:t>allow</w:t>
      </w:r>
      <w:r w:rsidRPr="00666B27">
        <w:rPr>
          <w:lang w:val="en-GB" w:eastAsia="en-GB"/>
        </w:rPr>
        <w:t xml:space="preserve"> for reduced imports of fuel sources.</w:t>
      </w:r>
      <w:r w:rsidRPr="00666B27">
        <w:rPr>
          <w:lang w:val="en-GB"/>
        </w:rPr>
        <w:t xml:space="preserve"> </w:t>
      </w:r>
    </w:p>
    <w:bookmarkEnd w:id="141"/>
    <w:p w:rsidR="009B20C5" w:rsidRPr="00666B27" w:rsidRDefault="009B20C5" w:rsidP="009B20C5">
      <w:pPr>
        <w:spacing w:after="0"/>
        <w:rPr>
          <w:rFonts w:cs="Arial"/>
          <w:noProof/>
          <w:szCs w:val="20"/>
          <w:lang w:val="en-GB" w:eastAsia="zh-CN"/>
        </w:rPr>
      </w:pPr>
    </w:p>
    <w:p w:rsidR="00AA612F" w:rsidRPr="00666B27" w:rsidRDefault="00AA612F" w:rsidP="009B20C5">
      <w:pPr>
        <w:spacing w:after="0"/>
        <w:rPr>
          <w:rFonts w:cs="Arial"/>
          <w:noProof/>
          <w:szCs w:val="20"/>
          <w:u w:val="single"/>
          <w:lang w:val="en-GB" w:eastAsia="zh-CN"/>
        </w:rPr>
      </w:pPr>
      <w:r w:rsidRPr="00666B27">
        <w:rPr>
          <w:rFonts w:cs="Arial"/>
          <w:noProof/>
          <w:szCs w:val="20"/>
          <w:u w:val="single"/>
          <w:lang w:val="en-GB" w:eastAsia="zh-CN"/>
        </w:rPr>
        <w:t>Environmental impacts</w:t>
      </w:r>
    </w:p>
    <w:p w:rsidR="009B20C5" w:rsidRPr="00666B27" w:rsidRDefault="009B20C5" w:rsidP="009B20C5">
      <w:pPr>
        <w:spacing w:after="0"/>
        <w:rPr>
          <w:rFonts w:cs="Arial"/>
          <w:noProof/>
          <w:szCs w:val="20"/>
          <w:lang w:val="en-GB" w:eastAsia="zh-CN"/>
        </w:rPr>
      </w:pPr>
    </w:p>
    <w:p w:rsidR="00725023" w:rsidRPr="00666B27" w:rsidRDefault="00D03E4C" w:rsidP="009B20C5">
      <w:pPr>
        <w:spacing w:after="0"/>
        <w:rPr>
          <w:rFonts w:cs="Arial"/>
          <w:noProof/>
          <w:szCs w:val="20"/>
          <w:lang w:val="en-GB" w:eastAsia="zh-CN"/>
        </w:rPr>
      </w:pPr>
      <w:bookmarkStart w:id="142" w:name="_Hlk4681991"/>
      <w:r w:rsidRPr="00666B27">
        <w:rPr>
          <w:rFonts w:cs="Arial"/>
          <w:noProof/>
          <w:szCs w:val="20"/>
          <w:lang w:val="en-GB" w:eastAsia="zh-CN"/>
        </w:rPr>
        <w:t>Unlike GEF-supported projects that involve large investments</w:t>
      </w:r>
      <w:r w:rsidR="002867FD" w:rsidRPr="00666B27">
        <w:rPr>
          <w:rFonts w:cs="Arial"/>
          <w:noProof/>
          <w:szCs w:val="20"/>
          <w:lang w:val="en-GB" w:eastAsia="zh-CN"/>
        </w:rPr>
        <w:t xml:space="preserve"> in a few demos</w:t>
      </w:r>
      <w:r w:rsidRPr="00666B27">
        <w:rPr>
          <w:rFonts w:cs="Arial"/>
          <w:noProof/>
          <w:szCs w:val="20"/>
          <w:lang w:val="en-GB" w:eastAsia="zh-CN"/>
        </w:rPr>
        <w:t xml:space="preserve"> (e.g. wind or solar park</w:t>
      </w:r>
      <w:r w:rsidR="00E236DA" w:rsidRPr="00666B27">
        <w:rPr>
          <w:rFonts w:cs="Arial"/>
          <w:noProof/>
          <w:szCs w:val="20"/>
          <w:lang w:val="en-GB" w:eastAsia="zh-CN"/>
        </w:rPr>
        <w:t>s</w:t>
      </w:r>
      <w:r w:rsidRPr="00666B27">
        <w:rPr>
          <w:rFonts w:cs="Arial"/>
          <w:noProof/>
          <w:szCs w:val="20"/>
          <w:lang w:val="en-GB" w:eastAsia="zh-CN"/>
        </w:rPr>
        <w:t>), the Project implies investment</w:t>
      </w:r>
      <w:r w:rsidR="002867FD" w:rsidRPr="00666B27">
        <w:rPr>
          <w:rFonts w:cs="Arial"/>
          <w:noProof/>
          <w:szCs w:val="20"/>
          <w:lang w:val="en-GB" w:eastAsia="zh-CN"/>
        </w:rPr>
        <w:t xml:space="preserve">/purchase </w:t>
      </w:r>
      <w:r w:rsidRPr="00666B27">
        <w:rPr>
          <w:rFonts w:cs="Arial"/>
          <w:noProof/>
          <w:szCs w:val="20"/>
          <w:lang w:val="en-GB" w:eastAsia="zh-CN"/>
        </w:rPr>
        <w:t xml:space="preserve">decisions of a multitude of </w:t>
      </w:r>
      <w:r w:rsidR="002867FD" w:rsidRPr="00666B27">
        <w:rPr>
          <w:rFonts w:cs="Arial"/>
          <w:noProof/>
          <w:szCs w:val="20"/>
          <w:lang w:val="en-GB" w:eastAsia="zh-CN"/>
        </w:rPr>
        <w:t xml:space="preserve">residential and other </w:t>
      </w:r>
      <w:r w:rsidRPr="00666B27">
        <w:rPr>
          <w:rFonts w:cs="Arial"/>
          <w:noProof/>
          <w:szCs w:val="20"/>
          <w:lang w:val="en-GB" w:eastAsia="zh-CN"/>
        </w:rPr>
        <w:t>consumers in small investments of USD 2 to 6,000. T</w:t>
      </w:r>
      <w:r w:rsidR="002867FD" w:rsidRPr="00666B27">
        <w:rPr>
          <w:rFonts w:cs="Arial"/>
          <w:noProof/>
          <w:szCs w:val="20"/>
          <w:lang w:val="en-GB" w:eastAsia="zh-CN"/>
        </w:rPr>
        <w:t>he</w:t>
      </w:r>
      <w:r w:rsidRPr="00666B27">
        <w:rPr>
          <w:rFonts w:cs="Arial"/>
          <w:noProof/>
          <w:szCs w:val="20"/>
          <w:lang w:val="en-GB" w:eastAsia="zh-CN"/>
        </w:rPr>
        <w:t xml:space="preserve"> Project defines ‘direct emissions’ not as linked to </w:t>
      </w:r>
      <w:r w:rsidR="00261972" w:rsidRPr="00666B27">
        <w:rPr>
          <w:rFonts w:cs="Arial"/>
          <w:noProof/>
          <w:szCs w:val="20"/>
          <w:lang w:val="en-GB" w:eastAsia="zh-CN"/>
        </w:rPr>
        <w:t>one or mor</w:t>
      </w:r>
      <w:r w:rsidR="00E236DA" w:rsidRPr="00666B27">
        <w:rPr>
          <w:rFonts w:cs="Arial"/>
          <w:noProof/>
          <w:szCs w:val="20"/>
          <w:lang w:val="en-GB" w:eastAsia="zh-CN"/>
        </w:rPr>
        <w:t>e</w:t>
      </w:r>
      <w:r w:rsidR="00261972" w:rsidRPr="00666B27">
        <w:rPr>
          <w:rFonts w:cs="Arial"/>
          <w:noProof/>
          <w:szCs w:val="20"/>
          <w:lang w:val="en-GB" w:eastAsia="zh-CN"/>
        </w:rPr>
        <w:t xml:space="preserve"> small investment projects</w:t>
      </w:r>
      <w:r w:rsidRPr="00666B27">
        <w:rPr>
          <w:rFonts w:cs="Arial"/>
          <w:noProof/>
          <w:szCs w:val="20"/>
          <w:lang w:val="en-GB" w:eastAsia="zh-CN"/>
        </w:rPr>
        <w:t>, but based o</w:t>
      </w:r>
      <w:r w:rsidR="002867FD" w:rsidRPr="00666B27">
        <w:rPr>
          <w:rFonts w:cs="Arial"/>
          <w:noProof/>
          <w:szCs w:val="20"/>
          <w:lang w:val="en-GB" w:eastAsia="zh-CN"/>
        </w:rPr>
        <w:t xml:space="preserve">n a </w:t>
      </w:r>
      <w:r w:rsidR="00261972" w:rsidRPr="00666B27">
        <w:rPr>
          <w:rFonts w:cs="Arial"/>
          <w:noProof/>
          <w:szCs w:val="20"/>
          <w:lang w:val="en-GB" w:eastAsia="zh-CN"/>
        </w:rPr>
        <w:t xml:space="preserve">calculated </w:t>
      </w:r>
      <w:r w:rsidR="002867FD" w:rsidRPr="00666B27">
        <w:rPr>
          <w:rFonts w:cs="Arial"/>
          <w:noProof/>
          <w:szCs w:val="20"/>
          <w:lang w:val="en-GB" w:eastAsia="zh-CN"/>
        </w:rPr>
        <w:t xml:space="preserve">difference during the implementation period (2019/20-2022/23) between a market baseline scenario </w:t>
      </w:r>
      <w:r w:rsidR="00725023" w:rsidRPr="00666B27">
        <w:rPr>
          <w:rFonts w:cs="Arial"/>
          <w:noProof/>
          <w:szCs w:val="20"/>
          <w:lang w:val="en-GB" w:eastAsia="zh-CN"/>
        </w:rPr>
        <w:t xml:space="preserve">(which assumes a modest replacement of LEDs for other lamps and HE transformers) </w:t>
      </w:r>
      <w:r w:rsidR="002867FD" w:rsidRPr="00666B27">
        <w:rPr>
          <w:rFonts w:cs="Arial"/>
          <w:noProof/>
          <w:szCs w:val="20"/>
          <w:lang w:val="en-GB" w:eastAsia="zh-CN"/>
        </w:rPr>
        <w:t xml:space="preserve">and an alternative pathway (followed partly due to the Project intervention) </w:t>
      </w:r>
      <w:r w:rsidR="00725023" w:rsidRPr="00666B27">
        <w:rPr>
          <w:rFonts w:cs="Arial"/>
          <w:noProof/>
          <w:szCs w:val="20"/>
          <w:lang w:val="en-GB" w:eastAsia="zh-CN"/>
        </w:rPr>
        <w:t>which increased</w:t>
      </w:r>
      <w:r w:rsidR="002867FD" w:rsidRPr="00666B27">
        <w:rPr>
          <w:rFonts w:cs="Arial"/>
          <w:noProof/>
          <w:szCs w:val="20"/>
          <w:lang w:val="en-GB" w:eastAsia="zh-CN"/>
        </w:rPr>
        <w:t xml:space="preserve"> purchase or investmen</w:t>
      </w:r>
      <w:r w:rsidR="00E236DA" w:rsidRPr="00666B27">
        <w:rPr>
          <w:rFonts w:cs="Arial"/>
          <w:noProof/>
          <w:szCs w:val="20"/>
          <w:lang w:val="en-GB" w:eastAsia="zh-CN"/>
        </w:rPr>
        <w:t>ts</w:t>
      </w:r>
      <w:r w:rsidR="002867FD" w:rsidRPr="00666B27">
        <w:rPr>
          <w:rFonts w:cs="Arial"/>
          <w:noProof/>
          <w:szCs w:val="20"/>
          <w:lang w:val="en-GB" w:eastAsia="zh-CN"/>
        </w:rPr>
        <w:t xml:space="preserve"> in more high-efficiency products. </w:t>
      </w:r>
      <w:r w:rsidR="00D15718" w:rsidRPr="00666B27">
        <w:rPr>
          <w:rFonts w:cs="Arial"/>
          <w:noProof/>
          <w:szCs w:val="20"/>
          <w:lang w:val="en-GB" w:eastAsia="zh-CN"/>
        </w:rPr>
        <w:t xml:space="preserve"> The</w:t>
      </w:r>
      <w:r w:rsidR="00E236DA" w:rsidRPr="00666B27">
        <w:rPr>
          <w:rFonts w:cs="Arial"/>
          <w:noProof/>
          <w:szCs w:val="20"/>
          <w:lang w:val="en-GB" w:eastAsia="zh-CN"/>
        </w:rPr>
        <w:t xml:space="preserve">se </w:t>
      </w:r>
      <w:r w:rsidR="00D15718" w:rsidRPr="00666B27">
        <w:rPr>
          <w:rFonts w:cs="Arial"/>
          <w:noProof/>
          <w:szCs w:val="20"/>
          <w:lang w:val="en-GB" w:eastAsia="zh-CN"/>
        </w:rPr>
        <w:t xml:space="preserve">are based on detailed market growth assessment of </w:t>
      </w:r>
      <w:r w:rsidR="00E236DA" w:rsidRPr="00666B27">
        <w:rPr>
          <w:rFonts w:cs="Arial"/>
          <w:noProof/>
          <w:szCs w:val="20"/>
          <w:lang w:val="en-GB" w:eastAsia="zh-CN"/>
        </w:rPr>
        <w:t xml:space="preserve">the </w:t>
      </w:r>
      <w:r w:rsidR="00D15718" w:rsidRPr="00666B27">
        <w:rPr>
          <w:rFonts w:cs="Arial"/>
          <w:noProof/>
          <w:szCs w:val="20"/>
          <w:lang w:val="en-GB" w:eastAsia="zh-CN"/>
        </w:rPr>
        <w:t>different type</w:t>
      </w:r>
      <w:r w:rsidR="00E236DA" w:rsidRPr="00666B27">
        <w:rPr>
          <w:rFonts w:cs="Arial"/>
          <w:noProof/>
          <w:szCs w:val="20"/>
          <w:lang w:val="en-GB" w:eastAsia="zh-CN"/>
        </w:rPr>
        <w:t>s</w:t>
      </w:r>
      <w:r w:rsidR="00D15718" w:rsidRPr="00666B27">
        <w:rPr>
          <w:rFonts w:cs="Arial"/>
          <w:noProof/>
          <w:szCs w:val="20"/>
          <w:lang w:val="en-GB" w:eastAsia="zh-CN"/>
        </w:rPr>
        <w:t xml:space="preserve"> of lighting products</w:t>
      </w:r>
      <w:r w:rsidR="00725023" w:rsidRPr="00666B27">
        <w:rPr>
          <w:rFonts w:cs="Arial"/>
          <w:noProof/>
          <w:szCs w:val="20"/>
          <w:lang w:val="en-GB" w:eastAsia="zh-CN"/>
        </w:rPr>
        <w:t xml:space="preserve"> and their energy consumption, presented in detail in Annex </w:t>
      </w:r>
      <w:r w:rsidR="00261972" w:rsidRPr="00666B27">
        <w:rPr>
          <w:rFonts w:cs="Arial"/>
          <w:noProof/>
          <w:szCs w:val="20"/>
          <w:lang w:val="en-GB" w:eastAsia="zh-CN"/>
        </w:rPr>
        <w:t>F</w:t>
      </w:r>
      <w:r w:rsidR="00725023" w:rsidRPr="00666B27">
        <w:rPr>
          <w:rFonts w:cs="Arial"/>
          <w:noProof/>
          <w:szCs w:val="20"/>
          <w:lang w:val="en-GB" w:eastAsia="zh-CN"/>
        </w:rPr>
        <w:t xml:space="preserve">.  </w:t>
      </w:r>
    </w:p>
    <w:p w:rsidR="00725023" w:rsidRPr="00666B27" w:rsidRDefault="00725023" w:rsidP="009B20C5">
      <w:pPr>
        <w:spacing w:after="0"/>
        <w:rPr>
          <w:rFonts w:cs="Arial"/>
          <w:noProof/>
          <w:szCs w:val="20"/>
          <w:lang w:val="en-GB" w:eastAsia="zh-CN"/>
        </w:rPr>
      </w:pPr>
    </w:p>
    <w:p w:rsidR="00725023" w:rsidRPr="00666B27" w:rsidRDefault="00725023" w:rsidP="009B20C5">
      <w:pPr>
        <w:spacing w:after="0"/>
        <w:rPr>
          <w:rFonts w:cs="Arial"/>
          <w:noProof/>
          <w:szCs w:val="20"/>
          <w:lang w:val="en-GB" w:eastAsia="zh-CN"/>
        </w:rPr>
      </w:pPr>
      <w:r w:rsidRPr="00666B27">
        <w:rPr>
          <w:rFonts w:cs="Arial"/>
          <w:noProof/>
          <w:szCs w:val="20"/>
          <w:lang w:val="en-GB" w:eastAsia="zh-CN"/>
        </w:rPr>
        <w:t xml:space="preserve">A similar baseline-alternative </w:t>
      </w:r>
      <w:r w:rsidR="00E236DA" w:rsidRPr="00666B27">
        <w:rPr>
          <w:rFonts w:cs="Arial"/>
          <w:noProof/>
          <w:szCs w:val="20"/>
          <w:lang w:val="en-GB" w:eastAsia="zh-CN"/>
        </w:rPr>
        <w:t>assessment</w:t>
      </w:r>
      <w:r w:rsidRPr="00666B27">
        <w:rPr>
          <w:rFonts w:cs="Arial"/>
          <w:noProof/>
          <w:szCs w:val="20"/>
          <w:lang w:val="en-GB" w:eastAsia="zh-CN"/>
        </w:rPr>
        <w:t xml:space="preserve"> was carried out by U4E and en.lighten for lighting, refrigerators, air-conditioners, transformers, and electric motors, in which the savings are calculated in a </w:t>
      </w:r>
      <w:r w:rsidR="00611D0F" w:rsidRPr="00666B27">
        <w:rPr>
          <w:rFonts w:cs="Arial"/>
          <w:noProof/>
          <w:szCs w:val="20"/>
          <w:lang w:val="en-GB" w:eastAsia="zh-CN"/>
        </w:rPr>
        <w:t>Policy</w:t>
      </w:r>
      <w:r w:rsidRPr="00666B27">
        <w:rPr>
          <w:rFonts w:cs="Arial"/>
          <w:noProof/>
          <w:szCs w:val="20"/>
          <w:lang w:val="en-GB" w:eastAsia="zh-CN"/>
        </w:rPr>
        <w:t xml:space="preserve"> scenario (based on ‘best current’ global MEPS) and a more aggressive BAT scenario (‘current best available technology’).  The estimates of impacts </w:t>
      </w:r>
      <w:r w:rsidR="00611D0F" w:rsidRPr="00666B27">
        <w:rPr>
          <w:rFonts w:cs="Arial"/>
          <w:noProof/>
          <w:szCs w:val="20"/>
          <w:lang w:val="en-GB" w:eastAsia="zh-CN"/>
        </w:rPr>
        <w:t xml:space="preserve">combined </w:t>
      </w:r>
      <w:r w:rsidRPr="00666B27">
        <w:rPr>
          <w:rFonts w:cs="Arial"/>
          <w:noProof/>
          <w:szCs w:val="20"/>
          <w:lang w:val="en-GB" w:eastAsia="zh-CN"/>
        </w:rPr>
        <w:t>for lighting and distribution presented in this Project Document (see Annex E) of energy savings of 1</w:t>
      </w:r>
      <w:r w:rsidR="00611D0F" w:rsidRPr="00666B27">
        <w:rPr>
          <w:rFonts w:cs="Arial"/>
          <w:noProof/>
          <w:szCs w:val="20"/>
          <w:lang w:val="en-GB" w:eastAsia="zh-CN"/>
        </w:rPr>
        <w:t>29</w:t>
      </w:r>
      <w:r w:rsidRPr="00666B27">
        <w:rPr>
          <w:rFonts w:cs="Arial"/>
          <w:noProof/>
          <w:szCs w:val="20"/>
          <w:lang w:val="en-GB" w:eastAsia="zh-CN"/>
        </w:rPr>
        <w:t xml:space="preserve"> TWh and reduced </w:t>
      </w:r>
      <w:r w:rsidR="003A2690">
        <w:rPr>
          <w:noProof/>
        </w:rPr>
        <w:lastRenderedPageBreak/>
        <mc:AlternateContent>
          <mc:Choice Requires="wps">
            <w:drawing>
              <wp:anchor distT="0" distB="0" distL="114300" distR="114300" simplePos="0" relativeHeight="251657216" behindDoc="0" locked="0" layoutInCell="1" allowOverlap="1">
                <wp:simplePos x="0" y="0"/>
                <wp:positionH relativeFrom="margin">
                  <wp:align>left</wp:align>
                </wp:positionH>
                <wp:positionV relativeFrom="page">
                  <wp:posOffset>1066800</wp:posOffset>
                </wp:positionV>
                <wp:extent cx="6332220" cy="2153920"/>
                <wp:effectExtent l="0" t="0" r="0" b="0"/>
                <wp:wrapTopAndBottom/>
                <wp:docPr id="6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32220" cy="2153920"/>
                        </a:xfrm>
                        <a:prstGeom prst="rect">
                          <a:avLst/>
                        </a:prstGeom>
                        <a:noFill/>
                        <a:ln w="6350">
                          <a:noFill/>
                        </a:ln>
                      </wps:spPr>
                      <wps:txbx>
                        <w:txbxContent>
                          <w:p w:rsidR="00540FEA" w:rsidRPr="00FE16BA" w:rsidRDefault="00540FEA" w:rsidP="002867FD">
                            <w:pPr>
                              <w:rPr>
                                <w:b/>
                                <w:lang w:val="en-GB" w:eastAsia="en-GB"/>
                              </w:rPr>
                            </w:pPr>
                            <w:bookmarkStart w:id="143" w:name="_Toc179835"/>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11</w:t>
                            </w:r>
                            <w:r w:rsidRPr="00FE16BA">
                              <w:rPr>
                                <w:rFonts w:ascii="Arial" w:hAnsi="Arial" w:cs="Arial"/>
                                <w:b/>
                                <w:color w:val="2E74B5"/>
                                <w:sz w:val="18"/>
                                <w:lang w:val="en-GB"/>
                              </w:rPr>
                              <w:fldChar w:fldCharType="end"/>
                            </w:r>
                            <w:r w:rsidRPr="00FE16BA">
                              <w:rPr>
                                <w:rFonts w:ascii="Arial" w:hAnsi="Arial" w:cs="Arial"/>
                                <w:b/>
                                <w:color w:val="2E74B5"/>
                                <w:sz w:val="18"/>
                                <w:lang w:val="en-GB"/>
                              </w:rPr>
                              <w:tab/>
                              <w:t>Summary of direct greenhouse gas emission reduction</w:t>
                            </w:r>
                            <w:bookmarkEnd w:id="143"/>
                            <w:r w:rsidRPr="00FE16BA">
                              <w:rPr>
                                <w:rFonts w:ascii="Arial" w:hAnsi="Arial" w:cs="Arial"/>
                                <w:b/>
                                <w:color w:val="2E74B5"/>
                                <w:sz w:val="18"/>
                                <w:lang w:val="en-GB"/>
                              </w:rPr>
                              <w:t xml:space="preserve"> </w:t>
                            </w:r>
                          </w:p>
                          <w:p w:rsidR="00540FEA" w:rsidRPr="00FE16BA" w:rsidRDefault="00540FEA" w:rsidP="002867FD">
                            <w:pPr>
                              <w:rPr>
                                <w:lang w:val="en-GB" w:eastAsia="en-GB"/>
                              </w:rPr>
                            </w:pPr>
                            <w:r>
                              <w:rPr>
                                <w:lang w:val="en-GB" w:eastAsia="en-GB"/>
                              </w:rPr>
                              <w:object w:dxaOrig="10246" w:dyaOrig="2561">
                                <v:shape id="_x0000_i1028" type="#_x0000_t75" style="width:457.5pt;height:114.35pt" o:ole="">
                                  <v:imagedata r:id="rId67" o:title=""/>
                                </v:shape>
                                <o:OLEObject Type="Embed" ProgID="Excel.Sheet.12" ShapeID="_x0000_i1028" DrawAspect="Content" ObjectID="_1641123698" r:id="rId68"/>
                              </w:object>
                            </w:r>
                          </w:p>
                          <w:p w:rsidR="00540FEA" w:rsidRPr="00F4042B" w:rsidRDefault="00540FEA" w:rsidP="002867FD">
                            <w:pPr>
                              <w:rPr>
                                <w:rFonts w:cs="Calibri"/>
                                <w:sz w:val="18"/>
                                <w:szCs w:val="20"/>
                                <w:u w:val="single"/>
                                <w:lang w:val="en-GB" w:eastAsia="en-GB"/>
                              </w:rPr>
                            </w:pPr>
                            <w:r w:rsidRPr="00F4042B">
                              <w:rPr>
                                <w:rFonts w:cs="Calibri"/>
                                <w:i/>
                                <w:sz w:val="18"/>
                                <w:szCs w:val="20"/>
                                <w:lang w:val="en-GB" w:eastAsia="en-GB"/>
                              </w:rPr>
                              <w:t xml:space="preserve">Notes: </w:t>
                            </w:r>
                            <w:r w:rsidRPr="00F4042B">
                              <w:rPr>
                                <w:rFonts w:cs="Calibri"/>
                                <w:sz w:val="18"/>
                                <w:szCs w:val="20"/>
                                <w:lang w:val="en-GB" w:eastAsia="en-GB"/>
                              </w:rPr>
                              <w:t xml:space="preserve">Based on UNEP/U4E </w:t>
                            </w:r>
                            <w:r w:rsidRPr="00F4042B">
                              <w:rPr>
                                <w:rFonts w:cs="Calibri"/>
                                <w:i/>
                                <w:sz w:val="18"/>
                                <w:szCs w:val="20"/>
                                <w:lang w:val="en-GB" w:eastAsia="en-GB"/>
                              </w:rPr>
                              <w:t xml:space="preserve">South Africa, Country Assessment </w:t>
                            </w:r>
                            <w:r w:rsidRPr="00F4042B">
                              <w:rPr>
                                <w:rFonts w:cs="Calibri"/>
                                <w:sz w:val="18"/>
                                <w:szCs w:val="20"/>
                                <w:lang w:val="en-GB" w:eastAsia="en-GB"/>
                              </w:rPr>
                              <w:t>sheet</w:t>
                            </w:r>
                            <w:r w:rsidRPr="00F4042B">
                              <w:rPr>
                                <w:rFonts w:cs="Calibri"/>
                                <w:i/>
                                <w:sz w:val="18"/>
                                <w:szCs w:val="20"/>
                                <w:lang w:val="en-GB" w:eastAsia="en-GB"/>
                              </w:rPr>
                              <w:t xml:space="preserve"> </w:t>
                            </w:r>
                            <w:r w:rsidRPr="00F4042B">
                              <w:rPr>
                                <w:rFonts w:cs="Calibri"/>
                                <w:sz w:val="18"/>
                                <w:szCs w:val="20"/>
                                <w:lang w:val="en-GB" w:eastAsia="en-GB"/>
                              </w:rPr>
                              <w:t xml:space="preserve">(2016), for assumptions and data sources, see  http://united4efficiency.org/countries/country-assessments/ </w:t>
                            </w:r>
                          </w:p>
                          <w:p w:rsidR="00540FEA" w:rsidRPr="00F737AD" w:rsidRDefault="00540FEA" w:rsidP="00956810">
                            <w:pPr>
                              <w:rPr>
                                <w:rFonts w:cs="Calibri"/>
                                <w:szCs w:val="20"/>
                                <w:lang w:val="en-GB" w:eastAsia="en-GB"/>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26" o:spid="_x0000_s1031" type="#_x0000_t202" style="position:absolute;left:0;text-align:left;margin-left:0;margin-top:84pt;width:498.6pt;height:169.6pt;z-index:251657216;visibility:visible;mso-wrap-style:non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" filled="f" stroked="f" strokeweight=".5pt">
                <v:textbox>
                  <w:txbxContent>
                    <w:p w:rsidR="00540FEA" w:rsidRPr="00FE16BA" w:rsidRDefault="00540FEA" w:rsidP="002867FD">
                      <w:pPr>
                        <w:rPr>
                          <w:b/>
                          <w:lang w:val="en-GB" w:eastAsia="en-GB"/>
                        </w:rPr>
                      </w:pPr>
                      <w:bookmarkStart w:id="163" w:name="_Toc179835"/>
                      <w:r w:rsidRPr="00FE16BA">
                        <w:rPr>
                          <w:rFonts w:ascii="Arial" w:hAnsi="Arial" w:cs="Arial"/>
                          <w:b/>
                          <w:color w:val="2E74B5"/>
                          <w:sz w:val="18"/>
                          <w:lang w:val="en-GB"/>
                        </w:rPr>
                        <w:t xml:space="preserve">Box </w:t>
                      </w:r>
                      <w:r w:rsidRPr="00FE16BA">
                        <w:rPr>
                          <w:rFonts w:ascii="Arial" w:hAnsi="Arial" w:cs="Arial"/>
                          <w:b/>
                          <w:color w:val="2E74B5"/>
                          <w:sz w:val="18"/>
                          <w:lang w:val="en-GB"/>
                        </w:rPr>
                        <w:fldChar w:fldCharType="begin"/>
                      </w:r>
                      <w:r w:rsidRPr="00FE16BA">
                        <w:rPr>
                          <w:rFonts w:ascii="Arial" w:hAnsi="Arial" w:cs="Arial"/>
                          <w:b/>
                          <w:color w:val="2E74B5"/>
                          <w:sz w:val="18"/>
                          <w:lang w:val="en-GB"/>
                        </w:rPr>
                        <w:instrText xml:space="preserve"> SEQ Box \* ARABIC </w:instrText>
                      </w:r>
                      <w:r w:rsidRPr="00FE16BA">
                        <w:rPr>
                          <w:rFonts w:ascii="Arial" w:hAnsi="Arial" w:cs="Arial"/>
                          <w:b/>
                          <w:color w:val="2E74B5"/>
                          <w:sz w:val="18"/>
                          <w:lang w:val="en-GB"/>
                        </w:rPr>
                        <w:fldChar w:fldCharType="separate"/>
                      </w:r>
                      <w:r>
                        <w:rPr>
                          <w:rFonts w:ascii="Arial" w:hAnsi="Arial" w:cs="Arial"/>
                          <w:b/>
                          <w:noProof/>
                          <w:color w:val="2E74B5"/>
                          <w:sz w:val="18"/>
                          <w:lang w:val="en-GB"/>
                        </w:rPr>
                        <w:t>11</w:t>
                      </w:r>
                      <w:r w:rsidRPr="00FE16BA">
                        <w:rPr>
                          <w:rFonts w:ascii="Arial" w:hAnsi="Arial" w:cs="Arial"/>
                          <w:b/>
                          <w:color w:val="2E74B5"/>
                          <w:sz w:val="18"/>
                          <w:lang w:val="en-GB"/>
                        </w:rPr>
                        <w:fldChar w:fldCharType="end"/>
                      </w:r>
                      <w:r w:rsidRPr="00FE16BA">
                        <w:rPr>
                          <w:rFonts w:ascii="Arial" w:hAnsi="Arial" w:cs="Arial"/>
                          <w:b/>
                          <w:color w:val="2E74B5"/>
                          <w:sz w:val="18"/>
                          <w:lang w:val="en-GB"/>
                        </w:rPr>
                        <w:tab/>
                        <w:t>Summary of direct greenhouse gas emission reduction</w:t>
                      </w:r>
                      <w:bookmarkEnd w:id="163"/>
                      <w:r w:rsidRPr="00FE16BA">
                        <w:rPr>
                          <w:rFonts w:ascii="Arial" w:hAnsi="Arial" w:cs="Arial"/>
                          <w:b/>
                          <w:color w:val="2E74B5"/>
                          <w:sz w:val="18"/>
                          <w:lang w:val="en-GB"/>
                        </w:rPr>
                        <w:t xml:space="preserve"> </w:t>
                      </w:r>
                    </w:p>
                    <w:p w:rsidR="00540FEA" w:rsidRPr="00FE16BA" w:rsidRDefault="00540FEA" w:rsidP="002867FD">
                      <w:pPr>
                        <w:rPr>
                          <w:lang w:val="en-GB" w:eastAsia="en-GB"/>
                        </w:rPr>
                      </w:pPr>
                      <w:r>
                        <w:rPr>
                          <w:lang w:val="en-GB" w:eastAsia="en-GB"/>
                        </w:rPr>
                        <w:object w:dxaOrig="10246" w:dyaOrig="2561">
                          <v:shape id="_x0000_i1028" type="#_x0000_t75" style="width:457.5pt;height:114.35pt" o:ole="">
                            <v:imagedata r:id="rId69" o:title=""/>
                          </v:shape>
                          <o:OLEObject Type="Embed" ProgID="Excel.Sheet.12" ShapeID="_x0000_i1028" DrawAspect="Content" ObjectID="_1637756603" r:id="rId70"/>
                        </w:object>
                      </w:r>
                    </w:p>
                    <w:p w:rsidR="00540FEA" w:rsidRPr="00F4042B" w:rsidRDefault="00540FEA" w:rsidP="002867FD">
                      <w:pPr>
                        <w:rPr>
                          <w:rFonts w:cs="Calibri"/>
                          <w:sz w:val="18"/>
                          <w:szCs w:val="20"/>
                          <w:u w:val="single"/>
                          <w:lang w:val="en-GB" w:eastAsia="en-GB"/>
                        </w:rPr>
                      </w:pPr>
                      <w:r w:rsidRPr="00F4042B">
                        <w:rPr>
                          <w:rFonts w:cs="Calibri"/>
                          <w:i/>
                          <w:sz w:val="18"/>
                          <w:szCs w:val="20"/>
                          <w:lang w:val="en-GB" w:eastAsia="en-GB"/>
                        </w:rPr>
                        <w:t xml:space="preserve">Notes: </w:t>
                      </w:r>
                      <w:r w:rsidRPr="00F4042B">
                        <w:rPr>
                          <w:rFonts w:cs="Calibri"/>
                          <w:sz w:val="18"/>
                          <w:szCs w:val="20"/>
                          <w:lang w:val="en-GB" w:eastAsia="en-GB"/>
                        </w:rPr>
                        <w:t xml:space="preserve">Based on UNEP/U4E </w:t>
                      </w:r>
                      <w:r w:rsidRPr="00F4042B">
                        <w:rPr>
                          <w:rFonts w:cs="Calibri"/>
                          <w:i/>
                          <w:sz w:val="18"/>
                          <w:szCs w:val="20"/>
                          <w:lang w:val="en-GB" w:eastAsia="en-GB"/>
                        </w:rPr>
                        <w:t xml:space="preserve">South Africa, Country Assessment </w:t>
                      </w:r>
                      <w:r w:rsidRPr="00F4042B">
                        <w:rPr>
                          <w:rFonts w:cs="Calibri"/>
                          <w:sz w:val="18"/>
                          <w:szCs w:val="20"/>
                          <w:lang w:val="en-GB" w:eastAsia="en-GB"/>
                        </w:rPr>
                        <w:t>sheet</w:t>
                      </w:r>
                      <w:r w:rsidRPr="00F4042B">
                        <w:rPr>
                          <w:rFonts w:cs="Calibri"/>
                          <w:i/>
                          <w:sz w:val="18"/>
                          <w:szCs w:val="20"/>
                          <w:lang w:val="en-GB" w:eastAsia="en-GB"/>
                        </w:rPr>
                        <w:t xml:space="preserve"> </w:t>
                      </w:r>
                      <w:r w:rsidRPr="00F4042B">
                        <w:rPr>
                          <w:rFonts w:cs="Calibri"/>
                          <w:sz w:val="18"/>
                          <w:szCs w:val="20"/>
                          <w:lang w:val="en-GB" w:eastAsia="en-GB"/>
                        </w:rPr>
                        <w:t xml:space="preserve">(2016), for assumptions and data sources, see  http://united4efficiency.org/countries/country-assessments/ </w:t>
                      </w:r>
                    </w:p>
                    <w:p w:rsidR="00540FEA" w:rsidRPr="00F737AD" w:rsidRDefault="00540FEA" w:rsidP="00956810">
                      <w:pPr>
                        <w:rPr>
                          <w:rFonts w:cs="Calibri"/>
                          <w:szCs w:val="20"/>
                          <w:lang w:val="en-GB" w:eastAsia="en-GB"/>
                        </w:rPr>
                      </w:pPr>
                    </w:p>
                  </w:txbxContent>
                </v:textbox>
                <w10:wrap type="topAndBottom" anchorx="margin" anchory="page"/>
              </v:shape>
            </w:pict>
          </mc:Fallback>
        </mc:AlternateContent>
      </w:r>
      <w:r w:rsidR="00611D0F" w:rsidRPr="00666B27">
        <w:rPr>
          <w:rFonts w:cs="Arial"/>
          <w:noProof/>
          <w:szCs w:val="20"/>
          <w:lang w:val="en-GB" w:eastAsia="zh-CN"/>
        </w:rPr>
        <w:t xml:space="preserve">lifetime </w:t>
      </w:r>
      <w:r w:rsidRPr="00666B27">
        <w:rPr>
          <w:rFonts w:cs="Arial"/>
          <w:noProof/>
          <w:szCs w:val="20"/>
          <w:lang w:val="en-GB" w:eastAsia="zh-CN"/>
        </w:rPr>
        <w:t>GHG emission</w:t>
      </w:r>
      <w:r w:rsidR="00611D0F" w:rsidRPr="00666B27">
        <w:rPr>
          <w:rFonts w:cs="Arial"/>
          <w:noProof/>
          <w:szCs w:val="20"/>
          <w:lang w:val="en-GB" w:eastAsia="zh-CN"/>
        </w:rPr>
        <w:t xml:space="preserve"> of </w:t>
      </w:r>
      <w:r w:rsidRPr="00666B27">
        <w:rPr>
          <w:rFonts w:cs="Arial"/>
          <w:noProof/>
          <w:szCs w:val="20"/>
          <w:lang w:val="en-GB" w:eastAsia="zh-CN"/>
        </w:rPr>
        <w:t xml:space="preserve"> </w:t>
      </w:r>
      <w:r w:rsidR="00611D0F" w:rsidRPr="00666B27">
        <w:rPr>
          <w:rFonts w:cs="Arial"/>
          <w:noProof/>
          <w:szCs w:val="20"/>
          <w:lang w:val="en-GB" w:eastAsia="zh-CN"/>
        </w:rPr>
        <w:t>117 MtCO</w:t>
      </w:r>
      <w:r w:rsidR="00611D0F" w:rsidRPr="00666B27">
        <w:rPr>
          <w:rFonts w:cs="Arial"/>
          <w:noProof/>
          <w:szCs w:val="20"/>
          <w:vertAlign w:val="subscript"/>
          <w:lang w:val="en-GB" w:eastAsia="zh-CN"/>
        </w:rPr>
        <w:t>2</w:t>
      </w:r>
      <w:r w:rsidR="00611D0F" w:rsidRPr="00666B27">
        <w:rPr>
          <w:rFonts w:cs="Arial"/>
          <w:noProof/>
          <w:szCs w:val="20"/>
          <w:lang w:val="en-GB" w:eastAsia="zh-CN"/>
        </w:rPr>
        <w:t xml:space="preserve"> over 2019-2030 </w:t>
      </w:r>
      <w:r w:rsidRPr="00666B27">
        <w:rPr>
          <w:rFonts w:cs="Arial"/>
          <w:noProof/>
          <w:szCs w:val="20"/>
          <w:lang w:val="en-GB" w:eastAsia="zh-CN"/>
        </w:rPr>
        <w:t>correspond</w:t>
      </w:r>
      <w:r w:rsidR="00A77F0E">
        <w:rPr>
          <w:rFonts w:cs="Arial"/>
          <w:noProof/>
          <w:szCs w:val="20"/>
          <w:lang w:val="en-GB" w:eastAsia="zh-CN"/>
        </w:rPr>
        <w:t xml:space="preserve"> </w:t>
      </w:r>
      <w:r w:rsidRPr="00666B27">
        <w:rPr>
          <w:rFonts w:cs="Arial"/>
          <w:noProof/>
          <w:szCs w:val="20"/>
          <w:lang w:val="en-GB" w:eastAsia="zh-CN"/>
        </w:rPr>
        <w:t>with the esti</w:t>
      </w:r>
      <w:r w:rsidR="00611D0F" w:rsidRPr="00666B27">
        <w:rPr>
          <w:rFonts w:cs="Arial"/>
          <w:noProof/>
          <w:szCs w:val="20"/>
          <w:lang w:val="en-GB" w:eastAsia="zh-CN"/>
        </w:rPr>
        <w:t xml:space="preserve">mates of impacts in the U4E Policy scenario </w:t>
      </w:r>
      <w:r w:rsidR="00611D0F" w:rsidRPr="0057545E">
        <w:rPr>
          <w:rFonts w:cs="Arial"/>
          <w:noProof/>
          <w:szCs w:val="20"/>
          <w:lang w:val="en-GB" w:eastAsia="zh-CN"/>
        </w:rPr>
        <w:t>with energy savings of 120 TWh and lifetime CO</w:t>
      </w:r>
      <w:r w:rsidR="00611D0F" w:rsidRPr="0057545E">
        <w:rPr>
          <w:rFonts w:cs="Arial"/>
          <w:noProof/>
          <w:szCs w:val="20"/>
          <w:vertAlign w:val="subscript"/>
          <w:lang w:val="en-GB" w:eastAsia="zh-CN"/>
        </w:rPr>
        <w:t>2</w:t>
      </w:r>
      <w:r w:rsidR="00611D0F" w:rsidRPr="00353542">
        <w:rPr>
          <w:rFonts w:cs="Arial"/>
          <w:noProof/>
          <w:szCs w:val="20"/>
          <w:lang w:val="en-GB" w:eastAsia="zh-CN"/>
        </w:rPr>
        <w:t xml:space="preserve"> emission reduction of 116 MtCO</w:t>
      </w:r>
      <w:r w:rsidR="00611D0F" w:rsidRPr="00353542">
        <w:rPr>
          <w:rFonts w:cs="Arial"/>
          <w:noProof/>
          <w:szCs w:val="20"/>
          <w:vertAlign w:val="subscript"/>
          <w:lang w:val="en-GB" w:eastAsia="zh-CN"/>
        </w:rPr>
        <w:t>2</w:t>
      </w:r>
      <w:r w:rsidR="00611D0F" w:rsidRPr="003B7D62">
        <w:rPr>
          <w:rFonts w:cs="Arial"/>
          <w:noProof/>
          <w:szCs w:val="20"/>
          <w:lang w:val="en-GB" w:eastAsia="zh-CN"/>
        </w:rPr>
        <w:t xml:space="preserve"> over the period 2020-2030.</w:t>
      </w:r>
      <w:r w:rsidR="005110EC" w:rsidRPr="003B7D62">
        <w:rPr>
          <w:rFonts w:cs="Arial"/>
          <w:noProof/>
          <w:szCs w:val="20"/>
          <w:lang w:val="en-GB" w:eastAsia="zh-CN"/>
        </w:rPr>
        <w:t xml:space="preserve"> </w:t>
      </w:r>
      <w:r w:rsidR="00261972" w:rsidRPr="003B7D62">
        <w:rPr>
          <w:rFonts w:cs="Arial"/>
          <w:noProof/>
          <w:szCs w:val="20"/>
          <w:lang w:val="en-GB" w:eastAsia="zh-CN"/>
        </w:rPr>
        <w:t>The</w:t>
      </w:r>
      <w:r w:rsidR="00611D0F" w:rsidRPr="003B7D62">
        <w:rPr>
          <w:rFonts w:cs="Arial"/>
          <w:noProof/>
          <w:szCs w:val="20"/>
          <w:lang w:val="en-GB" w:eastAsia="zh-CN"/>
        </w:rPr>
        <w:t xml:space="preserve"> direct emission reduction </w:t>
      </w:r>
      <w:r w:rsidR="00261972" w:rsidRPr="004722F0">
        <w:rPr>
          <w:rFonts w:cs="Arial"/>
          <w:noProof/>
          <w:szCs w:val="20"/>
          <w:lang w:val="en-GB" w:eastAsia="zh-CN"/>
        </w:rPr>
        <w:t>(</w:t>
      </w:r>
      <w:r w:rsidR="00611D0F" w:rsidRPr="00666B27">
        <w:rPr>
          <w:rFonts w:cs="Arial"/>
          <w:noProof/>
          <w:szCs w:val="20"/>
          <w:lang w:val="en-GB" w:eastAsia="zh-CN"/>
        </w:rPr>
        <w:t>influ</w:t>
      </w:r>
      <w:r w:rsidR="00E236DA" w:rsidRPr="00666B27">
        <w:rPr>
          <w:rFonts w:cs="Arial"/>
          <w:noProof/>
          <w:szCs w:val="20"/>
          <w:lang w:val="en-GB" w:eastAsia="zh-CN"/>
        </w:rPr>
        <w:t>en</w:t>
      </w:r>
      <w:r w:rsidR="00611D0F" w:rsidRPr="00666B27">
        <w:rPr>
          <w:rFonts w:cs="Arial"/>
          <w:noProof/>
          <w:szCs w:val="20"/>
          <w:lang w:val="en-GB" w:eastAsia="zh-CN"/>
        </w:rPr>
        <w:t>ced by the Project</w:t>
      </w:r>
      <w:r w:rsidR="00261972" w:rsidRPr="00666B27">
        <w:rPr>
          <w:rFonts w:cs="Arial"/>
          <w:noProof/>
          <w:szCs w:val="20"/>
          <w:lang w:val="en-GB" w:eastAsia="zh-CN"/>
        </w:rPr>
        <w:t xml:space="preserve"> over 2019-23)</w:t>
      </w:r>
      <w:r w:rsidR="00611D0F" w:rsidRPr="00666B27">
        <w:rPr>
          <w:rFonts w:cs="Arial"/>
          <w:noProof/>
          <w:szCs w:val="20"/>
          <w:lang w:val="en-GB" w:eastAsia="zh-CN"/>
        </w:rPr>
        <w:t xml:space="preserve"> implies a GEF expenditure </w:t>
      </w:r>
      <w:r w:rsidR="005110EC" w:rsidRPr="00666B27">
        <w:rPr>
          <w:rFonts w:cs="Arial"/>
          <w:noProof/>
          <w:szCs w:val="20"/>
          <w:lang w:val="en-GB" w:eastAsia="zh-CN"/>
        </w:rPr>
        <w:t>of</w:t>
      </w:r>
      <w:r w:rsidR="00611D0F" w:rsidRPr="00666B27">
        <w:rPr>
          <w:rFonts w:cs="Arial"/>
          <w:noProof/>
          <w:szCs w:val="20"/>
          <w:lang w:val="en-GB" w:eastAsia="zh-CN"/>
        </w:rPr>
        <w:t xml:space="preserve"> under USD 0.19 per tonne of avoided CO</w:t>
      </w:r>
      <w:r w:rsidR="00611D0F" w:rsidRPr="00666B27">
        <w:rPr>
          <w:rFonts w:cs="Arial"/>
          <w:noProof/>
          <w:szCs w:val="20"/>
          <w:vertAlign w:val="subscript"/>
          <w:lang w:val="en-GB" w:eastAsia="zh-CN"/>
        </w:rPr>
        <w:t>2</w:t>
      </w:r>
      <w:r w:rsidR="00611D0F" w:rsidRPr="00666B27">
        <w:rPr>
          <w:rFonts w:cs="Arial"/>
          <w:noProof/>
          <w:szCs w:val="20"/>
          <w:lang w:val="en-GB" w:eastAsia="zh-CN"/>
        </w:rPr>
        <w:t xml:space="preserve"> emissions.</w:t>
      </w:r>
    </w:p>
    <w:p w:rsidR="005110EC" w:rsidRPr="00666B27" w:rsidRDefault="005110EC" w:rsidP="009B20C5">
      <w:pPr>
        <w:spacing w:after="0"/>
        <w:rPr>
          <w:rFonts w:cs="Arial"/>
          <w:noProof/>
          <w:szCs w:val="20"/>
          <w:lang w:val="en-GB" w:eastAsia="zh-CN"/>
        </w:rPr>
      </w:pPr>
    </w:p>
    <w:p w:rsidR="00CC68E2" w:rsidRPr="00666B27" w:rsidRDefault="00D624F3" w:rsidP="009B20C5">
      <w:pPr>
        <w:spacing w:after="0"/>
        <w:rPr>
          <w:rFonts w:cs="Arial"/>
          <w:noProof/>
          <w:szCs w:val="20"/>
          <w:lang w:val="en-GB" w:eastAsia="zh-CN"/>
        </w:rPr>
      </w:pPr>
      <w:r w:rsidRPr="00666B27">
        <w:rPr>
          <w:rFonts w:cs="Arial"/>
          <w:noProof/>
          <w:szCs w:val="20"/>
          <w:lang w:val="en-GB" w:eastAsia="zh-CN"/>
        </w:rPr>
        <w:t xml:space="preserve">Lighting devices are used at peak-load demand. By reducing the peak load, it will not only reduce the occurrence of blackouts but it will also reduce the peak-load generation, which is often the most expensive. By 2030, the peak load reduction of the alternative scenario over the baseline that is attributed to the Project’s (direct and direct) influence will be 223 MW. </w:t>
      </w:r>
    </w:p>
    <w:p w:rsidR="00AA612F" w:rsidRPr="00666B27" w:rsidRDefault="00AA612F" w:rsidP="009B20C5">
      <w:pPr>
        <w:spacing w:after="0"/>
        <w:rPr>
          <w:lang w:val="en-GB"/>
        </w:rPr>
      </w:pPr>
    </w:p>
    <w:p w:rsidR="00AA612F" w:rsidRPr="00F737AD" w:rsidRDefault="00AA612F" w:rsidP="00261972">
      <w:pPr>
        <w:spacing w:after="0"/>
        <w:rPr>
          <w:rFonts w:cs="Calibri"/>
          <w:szCs w:val="20"/>
          <w:lang w:val="en-GB"/>
        </w:rPr>
      </w:pPr>
      <w:r w:rsidRPr="00666B27">
        <w:rPr>
          <w:lang w:val="en-GB"/>
        </w:rPr>
        <w:t xml:space="preserve">Beyond the </w:t>
      </w:r>
      <w:r w:rsidRPr="00F737AD">
        <w:rPr>
          <w:rFonts w:cs="Calibri"/>
          <w:szCs w:val="20"/>
          <w:lang w:val="en-GB"/>
        </w:rPr>
        <w:t>greenhouse gas emission reductions that will be delivered through increased energy efficiency, the project offers further global and local environmental benefits. For each technology, the project will implement best practices in environmentally sound management:</w:t>
      </w:r>
    </w:p>
    <w:p w:rsidR="00AA612F" w:rsidRPr="00F737AD" w:rsidRDefault="00AA612F" w:rsidP="00261972">
      <w:pPr>
        <w:pStyle w:val="ListParagraph"/>
        <w:numPr>
          <w:ilvl w:val="0"/>
          <w:numId w:val="55"/>
        </w:numPr>
        <w:ind w:left="284" w:hanging="284"/>
        <w:jc w:val="both"/>
        <w:rPr>
          <w:rFonts w:ascii="Calibri" w:hAnsi="Calibri" w:cs="Calibri"/>
          <w:sz w:val="20"/>
          <w:szCs w:val="20"/>
          <w:lang w:val="en-GB"/>
        </w:rPr>
      </w:pPr>
      <w:r w:rsidRPr="00F737AD">
        <w:rPr>
          <w:rFonts w:ascii="Calibri" w:hAnsi="Calibri" w:cs="Calibri"/>
          <w:sz w:val="20"/>
          <w:szCs w:val="20"/>
          <w:lang w:val="en-GB"/>
        </w:rPr>
        <w:t xml:space="preserve">Old technology that is phased out and some efficient and advanced lighting technologies may contain hazardous substances, </w:t>
      </w:r>
      <w:proofErr w:type="gramStart"/>
      <w:r w:rsidRPr="00F737AD">
        <w:rPr>
          <w:rFonts w:ascii="Calibri" w:hAnsi="Calibri" w:cs="Calibri"/>
          <w:sz w:val="20"/>
          <w:szCs w:val="20"/>
          <w:lang w:val="en-GB"/>
        </w:rPr>
        <w:t>in particular mercury</w:t>
      </w:r>
      <w:proofErr w:type="gramEnd"/>
      <w:r w:rsidRPr="00F737AD">
        <w:rPr>
          <w:rFonts w:ascii="Calibri" w:hAnsi="Calibri" w:cs="Calibri"/>
          <w:sz w:val="20"/>
          <w:szCs w:val="20"/>
          <w:lang w:val="en-GB"/>
        </w:rPr>
        <w:t>. The project will continue to assist countries to plan collection and recycling programmes to ensure that mercury from spent lamps is not released into the environment and that lighting products classified as electronic waste are properly collected and recycled</w:t>
      </w:r>
      <w:r w:rsidR="00D624F3" w:rsidRPr="00F737AD">
        <w:rPr>
          <w:rFonts w:ascii="Calibri" w:hAnsi="Calibri" w:cs="Calibri"/>
          <w:sz w:val="20"/>
          <w:szCs w:val="20"/>
          <w:lang w:val="en-GB"/>
        </w:rPr>
        <w:t xml:space="preserve">. </w:t>
      </w:r>
    </w:p>
    <w:p w:rsidR="00AA612F" w:rsidRPr="00F737AD" w:rsidRDefault="00AA612F" w:rsidP="00261972">
      <w:pPr>
        <w:pStyle w:val="ListParagraph"/>
        <w:numPr>
          <w:ilvl w:val="0"/>
          <w:numId w:val="55"/>
        </w:numPr>
        <w:ind w:left="284" w:hanging="284"/>
        <w:jc w:val="both"/>
        <w:rPr>
          <w:rFonts w:ascii="Calibri" w:hAnsi="Calibri" w:cs="Calibri"/>
          <w:sz w:val="20"/>
          <w:szCs w:val="20"/>
          <w:lang w:val="en-GB"/>
        </w:rPr>
      </w:pPr>
      <w:r w:rsidRPr="00F737AD">
        <w:rPr>
          <w:rFonts w:ascii="Calibri" w:hAnsi="Calibri" w:cs="Calibri"/>
          <w:sz w:val="20"/>
          <w:szCs w:val="20"/>
          <w:lang w:val="en-GB"/>
        </w:rPr>
        <w:t xml:space="preserve">The Project will </w:t>
      </w:r>
      <w:r w:rsidR="00CC68E2" w:rsidRPr="00F737AD">
        <w:rPr>
          <w:rFonts w:ascii="Calibri" w:hAnsi="Calibri" w:cs="Calibri"/>
          <w:sz w:val="20"/>
          <w:szCs w:val="20"/>
          <w:lang w:val="en-GB"/>
        </w:rPr>
        <w:t>be supported</w:t>
      </w:r>
      <w:r w:rsidRPr="00F737AD">
        <w:rPr>
          <w:rFonts w:ascii="Calibri" w:hAnsi="Calibri" w:cs="Calibri"/>
          <w:sz w:val="20"/>
          <w:szCs w:val="20"/>
          <w:lang w:val="en-GB"/>
        </w:rPr>
        <w:t xml:space="preserve"> research and assessment of issues and options </w:t>
      </w:r>
      <w:r w:rsidR="00862DCF" w:rsidRPr="00F737AD">
        <w:rPr>
          <w:rFonts w:ascii="Calibri" w:hAnsi="Calibri" w:cs="Calibri"/>
          <w:sz w:val="20"/>
          <w:szCs w:val="20"/>
          <w:lang w:val="en-GB"/>
        </w:rPr>
        <w:t>regarding</w:t>
      </w:r>
      <w:r w:rsidRPr="00F737AD">
        <w:rPr>
          <w:rFonts w:ascii="Calibri" w:hAnsi="Calibri" w:cs="Calibri"/>
          <w:sz w:val="20"/>
          <w:szCs w:val="20"/>
          <w:lang w:val="en-GB"/>
        </w:rPr>
        <w:t xml:space="preserve"> the replacement of mineral oils used in certain type of transformers by vegetable oil. Old transformers may contain polychlorinated biphenyls (PCBs) and ensuring environmentally sound disposal of the PCBs</w:t>
      </w:r>
      <w:r w:rsidR="00CC68E2" w:rsidRPr="00F737AD">
        <w:rPr>
          <w:rFonts w:ascii="Calibri" w:hAnsi="Calibri" w:cs="Calibri"/>
          <w:sz w:val="20"/>
          <w:szCs w:val="20"/>
          <w:lang w:val="en-GB"/>
        </w:rPr>
        <w:t xml:space="preserve"> is dealt with in the DBSA/GEF project “Environmentally Sound Management and Disposal of PCBs”</w:t>
      </w:r>
      <w:r w:rsidR="00D624F3" w:rsidRPr="00F737AD">
        <w:rPr>
          <w:rFonts w:ascii="Calibri" w:hAnsi="Calibri" w:cs="Calibri"/>
          <w:sz w:val="20"/>
          <w:szCs w:val="20"/>
          <w:lang w:val="en-GB"/>
        </w:rPr>
        <w:t xml:space="preserve">. By 2030, the mercury in the lamping stock in the alternative scenario over the baseline that is attributed to the Project’s (direct and direct) influence will </w:t>
      </w:r>
      <w:r w:rsidR="00261972" w:rsidRPr="00F737AD">
        <w:rPr>
          <w:rFonts w:ascii="Calibri" w:hAnsi="Calibri" w:cs="Calibri"/>
          <w:sz w:val="20"/>
          <w:szCs w:val="20"/>
          <w:lang w:val="en-GB"/>
        </w:rPr>
        <w:t xml:space="preserve">be about </w:t>
      </w:r>
      <w:r w:rsidR="00D624F3" w:rsidRPr="00F737AD">
        <w:rPr>
          <w:rFonts w:ascii="Calibri" w:hAnsi="Calibri" w:cs="Calibri"/>
          <w:sz w:val="20"/>
          <w:szCs w:val="20"/>
          <w:lang w:val="en-GB"/>
        </w:rPr>
        <w:t>2.0 tons of mercury</w:t>
      </w:r>
      <w:r w:rsidR="00261972" w:rsidRPr="00F737AD">
        <w:rPr>
          <w:rFonts w:ascii="Calibri" w:hAnsi="Calibri" w:cs="Calibri"/>
          <w:sz w:val="20"/>
          <w:szCs w:val="20"/>
          <w:lang w:val="en-GB"/>
        </w:rPr>
        <w:t xml:space="preserve"> (see Annex F).</w:t>
      </w:r>
    </w:p>
    <w:bookmarkEnd w:id="142"/>
    <w:p w:rsidR="00AA612F" w:rsidRPr="00F737AD" w:rsidRDefault="00AA612F" w:rsidP="009B20C5">
      <w:pPr>
        <w:spacing w:after="0"/>
        <w:rPr>
          <w:rFonts w:cs="Calibri"/>
          <w:szCs w:val="20"/>
          <w:lang w:val="en-GB"/>
        </w:rPr>
      </w:pPr>
    </w:p>
    <w:p w:rsidR="00B57D82" w:rsidRPr="00666B27" w:rsidRDefault="004A400D" w:rsidP="00B57D82">
      <w:pPr>
        <w:pStyle w:val="Heading2"/>
      </w:pPr>
      <w:bookmarkStart w:id="144" w:name="_Toc340767"/>
      <w:r w:rsidRPr="00666B27">
        <w:t>Project management</w:t>
      </w:r>
      <w:bookmarkEnd w:id="144"/>
    </w:p>
    <w:p w:rsidR="00B57D82" w:rsidRPr="00666B27" w:rsidRDefault="00B57D82" w:rsidP="00B57D82">
      <w:pPr>
        <w:rPr>
          <w:lang w:val="en-GB" w:eastAsia="en-GB"/>
        </w:rPr>
      </w:pPr>
    </w:p>
    <w:p w:rsidR="00D624F3" w:rsidRPr="00666B27" w:rsidRDefault="00D624F3" w:rsidP="00D624F3">
      <w:pPr>
        <w:spacing w:after="0"/>
        <w:rPr>
          <w:rFonts w:cs="Arial"/>
          <w:noProof/>
          <w:szCs w:val="20"/>
          <w:u w:val="single"/>
          <w:lang w:val="en-GB" w:eastAsia="zh-CN"/>
        </w:rPr>
      </w:pPr>
      <w:r w:rsidRPr="00666B27">
        <w:rPr>
          <w:rFonts w:cs="Arial"/>
          <w:noProof/>
          <w:szCs w:val="20"/>
          <w:u w:val="single"/>
          <w:lang w:val="en-GB" w:eastAsia="zh-CN"/>
        </w:rPr>
        <w:t>Implementation arrangement</w:t>
      </w:r>
    </w:p>
    <w:p w:rsidR="00D624F3" w:rsidRPr="00666B27" w:rsidRDefault="00D624F3" w:rsidP="00261972">
      <w:pPr>
        <w:spacing w:before="60" w:after="0"/>
        <w:rPr>
          <w:rFonts w:cs="Arial"/>
          <w:noProof/>
          <w:szCs w:val="20"/>
          <w:lang w:val="en-GB" w:eastAsia="zh-CN"/>
        </w:rPr>
      </w:pPr>
      <w:r w:rsidRPr="00666B27">
        <w:rPr>
          <w:rFonts w:cs="Arial"/>
          <w:noProof/>
          <w:szCs w:val="20"/>
          <w:lang w:val="en-GB" w:eastAsia="zh-CN"/>
        </w:rPr>
        <w:t xml:space="preserve">The project management arrangement will be the National Implemented Modality (NIM). The Implementing Partner for this project is the DOE (Department of Energy). The overall governing body will be the </w:t>
      </w:r>
      <w:r w:rsidR="00261972" w:rsidRPr="00666B27">
        <w:rPr>
          <w:rFonts w:cs="Arial"/>
          <w:noProof/>
          <w:szCs w:val="20"/>
          <w:lang w:val="en-GB" w:eastAsia="zh-CN"/>
        </w:rPr>
        <w:t>Project</w:t>
      </w:r>
      <w:r w:rsidRPr="00666B27">
        <w:rPr>
          <w:rFonts w:cs="Arial"/>
          <w:noProof/>
          <w:szCs w:val="20"/>
          <w:lang w:val="en-GB" w:eastAsia="zh-CN"/>
        </w:rPr>
        <w:t xml:space="preserve"> Steering Committee</w:t>
      </w:r>
      <w:r w:rsidR="00261972" w:rsidRPr="00666B27">
        <w:rPr>
          <w:rFonts w:cs="Arial"/>
          <w:noProof/>
          <w:szCs w:val="20"/>
          <w:lang w:val="en-GB" w:eastAsia="zh-CN"/>
        </w:rPr>
        <w:t xml:space="preserve"> (PSC</w:t>
      </w:r>
      <w:r w:rsidRPr="00666B27">
        <w:rPr>
          <w:rFonts w:cs="Arial"/>
          <w:noProof/>
          <w:szCs w:val="20"/>
          <w:lang w:val="en-GB" w:eastAsia="zh-CN"/>
        </w:rPr>
        <w:t xml:space="preserve">) which will be a multi-stakeholder body, in which UNDP, DBSA, and a number of government entities will participate. A Project Management Unit will be established in Pretoria, likely to be at DOE’s premises. A Project Manager will be appointed to manage the project and report to the Project Board. Technical experts may be located to work in offices of participating municipalities. More details on the project management arrangements </w:t>
      </w:r>
      <w:r w:rsidR="00E236DA" w:rsidRPr="00666B27">
        <w:rPr>
          <w:rFonts w:cs="Arial"/>
          <w:noProof/>
          <w:szCs w:val="20"/>
          <w:lang w:val="en-GB" w:eastAsia="zh-CN"/>
        </w:rPr>
        <w:t>are</w:t>
      </w:r>
      <w:r w:rsidRPr="00666B27">
        <w:rPr>
          <w:rFonts w:cs="Arial"/>
          <w:noProof/>
          <w:szCs w:val="20"/>
          <w:lang w:val="en-GB" w:eastAsia="zh-CN"/>
        </w:rPr>
        <w:t xml:space="preserve"> given in Section 8.</w:t>
      </w:r>
    </w:p>
    <w:p w:rsidR="00DF2B11" w:rsidRPr="00666B27" w:rsidRDefault="00DF2B11" w:rsidP="00DF2B11">
      <w:pPr>
        <w:spacing w:after="0"/>
        <w:rPr>
          <w:rFonts w:eastAsia="Times New Roman" w:cs="Calibri"/>
          <w:iCs/>
          <w:noProof/>
          <w:szCs w:val="20"/>
          <w:lang w:val="en-GB"/>
        </w:rPr>
      </w:pPr>
    </w:p>
    <w:p w:rsidR="00D624F3" w:rsidRPr="00666B27" w:rsidRDefault="00D624F3" w:rsidP="00D624F3">
      <w:pPr>
        <w:spacing w:after="0"/>
        <w:rPr>
          <w:rFonts w:cs="Arial"/>
          <w:noProof/>
          <w:szCs w:val="20"/>
          <w:u w:val="single"/>
          <w:lang w:val="en-GB" w:eastAsia="zh-CN"/>
        </w:rPr>
      </w:pPr>
      <w:r w:rsidRPr="00666B27">
        <w:rPr>
          <w:rFonts w:cs="Arial"/>
          <w:noProof/>
          <w:szCs w:val="20"/>
          <w:u w:val="single"/>
          <w:lang w:val="en-GB" w:eastAsia="zh-CN"/>
        </w:rPr>
        <w:t>Risks and risks monitoring</w:t>
      </w:r>
    </w:p>
    <w:p w:rsidR="00D624F3" w:rsidRPr="00666B27" w:rsidRDefault="00D624F3" w:rsidP="00261972">
      <w:pPr>
        <w:spacing w:before="60" w:after="0"/>
        <w:rPr>
          <w:rFonts w:cs="Arial"/>
          <w:noProof/>
          <w:szCs w:val="20"/>
          <w:lang w:val="en-GB" w:eastAsia="zh-CN"/>
        </w:rPr>
      </w:pPr>
      <w:r w:rsidRPr="00666B27">
        <w:rPr>
          <w:rFonts w:cs="Arial"/>
          <w:noProof/>
          <w:szCs w:val="20"/>
          <w:lang w:val="en-GB" w:eastAsia="zh-CN"/>
        </w:rPr>
        <w:t xml:space="preserve">The risks that are shown Section 4.3 and Annex K below reflect remaining factors that lie outside the direct activities of the project, or along its periphery.  As per standard UNDP requirements, the Project Manager will monitor risks quarterly and </w:t>
      </w:r>
      <w:r w:rsidRPr="00666B27">
        <w:rPr>
          <w:rFonts w:cs="Arial"/>
          <w:noProof/>
          <w:szCs w:val="20"/>
          <w:lang w:val="en-GB" w:eastAsia="zh-CN"/>
        </w:rPr>
        <w:lastRenderedPageBreak/>
        <w:t>report on the status of risks to the UNDP Country Office. The UNDP Country Office will record progress in the UNDP ATLAS risk log. Management responses to critical risks will also be reported to the GEF in the annual PIR.</w:t>
      </w:r>
    </w:p>
    <w:p w:rsidR="00DF2B11" w:rsidRPr="00666B27" w:rsidRDefault="00DF2B11" w:rsidP="00DF2B11">
      <w:pPr>
        <w:spacing w:after="0"/>
        <w:rPr>
          <w:rFonts w:eastAsia="Times New Roman" w:cs="Calibri"/>
          <w:iCs/>
          <w:noProof/>
          <w:szCs w:val="20"/>
          <w:lang w:val="en-GB"/>
        </w:rPr>
      </w:pPr>
    </w:p>
    <w:p w:rsidR="00D624F3" w:rsidRPr="00666B27" w:rsidRDefault="00D624F3" w:rsidP="00D624F3">
      <w:pPr>
        <w:keepNext/>
        <w:spacing w:after="0"/>
        <w:outlineLvl w:val="3"/>
        <w:rPr>
          <w:rFonts w:eastAsia="Times New Roman" w:cs="Calibri"/>
          <w:szCs w:val="20"/>
          <w:u w:val="single"/>
          <w:lang w:val="en-GB"/>
        </w:rPr>
      </w:pPr>
      <w:bookmarkStart w:id="145" w:name="_Toc502756417"/>
      <w:r w:rsidRPr="00666B27">
        <w:rPr>
          <w:rFonts w:eastAsia="Times New Roman" w:cs="Calibri"/>
          <w:szCs w:val="20"/>
          <w:u w:val="single"/>
          <w:lang w:val="en-GB"/>
        </w:rPr>
        <w:t>Equipment, Supplies and Other Property</w:t>
      </w:r>
      <w:bookmarkEnd w:id="145"/>
    </w:p>
    <w:p w:rsidR="00D624F3" w:rsidRPr="00666B27" w:rsidRDefault="00D624F3" w:rsidP="00261972">
      <w:pPr>
        <w:spacing w:before="60" w:after="0"/>
        <w:rPr>
          <w:rFonts w:eastAsia="Times New Roman" w:cs="Calibri"/>
          <w:iCs/>
          <w:szCs w:val="20"/>
          <w:lang w:val="en-GB"/>
        </w:rPr>
      </w:pPr>
      <w:r w:rsidRPr="00666B27">
        <w:rPr>
          <w:rFonts w:eastAsia="Times New Roman" w:cs="Calibri"/>
          <w:iCs/>
          <w:szCs w:val="20"/>
          <w:lang w:val="en-GB"/>
        </w:rPr>
        <w:t xml:space="preserve">Ownership of equipment, supplies and other property financed from the project shall be vested in UNDP. Matters relating to the transfer of ownership by the UNDP shall be determined in accordance with applicable policies and procedures of the UNDP. </w:t>
      </w:r>
    </w:p>
    <w:p w:rsidR="00D624F3" w:rsidRPr="00666B27" w:rsidRDefault="00D624F3" w:rsidP="00D624F3">
      <w:pPr>
        <w:spacing w:after="0"/>
        <w:rPr>
          <w:rFonts w:cs="Arial"/>
          <w:noProof/>
          <w:szCs w:val="20"/>
          <w:lang w:val="en-GB" w:eastAsia="zh-CN"/>
        </w:rPr>
      </w:pPr>
    </w:p>
    <w:p w:rsidR="00261972" w:rsidRPr="00666B27" w:rsidRDefault="00D624F3" w:rsidP="00D624F3">
      <w:pPr>
        <w:spacing w:after="0"/>
        <w:rPr>
          <w:b/>
          <w:szCs w:val="20"/>
          <w:lang w:val="en-GB"/>
        </w:rPr>
      </w:pPr>
      <w:r w:rsidRPr="00666B27">
        <w:rPr>
          <w:szCs w:val="20"/>
          <w:u w:val="single"/>
          <w:lang w:val="en-GB"/>
        </w:rPr>
        <w:t xml:space="preserve">Agreement on intellectual property rights and use of </w:t>
      </w:r>
      <w:r w:rsidRPr="00666B27">
        <w:rPr>
          <w:noProof/>
          <w:szCs w:val="20"/>
          <w:u w:val="single"/>
          <w:lang w:val="en-GB"/>
        </w:rPr>
        <w:t>logo</w:t>
      </w:r>
      <w:r w:rsidRPr="00666B27">
        <w:rPr>
          <w:szCs w:val="20"/>
          <w:u w:val="single"/>
          <w:lang w:val="en-GB"/>
        </w:rPr>
        <w:t xml:space="preserve"> on the project’s deliverables and disclosure of information</w:t>
      </w:r>
      <w:r w:rsidRPr="00666B27">
        <w:rPr>
          <w:b/>
          <w:szCs w:val="20"/>
          <w:lang w:val="en-GB"/>
        </w:rPr>
        <w:t xml:space="preserve"> </w:t>
      </w:r>
    </w:p>
    <w:p w:rsidR="00D624F3" w:rsidRPr="0057545E" w:rsidRDefault="00D624F3" w:rsidP="00261972">
      <w:pPr>
        <w:spacing w:before="60" w:after="0"/>
        <w:rPr>
          <w:rFonts w:cs="Segoe UI"/>
          <w:color w:val="000000"/>
          <w:szCs w:val="20"/>
          <w:lang w:val="en-GB"/>
        </w:rPr>
      </w:pPr>
      <w:r w:rsidRPr="00666B27">
        <w:rPr>
          <w:szCs w:val="20"/>
          <w:lang w:val="en-GB"/>
        </w:rPr>
        <w:t>T</w:t>
      </w:r>
      <w:r w:rsidRPr="00666B27">
        <w:rPr>
          <w:rFonts w:cs="Calibri"/>
          <w:szCs w:val="20"/>
          <w:lang w:val="en-GB"/>
        </w:rPr>
        <w:t xml:space="preserve">o accord proper </w:t>
      </w:r>
      <w:r w:rsidRPr="00666B27">
        <w:rPr>
          <w:rFonts w:cs="Calibri"/>
          <w:noProof/>
          <w:szCs w:val="20"/>
          <w:lang w:val="en-GB"/>
        </w:rPr>
        <w:t>acknowledgment</w:t>
      </w:r>
      <w:r w:rsidRPr="00666B27">
        <w:rPr>
          <w:rFonts w:cs="Calibri"/>
          <w:szCs w:val="20"/>
          <w:lang w:val="en-GB"/>
        </w:rPr>
        <w:t xml:space="preserve">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w:t>
      </w:r>
      <w:r w:rsidRPr="00666B27">
        <w:rPr>
          <w:rFonts w:cs="Calibri"/>
          <w:noProof/>
          <w:szCs w:val="20"/>
          <w:lang w:val="en-GB"/>
        </w:rPr>
        <w:t>acknowledgment</w:t>
      </w:r>
      <w:r w:rsidRPr="00666B27">
        <w:rPr>
          <w:rFonts w:cs="Calibri"/>
          <w:szCs w:val="20"/>
          <w:lang w:val="en-GB"/>
        </w:rPr>
        <w:t xml:space="preserve"> to the GEF. Information will be disclosed in accordance with relevant policies notably the UNDP Disclosure Policy</w:t>
      </w:r>
      <w:r w:rsidRPr="0057545E">
        <w:rPr>
          <w:rFonts w:ascii="Arial" w:hAnsi="Arial"/>
          <w:sz w:val="18"/>
          <w:szCs w:val="20"/>
          <w:vertAlign w:val="superscript"/>
          <w:lang w:val="en-GB"/>
        </w:rPr>
        <w:footnoteReference w:id="14"/>
      </w:r>
      <w:r w:rsidRPr="0057545E">
        <w:rPr>
          <w:rFonts w:cs="Calibri"/>
          <w:szCs w:val="20"/>
          <w:lang w:val="en-GB"/>
        </w:rPr>
        <w:t xml:space="preserve"> and</w:t>
      </w:r>
      <w:r w:rsidRPr="0057545E">
        <w:rPr>
          <w:rFonts w:cs="Segoe UI"/>
          <w:color w:val="000000"/>
          <w:szCs w:val="20"/>
          <w:lang w:val="en-GB"/>
        </w:rPr>
        <w:t xml:space="preserve"> the GEF policy on public involvement</w:t>
      </w:r>
      <w:r w:rsidRPr="0057545E">
        <w:rPr>
          <w:rFonts w:ascii="Arial" w:hAnsi="Arial"/>
          <w:color w:val="000000"/>
          <w:sz w:val="18"/>
          <w:szCs w:val="20"/>
          <w:vertAlign w:val="superscript"/>
          <w:lang w:val="en-GB"/>
        </w:rPr>
        <w:footnoteReference w:id="15"/>
      </w:r>
      <w:r w:rsidRPr="0057545E">
        <w:rPr>
          <w:rFonts w:cs="Segoe UI"/>
          <w:color w:val="000000"/>
          <w:szCs w:val="20"/>
          <w:lang w:val="en-GB"/>
        </w:rPr>
        <w:t xml:space="preserve">. </w:t>
      </w:r>
    </w:p>
    <w:p w:rsidR="00DE06DB" w:rsidRPr="00353542" w:rsidRDefault="00DE06DB" w:rsidP="00A62EB1">
      <w:pPr>
        <w:spacing w:after="0"/>
        <w:rPr>
          <w:u w:val="single"/>
          <w:lang w:val="en-GB" w:eastAsia="en-GB"/>
        </w:rPr>
      </w:pPr>
    </w:p>
    <w:p w:rsidR="00261972" w:rsidRPr="003B7D62" w:rsidRDefault="00E0026F" w:rsidP="00E0026F">
      <w:pPr>
        <w:spacing w:after="0"/>
        <w:jc w:val="left"/>
        <w:rPr>
          <w:szCs w:val="20"/>
          <w:lang w:val="en-GB"/>
        </w:rPr>
      </w:pPr>
      <w:r w:rsidRPr="003B7D62">
        <w:rPr>
          <w:szCs w:val="20"/>
          <w:u w:val="single"/>
          <w:lang w:val="en-GB"/>
        </w:rPr>
        <w:t>Project Closure</w:t>
      </w:r>
    </w:p>
    <w:p w:rsidR="00DE06DB" w:rsidRPr="00353542" w:rsidRDefault="00E0026F" w:rsidP="001C59BB">
      <w:pPr>
        <w:spacing w:before="60" w:after="0"/>
        <w:jc w:val="left"/>
        <w:rPr>
          <w:u w:val="single"/>
          <w:lang w:val="en-GB" w:eastAsia="en-GB"/>
        </w:rPr>
      </w:pPr>
      <w:r w:rsidRPr="004722F0">
        <w:rPr>
          <w:szCs w:val="20"/>
          <w:lang w:val="en-GB"/>
        </w:rPr>
        <w:t>Project closure will be conducted as per UNDP requirements outlined in the UNDP POPP.</w:t>
      </w:r>
      <w:r w:rsidRPr="0057545E">
        <w:rPr>
          <w:rFonts w:ascii="Arial" w:hAnsi="Arial"/>
          <w:sz w:val="18"/>
          <w:szCs w:val="20"/>
          <w:vertAlign w:val="superscript"/>
          <w:lang w:val="en-GB"/>
        </w:rPr>
        <w:footnoteReference w:id="16"/>
      </w:r>
      <w:r w:rsidRPr="0057545E">
        <w:rPr>
          <w:szCs w:val="20"/>
          <w:lang w:val="en-GB"/>
        </w:rPr>
        <w:t xml:space="preserve"> On an exceptional basis only, a no-cost extension beyond the initial duration of the project will be sought from </w:t>
      </w:r>
      <w:r w:rsidR="001C59BB" w:rsidRPr="0057545E">
        <w:rPr>
          <w:szCs w:val="20"/>
          <w:lang w:val="en-GB"/>
        </w:rPr>
        <w:t>UNDP and DBSA.</w:t>
      </w:r>
    </w:p>
    <w:p w:rsidR="00DE06DB" w:rsidRPr="003B7D62" w:rsidRDefault="00DE06DB" w:rsidP="00A62EB1">
      <w:pPr>
        <w:spacing w:after="0"/>
        <w:rPr>
          <w:u w:val="single"/>
          <w:lang w:val="en-GB" w:eastAsia="en-GB"/>
        </w:rPr>
      </w:pPr>
    </w:p>
    <w:p w:rsidR="00DE06DB" w:rsidRPr="004722F0" w:rsidRDefault="00DE06DB" w:rsidP="00A62EB1">
      <w:pPr>
        <w:spacing w:after="0"/>
        <w:rPr>
          <w:u w:val="single"/>
          <w:lang w:val="en-GB" w:eastAsia="en-GB"/>
        </w:rPr>
      </w:pPr>
    </w:p>
    <w:p w:rsidR="005A1C2C" w:rsidRPr="00666B27" w:rsidRDefault="005A1C2C" w:rsidP="00E0026F">
      <w:pPr>
        <w:spacing w:after="0"/>
        <w:rPr>
          <w:u w:val="single"/>
          <w:lang w:val="en-GB" w:eastAsia="en-GB"/>
        </w:rPr>
        <w:sectPr w:rsidR="005A1C2C" w:rsidRPr="00666B27" w:rsidSect="00BA3966">
          <w:footerReference w:type="default" r:id="rId71"/>
          <w:footerReference w:type="first" r:id="rId72"/>
          <w:pgSz w:w="12240" w:h="15840" w:code="1"/>
          <w:pgMar w:top="1440" w:right="1134" w:bottom="1440" w:left="1134" w:header="720" w:footer="432" w:gutter="0"/>
          <w:cols w:space="708"/>
          <w:docGrid w:linePitch="360"/>
        </w:sectPr>
      </w:pPr>
    </w:p>
    <w:p w:rsidR="0053408E" w:rsidRPr="00666B27" w:rsidRDefault="0053408E" w:rsidP="001E1DBB">
      <w:pPr>
        <w:pStyle w:val="Heading1"/>
        <w:spacing w:before="0"/>
        <w:ind w:left="567" w:hanging="567"/>
        <w:rPr>
          <w:rFonts w:ascii="Arial" w:hAnsi="Arial"/>
        </w:rPr>
      </w:pPr>
      <w:bookmarkStart w:id="146" w:name="_Toc497848309"/>
      <w:bookmarkStart w:id="147" w:name="_Toc340768"/>
      <w:r w:rsidRPr="00666B27">
        <w:rPr>
          <w:rFonts w:ascii="Arial" w:hAnsi="Arial"/>
        </w:rPr>
        <w:lastRenderedPageBreak/>
        <w:t>Project Results Framework</w:t>
      </w:r>
      <w:bookmarkEnd w:id="146"/>
      <w:bookmarkEnd w:id="147"/>
    </w:p>
    <w:p w:rsidR="009A387C" w:rsidRPr="00666B27" w:rsidRDefault="009A387C" w:rsidP="003B2A79">
      <w:pPr>
        <w:jc w:val="left"/>
        <w:rPr>
          <w:b/>
          <w:i/>
          <w:szCs w:val="20"/>
          <w:lang w:val="en-GB"/>
        </w:rPr>
      </w:pPr>
    </w:p>
    <w:p w:rsidR="007B535B" w:rsidRPr="00666B27" w:rsidRDefault="008B7F96" w:rsidP="003B2A79">
      <w:pPr>
        <w:jc w:val="left"/>
        <w:rPr>
          <w:i/>
          <w:szCs w:val="20"/>
          <w:lang w:val="en-GB"/>
        </w:rPr>
      </w:pPr>
      <w:r w:rsidRPr="00666B27">
        <w:rPr>
          <w:i/>
          <w:szCs w:val="20"/>
          <w:lang w:val="en-GB"/>
        </w:rPr>
        <w:t xml:space="preserve">This results framework </w:t>
      </w:r>
      <w:r w:rsidR="009A387C" w:rsidRPr="00666B27">
        <w:rPr>
          <w:i/>
          <w:szCs w:val="20"/>
          <w:lang w:val="en-GB"/>
        </w:rPr>
        <w:t>is the same as the one</w:t>
      </w:r>
      <w:r w:rsidRPr="00666B27">
        <w:rPr>
          <w:i/>
          <w:szCs w:val="20"/>
          <w:lang w:val="en-GB"/>
        </w:rPr>
        <w:t xml:space="preserve"> required in </w:t>
      </w:r>
      <w:r w:rsidR="003C0446" w:rsidRPr="00666B27">
        <w:rPr>
          <w:i/>
          <w:szCs w:val="20"/>
          <w:lang w:val="en-GB"/>
        </w:rPr>
        <w:t xml:space="preserve">the GEF CEO Endorsement template </w:t>
      </w:r>
      <w:r w:rsidRPr="00666B27">
        <w:rPr>
          <w:i/>
          <w:szCs w:val="20"/>
          <w:lang w:val="en-GB"/>
        </w:rPr>
        <w:t>Annex A:  Project Results Framework</w:t>
      </w:r>
      <w:r w:rsidR="005E2CE5" w:rsidRPr="00666B27">
        <w:rPr>
          <w:i/>
          <w:szCs w:val="20"/>
          <w:lang w:val="en-GB"/>
        </w:rPr>
        <w:t xml:space="preserve">. </w:t>
      </w:r>
    </w:p>
    <w:p w:rsidR="005E2CE5" w:rsidRPr="00666B27" w:rsidRDefault="005E2CE5" w:rsidP="00F4058C">
      <w:pPr>
        <w:spacing w:after="100"/>
        <w:jc w:val="left"/>
        <w:rPr>
          <w:i/>
          <w:szCs w:val="20"/>
          <w:lang w:val="en-GB"/>
        </w:rPr>
      </w:pPr>
      <w:r w:rsidRPr="00666B27">
        <w:rPr>
          <w:i/>
          <w:szCs w:val="20"/>
          <w:lang w:val="en-GB"/>
        </w:rPr>
        <w:t xml:space="preserve">Outcomes are short to medium term results that the project </w:t>
      </w:r>
      <w:proofErr w:type="gramStart"/>
      <w:r w:rsidRPr="00666B27">
        <w:rPr>
          <w:i/>
          <w:szCs w:val="20"/>
          <w:lang w:val="en-GB"/>
        </w:rPr>
        <w:t>makes a contribution</w:t>
      </w:r>
      <w:proofErr w:type="gramEnd"/>
      <w:r w:rsidRPr="00666B27">
        <w:rPr>
          <w:i/>
          <w:szCs w:val="20"/>
          <w:lang w:val="en-GB"/>
        </w:rPr>
        <w:t xml:space="preserve"> towards, and that </w:t>
      </w:r>
      <w:r w:rsidRPr="00666B27">
        <w:rPr>
          <w:i/>
          <w:noProof/>
          <w:szCs w:val="20"/>
          <w:lang w:val="en-GB"/>
        </w:rPr>
        <w:t>are</w:t>
      </w:r>
      <w:r w:rsidRPr="00666B27">
        <w:rPr>
          <w:i/>
          <w:szCs w:val="20"/>
          <w:lang w:val="en-GB"/>
        </w:rPr>
        <w:t xml:space="preserve"> desi</w:t>
      </w:r>
      <w:r w:rsidR="00F4058C" w:rsidRPr="00666B27">
        <w:rPr>
          <w:i/>
          <w:szCs w:val="20"/>
          <w:lang w:val="en-GB"/>
        </w:rPr>
        <w:t>gned to help achieve the longer-</w:t>
      </w:r>
      <w:r w:rsidRPr="00666B27">
        <w:rPr>
          <w:i/>
          <w:szCs w:val="20"/>
          <w:lang w:val="en-GB"/>
        </w:rPr>
        <w:t>term objective.  Achievement of outcomes will be influenced both by project outputs and additional factors that may be outside the direct control of the project.</w:t>
      </w: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42"/>
      </w:tblGrid>
      <w:tr w:rsidR="0053408E" w:rsidRPr="0057545E" w:rsidTr="007B535B">
        <w:trPr>
          <w:trHeight w:val="305"/>
        </w:trPr>
        <w:tc>
          <w:tcPr>
            <w:tcW w:w="14142" w:type="dxa"/>
            <w:shd w:val="pct12" w:color="auto" w:fill="auto"/>
          </w:tcPr>
          <w:p w:rsidR="0053408E" w:rsidRPr="00666B27" w:rsidRDefault="008B7F96" w:rsidP="009A387C">
            <w:pPr>
              <w:spacing w:before="40" w:after="40"/>
              <w:rPr>
                <w:rFonts w:ascii="Arial Narrow" w:hAnsi="Arial Narrow"/>
                <w:sz w:val="18"/>
                <w:szCs w:val="18"/>
                <w:lang w:val="en-GB"/>
              </w:rPr>
            </w:pPr>
            <w:r w:rsidRPr="00666B27">
              <w:rPr>
                <w:i/>
                <w:szCs w:val="20"/>
                <w:lang w:val="en-GB"/>
              </w:rPr>
              <w:t xml:space="preserve"> </w:t>
            </w:r>
            <w:r w:rsidR="009A387C" w:rsidRPr="00666B27">
              <w:rPr>
                <w:rFonts w:ascii="Arial Narrow" w:hAnsi="Arial Narrow"/>
                <w:b/>
                <w:sz w:val="18"/>
                <w:szCs w:val="18"/>
                <w:lang w:val="en-GB"/>
              </w:rPr>
              <w:t xml:space="preserve">This project will contribute to the following Sustainable Development Goal (s): </w:t>
            </w:r>
            <w:r w:rsidR="009A387C" w:rsidRPr="00666B27">
              <w:rPr>
                <w:rFonts w:ascii="Arial Narrow" w:hAnsi="Arial Narrow"/>
                <w:sz w:val="18"/>
                <w:szCs w:val="18"/>
                <w:lang w:val="en-GB"/>
              </w:rPr>
              <w:t xml:space="preserve"> </w:t>
            </w:r>
            <w:r w:rsidR="009A387C" w:rsidRPr="00666B27">
              <w:rPr>
                <w:rFonts w:ascii="Arial Narrow" w:hAnsi="Arial Narrow"/>
                <w:sz w:val="18"/>
                <w:szCs w:val="18"/>
                <w:u w:val="single"/>
                <w:lang w:val="en-GB"/>
              </w:rPr>
              <w:t>Goal 7:</w:t>
            </w:r>
            <w:r w:rsidR="009A387C" w:rsidRPr="00666B27">
              <w:rPr>
                <w:rFonts w:ascii="Arial Narrow" w:hAnsi="Arial Narrow"/>
                <w:sz w:val="18"/>
                <w:szCs w:val="18"/>
                <w:lang w:val="en-GB"/>
              </w:rPr>
              <w:t xml:space="preserve">  Ensure access to affordable, reliable, sustainable, and modern energy for all (</w:t>
            </w:r>
            <w:r w:rsidR="009A387C" w:rsidRPr="00666B27">
              <w:rPr>
                <w:rFonts w:ascii="Arial Narrow" w:hAnsi="Arial Narrow"/>
                <w:i/>
                <w:sz w:val="18"/>
                <w:szCs w:val="18"/>
                <w:lang w:val="en-GB"/>
              </w:rPr>
              <w:t>Target 7.3:</w:t>
            </w:r>
            <w:r w:rsidR="009A387C" w:rsidRPr="00666B27">
              <w:rPr>
                <w:rFonts w:ascii="Arial Narrow" w:hAnsi="Arial Narrow"/>
                <w:sz w:val="18"/>
                <w:szCs w:val="18"/>
                <w:lang w:val="en-GB"/>
              </w:rPr>
              <w:t xml:space="preserve"> By 2030, double the global rate of improvement in energy efficiency).  </w:t>
            </w:r>
            <w:r w:rsidR="009A387C" w:rsidRPr="00666B27">
              <w:rPr>
                <w:rFonts w:ascii="Arial Narrow" w:hAnsi="Arial Narrow"/>
                <w:sz w:val="18"/>
                <w:szCs w:val="18"/>
                <w:u w:val="single"/>
                <w:lang w:val="en-GB"/>
              </w:rPr>
              <w:t>Goal 13:</w:t>
            </w:r>
            <w:r w:rsidR="009A387C" w:rsidRPr="00666B27">
              <w:rPr>
                <w:rFonts w:ascii="Arial Narrow" w:hAnsi="Arial Narrow"/>
                <w:sz w:val="18"/>
                <w:szCs w:val="18"/>
                <w:lang w:val="en-GB"/>
              </w:rPr>
              <w:t xml:space="preserve">  Take urgent action to combat climate change and its impacts (</w:t>
            </w:r>
            <w:r w:rsidR="009A387C" w:rsidRPr="00666B27">
              <w:rPr>
                <w:rFonts w:ascii="Arial Narrow" w:hAnsi="Arial Narrow"/>
                <w:i/>
                <w:sz w:val="18"/>
                <w:szCs w:val="18"/>
                <w:lang w:val="en-GB"/>
              </w:rPr>
              <w:t>Target 13.2</w:t>
            </w:r>
            <w:r w:rsidR="009A387C" w:rsidRPr="00666B27">
              <w:rPr>
                <w:rFonts w:ascii="Arial Narrow" w:hAnsi="Arial Narrow"/>
                <w:sz w:val="18"/>
                <w:szCs w:val="18"/>
                <w:lang w:val="en-GB"/>
              </w:rPr>
              <w:t>: Integrate climate change measures into national policies, strategies and planning; and Target 13.3:  Improve education, awareness-raising and human and institutional capacity on climate change mitigation)</w:t>
            </w:r>
          </w:p>
        </w:tc>
      </w:tr>
      <w:tr w:rsidR="002E4F8C" w:rsidRPr="0057545E" w:rsidTr="007B535B">
        <w:trPr>
          <w:trHeight w:val="287"/>
        </w:trPr>
        <w:tc>
          <w:tcPr>
            <w:tcW w:w="14142" w:type="dxa"/>
            <w:shd w:val="pct12" w:color="auto" w:fill="auto"/>
          </w:tcPr>
          <w:p w:rsidR="002E4F8C" w:rsidRPr="004722F0" w:rsidRDefault="00E100CA" w:rsidP="009A387C">
            <w:pPr>
              <w:spacing w:before="40" w:after="40"/>
              <w:rPr>
                <w:rFonts w:ascii="Arial Narrow" w:hAnsi="Arial Narrow"/>
                <w:b/>
                <w:sz w:val="18"/>
                <w:szCs w:val="18"/>
                <w:lang w:val="en-GB"/>
              </w:rPr>
            </w:pPr>
            <w:r w:rsidRPr="0057545E">
              <w:rPr>
                <w:rFonts w:ascii="Arial Narrow" w:hAnsi="Arial Narrow"/>
                <w:b/>
                <w:bCs/>
                <w:sz w:val="18"/>
                <w:szCs w:val="18"/>
                <w:lang w:val="en-GB"/>
              </w:rPr>
              <w:t>This project will contribute to the following country outcome included in the</w:t>
            </w:r>
            <w:r w:rsidR="002E4F8C" w:rsidRPr="00514DE8">
              <w:rPr>
                <w:rFonts w:ascii="Arial Narrow" w:hAnsi="Arial Narrow"/>
                <w:b/>
                <w:bCs/>
                <w:sz w:val="18"/>
                <w:szCs w:val="18"/>
                <w:lang w:val="en-GB"/>
              </w:rPr>
              <w:t xml:space="preserve"> UNDAF/Country Programme </w:t>
            </w:r>
            <w:r w:rsidR="00C47F74" w:rsidRPr="00353542">
              <w:rPr>
                <w:rFonts w:ascii="Arial Narrow" w:hAnsi="Arial Narrow"/>
                <w:b/>
                <w:bCs/>
                <w:sz w:val="18"/>
                <w:szCs w:val="18"/>
                <w:lang w:val="en-GB"/>
              </w:rPr>
              <w:t>Document</w:t>
            </w:r>
            <w:r w:rsidR="002E4F8C" w:rsidRPr="00353542">
              <w:rPr>
                <w:rFonts w:ascii="Arial Narrow" w:hAnsi="Arial Narrow"/>
                <w:b/>
                <w:bCs/>
                <w:sz w:val="18"/>
                <w:szCs w:val="18"/>
                <w:lang w:val="en-GB"/>
              </w:rPr>
              <w:t>:</w:t>
            </w:r>
            <w:r w:rsidR="00CF4212" w:rsidRPr="003B7D62">
              <w:rPr>
                <w:rFonts w:ascii="Arial Narrow" w:hAnsi="Arial Narrow"/>
                <w:b/>
                <w:bCs/>
                <w:sz w:val="18"/>
                <w:szCs w:val="18"/>
                <w:lang w:val="en-GB"/>
              </w:rPr>
              <w:t xml:space="preserve">  </w:t>
            </w:r>
            <w:r w:rsidR="009A387C" w:rsidRPr="003B7D62">
              <w:rPr>
                <w:rFonts w:ascii="Arial Narrow" w:hAnsi="Arial Narrow"/>
                <w:bCs/>
                <w:i/>
                <w:sz w:val="18"/>
                <w:szCs w:val="18"/>
                <w:lang w:val="en-GB"/>
              </w:rPr>
              <w:t>Increase in the number of sustainable ‘green jobs’ created in the economy; Stabilisation and reduction of carbon emissions and climate change mitigation and adaptation strategies fully operational</w:t>
            </w:r>
          </w:p>
        </w:tc>
      </w:tr>
      <w:tr w:rsidR="0053408E" w:rsidRPr="0057545E" w:rsidTr="007B535B">
        <w:trPr>
          <w:trHeight w:val="544"/>
        </w:trPr>
        <w:tc>
          <w:tcPr>
            <w:tcW w:w="14142" w:type="dxa"/>
            <w:shd w:val="pct12" w:color="auto" w:fill="auto"/>
          </w:tcPr>
          <w:p w:rsidR="00BE6B45" w:rsidRPr="00353542" w:rsidRDefault="00CF4212" w:rsidP="000C310D">
            <w:pPr>
              <w:spacing w:before="60" w:after="0"/>
              <w:jc w:val="left"/>
              <w:rPr>
                <w:rFonts w:ascii="Arial Narrow" w:hAnsi="Arial Narrow" w:cs="Arial"/>
                <w:i/>
                <w:sz w:val="18"/>
                <w:szCs w:val="18"/>
                <w:lang w:val="en-GB"/>
              </w:rPr>
            </w:pPr>
            <w:r w:rsidRPr="0057545E">
              <w:rPr>
                <w:rFonts w:ascii="Arial Narrow" w:hAnsi="Arial Narrow"/>
                <w:b/>
                <w:bCs/>
                <w:sz w:val="18"/>
                <w:szCs w:val="18"/>
                <w:lang w:val="en-GB"/>
              </w:rPr>
              <w:t xml:space="preserve">This project will be linked to the following output of the </w:t>
            </w:r>
            <w:r w:rsidR="0053408E" w:rsidRPr="00514DE8">
              <w:rPr>
                <w:rFonts w:ascii="Arial Narrow" w:hAnsi="Arial Narrow"/>
                <w:b/>
                <w:bCs/>
                <w:sz w:val="18"/>
                <w:szCs w:val="18"/>
                <w:lang w:val="en-GB"/>
              </w:rPr>
              <w:t>UNDP Strategic Plan:</w:t>
            </w:r>
            <w:r w:rsidR="0053408E" w:rsidRPr="00353542">
              <w:rPr>
                <w:rFonts w:ascii="Arial Narrow" w:hAnsi="Arial Narrow" w:cs="Arial"/>
                <w:i/>
                <w:sz w:val="18"/>
                <w:szCs w:val="18"/>
                <w:lang w:val="en-GB"/>
              </w:rPr>
              <w:t xml:space="preserve"> </w:t>
            </w:r>
          </w:p>
          <w:p w:rsidR="0053408E" w:rsidRPr="003B7D62" w:rsidRDefault="000C310D" w:rsidP="009A387C">
            <w:pPr>
              <w:spacing w:after="0"/>
              <w:jc w:val="left"/>
              <w:rPr>
                <w:rFonts w:ascii="Arial Narrow" w:hAnsi="Arial Narrow" w:cs="Arial"/>
                <w:i/>
                <w:sz w:val="18"/>
                <w:szCs w:val="18"/>
                <w:lang w:val="en-GB"/>
              </w:rPr>
            </w:pPr>
            <w:r w:rsidRPr="003B7D62">
              <w:rPr>
                <w:rFonts w:ascii="Arial Narrow" w:hAnsi="Arial Narrow" w:cs="Arial"/>
                <w:i/>
                <w:sz w:val="18"/>
                <w:szCs w:val="18"/>
                <w:lang w:val="en-GB"/>
              </w:rPr>
              <w:t>Output 1.5: Inclusive and sustainable solutions adopted to achieve increased energy efficiency</w:t>
            </w:r>
          </w:p>
        </w:tc>
      </w:tr>
    </w:tbl>
    <w:p w:rsidR="009D05C6" w:rsidRPr="0057545E" w:rsidRDefault="009D05C6">
      <w:pPr>
        <w:rPr>
          <w:lang w:val="en-GB"/>
        </w:rPr>
      </w:pPr>
    </w:p>
    <w:tbl>
      <w:tblPr>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2409"/>
        <w:gridCol w:w="2268"/>
        <w:gridCol w:w="2722"/>
        <w:gridCol w:w="2807"/>
      </w:tblGrid>
      <w:tr w:rsidR="0053408E" w:rsidRPr="0057545E" w:rsidTr="00F737AD">
        <w:trPr>
          <w:trHeight w:val="541"/>
          <w:tblHeader/>
        </w:trPr>
        <w:tc>
          <w:tcPr>
            <w:tcW w:w="1951" w:type="dxa"/>
            <w:shd w:val="clear" w:color="auto" w:fill="FBE4D5"/>
          </w:tcPr>
          <w:p w:rsidR="0053408E" w:rsidRPr="00353542" w:rsidRDefault="0053408E" w:rsidP="009A387C">
            <w:pPr>
              <w:spacing w:after="0"/>
              <w:jc w:val="center"/>
              <w:rPr>
                <w:rFonts w:ascii="Arial Narrow" w:hAnsi="Arial Narrow"/>
                <w:b/>
                <w:bCs/>
                <w:sz w:val="18"/>
                <w:szCs w:val="18"/>
                <w:lang w:val="en-GB"/>
              </w:rPr>
            </w:pPr>
          </w:p>
        </w:tc>
        <w:tc>
          <w:tcPr>
            <w:tcW w:w="1985" w:type="dxa"/>
            <w:shd w:val="clear" w:color="auto" w:fill="FBE4D5"/>
          </w:tcPr>
          <w:p w:rsidR="0053408E" w:rsidRPr="003B7D62" w:rsidRDefault="0053408E" w:rsidP="009A387C">
            <w:pPr>
              <w:spacing w:after="0"/>
              <w:jc w:val="center"/>
              <w:rPr>
                <w:rFonts w:ascii="Arial Narrow" w:hAnsi="Arial Narrow"/>
                <w:b/>
                <w:bCs/>
                <w:sz w:val="18"/>
                <w:szCs w:val="18"/>
                <w:lang w:val="en-GB"/>
              </w:rPr>
            </w:pPr>
            <w:r w:rsidRPr="003B7D62">
              <w:rPr>
                <w:rFonts w:ascii="Arial Narrow" w:hAnsi="Arial Narrow"/>
                <w:b/>
                <w:bCs/>
                <w:sz w:val="18"/>
                <w:szCs w:val="18"/>
                <w:lang w:val="en-GB"/>
              </w:rPr>
              <w:t>Objective and Outcome Indicators</w:t>
            </w:r>
          </w:p>
          <w:p w:rsidR="0053408E" w:rsidRPr="004722F0" w:rsidRDefault="0053408E" w:rsidP="009A387C">
            <w:pPr>
              <w:spacing w:after="0"/>
              <w:jc w:val="center"/>
              <w:rPr>
                <w:rFonts w:ascii="Arial Narrow" w:hAnsi="Arial Narrow"/>
                <w:b/>
                <w:bCs/>
                <w:sz w:val="18"/>
                <w:szCs w:val="18"/>
                <w:lang w:val="en-GB"/>
              </w:rPr>
            </w:pPr>
          </w:p>
        </w:tc>
        <w:tc>
          <w:tcPr>
            <w:tcW w:w="2409" w:type="dxa"/>
            <w:shd w:val="clear" w:color="auto" w:fill="FBE4D5"/>
          </w:tcPr>
          <w:p w:rsidR="0053408E" w:rsidRPr="00666B27" w:rsidRDefault="0053408E" w:rsidP="009A387C">
            <w:pPr>
              <w:spacing w:after="0"/>
              <w:jc w:val="center"/>
              <w:rPr>
                <w:rFonts w:ascii="Arial Narrow" w:hAnsi="Arial Narrow"/>
                <w:b/>
                <w:bCs/>
                <w:sz w:val="18"/>
                <w:szCs w:val="18"/>
                <w:lang w:val="en-GB"/>
              </w:rPr>
            </w:pPr>
            <w:r w:rsidRPr="00666B27">
              <w:rPr>
                <w:rFonts w:ascii="Arial Narrow" w:hAnsi="Arial Narrow"/>
                <w:b/>
                <w:bCs/>
                <w:sz w:val="18"/>
                <w:szCs w:val="18"/>
                <w:lang w:val="en-GB"/>
              </w:rPr>
              <w:t xml:space="preserve">Baseline </w:t>
            </w:r>
            <w:r w:rsidR="00C9395B" w:rsidRPr="00666B27">
              <w:rPr>
                <w:rFonts w:ascii="Arial Narrow" w:hAnsi="Arial Narrow"/>
                <w:b/>
                <w:bCs/>
                <w:sz w:val="18"/>
                <w:szCs w:val="18"/>
                <w:lang w:val="en-GB"/>
              </w:rPr>
              <w:t>(2017</w:t>
            </w:r>
            <w:r w:rsidR="00D35EAD" w:rsidRPr="00666B27">
              <w:rPr>
                <w:rFonts w:ascii="Arial Narrow" w:hAnsi="Arial Narrow"/>
                <w:b/>
                <w:bCs/>
                <w:sz w:val="18"/>
                <w:szCs w:val="18"/>
                <w:lang w:val="en-GB"/>
              </w:rPr>
              <w:t>/18</w:t>
            </w:r>
            <w:r w:rsidR="00C9395B" w:rsidRPr="00666B27">
              <w:rPr>
                <w:rFonts w:ascii="Arial Narrow" w:hAnsi="Arial Narrow"/>
                <w:b/>
                <w:bCs/>
                <w:sz w:val="18"/>
                <w:szCs w:val="18"/>
                <w:lang w:val="en-GB"/>
              </w:rPr>
              <w:t>)</w:t>
            </w:r>
          </w:p>
          <w:p w:rsidR="0053408E" w:rsidRPr="00666B27" w:rsidRDefault="0053408E" w:rsidP="009A387C">
            <w:pPr>
              <w:spacing w:after="0"/>
              <w:jc w:val="center"/>
              <w:rPr>
                <w:rFonts w:ascii="Arial Narrow" w:hAnsi="Arial Narrow"/>
                <w:b/>
                <w:bCs/>
                <w:sz w:val="18"/>
                <w:szCs w:val="18"/>
                <w:lang w:val="en-GB"/>
              </w:rPr>
            </w:pPr>
          </w:p>
        </w:tc>
        <w:tc>
          <w:tcPr>
            <w:tcW w:w="2268" w:type="dxa"/>
            <w:shd w:val="clear" w:color="auto" w:fill="FBE4D5"/>
          </w:tcPr>
          <w:p w:rsidR="0053408E" w:rsidRPr="00666B27" w:rsidRDefault="003A78A8" w:rsidP="009A387C">
            <w:pPr>
              <w:spacing w:after="0"/>
              <w:jc w:val="center"/>
              <w:rPr>
                <w:rFonts w:ascii="Arial Narrow" w:hAnsi="Arial Narrow"/>
                <w:b/>
                <w:bCs/>
                <w:sz w:val="18"/>
                <w:szCs w:val="18"/>
                <w:lang w:val="en-GB"/>
              </w:rPr>
            </w:pPr>
            <w:r w:rsidRPr="00666B27">
              <w:rPr>
                <w:rFonts w:ascii="Arial Narrow" w:hAnsi="Arial Narrow"/>
                <w:b/>
                <w:bCs/>
                <w:sz w:val="18"/>
                <w:szCs w:val="18"/>
                <w:lang w:val="en-GB"/>
              </w:rPr>
              <w:t xml:space="preserve">Mid-term </w:t>
            </w:r>
            <w:r w:rsidR="00D35EAD" w:rsidRPr="00666B27">
              <w:rPr>
                <w:rFonts w:ascii="Arial Narrow" w:hAnsi="Arial Narrow"/>
                <w:b/>
                <w:bCs/>
                <w:sz w:val="18"/>
                <w:szCs w:val="18"/>
                <w:lang w:val="en-GB"/>
              </w:rPr>
              <w:t xml:space="preserve">project </w:t>
            </w:r>
            <w:r w:rsidRPr="00666B27">
              <w:rPr>
                <w:rFonts w:ascii="Arial Narrow" w:hAnsi="Arial Narrow"/>
                <w:b/>
                <w:bCs/>
                <w:sz w:val="18"/>
                <w:szCs w:val="18"/>
                <w:lang w:val="en-GB"/>
              </w:rPr>
              <w:t>t</w:t>
            </w:r>
            <w:r w:rsidR="0053408E" w:rsidRPr="00666B27">
              <w:rPr>
                <w:rFonts w:ascii="Arial Narrow" w:hAnsi="Arial Narrow"/>
                <w:b/>
                <w:bCs/>
                <w:sz w:val="18"/>
                <w:szCs w:val="18"/>
                <w:lang w:val="en-GB"/>
              </w:rPr>
              <w:t>arget</w:t>
            </w:r>
            <w:r w:rsidR="00D35EAD" w:rsidRPr="00666B27">
              <w:rPr>
                <w:rFonts w:ascii="Arial Narrow" w:hAnsi="Arial Narrow"/>
                <w:b/>
                <w:bCs/>
                <w:sz w:val="18"/>
                <w:szCs w:val="18"/>
                <w:lang w:val="en-GB"/>
              </w:rPr>
              <w:t xml:space="preserve"> (</w:t>
            </w:r>
            <w:proofErr w:type="spellStart"/>
            <w:r w:rsidR="00D35EAD" w:rsidRPr="00666B27">
              <w:rPr>
                <w:rFonts w:ascii="Arial Narrow" w:hAnsi="Arial Narrow"/>
                <w:b/>
                <w:bCs/>
                <w:sz w:val="18"/>
                <w:szCs w:val="18"/>
                <w:lang w:val="en-GB"/>
              </w:rPr>
              <w:t>MoP</w:t>
            </w:r>
            <w:proofErr w:type="spellEnd"/>
            <w:r w:rsidR="00D35EAD" w:rsidRPr="00666B27">
              <w:rPr>
                <w:rFonts w:ascii="Arial Narrow" w:hAnsi="Arial Narrow"/>
                <w:b/>
                <w:bCs/>
                <w:sz w:val="18"/>
                <w:szCs w:val="18"/>
                <w:lang w:val="en-GB"/>
              </w:rPr>
              <w:t>, 2021)</w:t>
            </w:r>
          </w:p>
          <w:p w:rsidR="0053408E" w:rsidRPr="00666B27" w:rsidRDefault="0053408E" w:rsidP="009A387C">
            <w:pPr>
              <w:spacing w:after="0"/>
              <w:jc w:val="center"/>
              <w:rPr>
                <w:rFonts w:ascii="Arial Narrow" w:hAnsi="Arial Narrow"/>
                <w:b/>
                <w:bCs/>
                <w:sz w:val="18"/>
                <w:szCs w:val="18"/>
                <w:lang w:val="en-GB"/>
              </w:rPr>
            </w:pPr>
          </w:p>
        </w:tc>
        <w:tc>
          <w:tcPr>
            <w:tcW w:w="2722" w:type="dxa"/>
            <w:shd w:val="clear" w:color="auto" w:fill="FBE4D5"/>
          </w:tcPr>
          <w:p w:rsidR="003A78A8" w:rsidRPr="00666B27" w:rsidRDefault="0053408E" w:rsidP="009A387C">
            <w:pPr>
              <w:spacing w:after="0"/>
              <w:jc w:val="center"/>
              <w:rPr>
                <w:rFonts w:ascii="Arial Narrow" w:hAnsi="Arial Narrow"/>
                <w:b/>
                <w:bCs/>
                <w:sz w:val="18"/>
                <w:szCs w:val="18"/>
                <w:lang w:val="en-GB"/>
              </w:rPr>
            </w:pPr>
            <w:r w:rsidRPr="00666B27">
              <w:rPr>
                <w:rFonts w:ascii="Arial Narrow" w:hAnsi="Arial Narrow"/>
                <w:b/>
                <w:bCs/>
                <w:sz w:val="18"/>
                <w:szCs w:val="18"/>
                <w:lang w:val="en-GB"/>
              </w:rPr>
              <w:t>End of Project</w:t>
            </w:r>
            <w:r w:rsidR="003A78A8" w:rsidRPr="00666B27">
              <w:rPr>
                <w:rFonts w:ascii="Arial Narrow" w:hAnsi="Arial Narrow"/>
                <w:b/>
                <w:bCs/>
                <w:sz w:val="18"/>
                <w:szCs w:val="18"/>
                <w:lang w:val="en-GB"/>
              </w:rPr>
              <w:t xml:space="preserve"> (</w:t>
            </w:r>
            <w:proofErr w:type="spellStart"/>
            <w:r w:rsidR="003A78A8" w:rsidRPr="00666B27">
              <w:rPr>
                <w:rFonts w:ascii="Arial Narrow" w:hAnsi="Arial Narrow"/>
                <w:b/>
                <w:bCs/>
                <w:sz w:val="18"/>
                <w:szCs w:val="18"/>
                <w:lang w:val="en-GB"/>
              </w:rPr>
              <w:t>EoP</w:t>
            </w:r>
            <w:proofErr w:type="spellEnd"/>
            <w:r w:rsidR="003A78A8" w:rsidRPr="00666B27">
              <w:rPr>
                <w:rFonts w:ascii="Arial Narrow" w:hAnsi="Arial Narrow"/>
                <w:b/>
                <w:bCs/>
                <w:sz w:val="18"/>
                <w:szCs w:val="18"/>
                <w:lang w:val="en-GB"/>
              </w:rPr>
              <w:t>)</w:t>
            </w:r>
          </w:p>
          <w:p w:rsidR="0053408E" w:rsidRPr="00666B27" w:rsidRDefault="003A78A8" w:rsidP="009A387C">
            <w:pPr>
              <w:spacing w:after="0"/>
              <w:jc w:val="center"/>
              <w:rPr>
                <w:rFonts w:ascii="Arial Narrow" w:hAnsi="Arial Narrow"/>
                <w:b/>
                <w:bCs/>
                <w:sz w:val="18"/>
                <w:szCs w:val="18"/>
                <w:lang w:val="en-GB"/>
              </w:rPr>
            </w:pPr>
            <w:r w:rsidRPr="00666B27">
              <w:rPr>
                <w:rFonts w:ascii="Arial Narrow" w:hAnsi="Arial Narrow"/>
                <w:b/>
                <w:bCs/>
                <w:sz w:val="18"/>
                <w:szCs w:val="18"/>
                <w:lang w:val="en-GB"/>
              </w:rPr>
              <w:t>t</w:t>
            </w:r>
            <w:r w:rsidR="0053408E" w:rsidRPr="00666B27">
              <w:rPr>
                <w:rFonts w:ascii="Arial Narrow" w:hAnsi="Arial Narrow"/>
                <w:b/>
                <w:bCs/>
                <w:sz w:val="18"/>
                <w:szCs w:val="18"/>
                <w:lang w:val="en-GB"/>
              </w:rPr>
              <w:t>arget</w:t>
            </w:r>
            <w:r w:rsidRPr="00666B27">
              <w:rPr>
                <w:rFonts w:ascii="Arial Narrow" w:hAnsi="Arial Narrow"/>
                <w:b/>
                <w:bCs/>
                <w:sz w:val="18"/>
                <w:szCs w:val="18"/>
                <w:lang w:val="en-GB"/>
              </w:rPr>
              <w:t xml:space="preserve"> (202</w:t>
            </w:r>
            <w:r w:rsidR="00244DB8" w:rsidRPr="00666B27">
              <w:rPr>
                <w:rFonts w:ascii="Arial Narrow" w:hAnsi="Arial Narrow"/>
                <w:b/>
                <w:bCs/>
                <w:sz w:val="18"/>
                <w:szCs w:val="18"/>
                <w:lang w:val="en-GB"/>
              </w:rPr>
              <w:t>3</w:t>
            </w:r>
            <w:r w:rsidRPr="00666B27">
              <w:rPr>
                <w:rFonts w:ascii="Arial Narrow" w:hAnsi="Arial Narrow"/>
                <w:b/>
                <w:bCs/>
                <w:sz w:val="18"/>
                <w:szCs w:val="18"/>
                <w:lang w:val="en-GB"/>
              </w:rPr>
              <w:t>)</w:t>
            </w:r>
          </w:p>
          <w:p w:rsidR="0053408E" w:rsidRPr="00666B27" w:rsidRDefault="0053408E" w:rsidP="009A387C">
            <w:pPr>
              <w:spacing w:after="0"/>
              <w:jc w:val="center"/>
              <w:rPr>
                <w:rFonts w:ascii="Arial Narrow" w:hAnsi="Arial Narrow"/>
                <w:b/>
                <w:bCs/>
                <w:sz w:val="18"/>
                <w:szCs w:val="18"/>
                <w:lang w:val="en-GB"/>
              </w:rPr>
            </w:pPr>
          </w:p>
        </w:tc>
        <w:tc>
          <w:tcPr>
            <w:tcW w:w="2807" w:type="dxa"/>
            <w:shd w:val="clear" w:color="auto" w:fill="FBE4D5"/>
          </w:tcPr>
          <w:p w:rsidR="0053408E" w:rsidRPr="00666B27" w:rsidRDefault="003A78A8" w:rsidP="009A387C">
            <w:pPr>
              <w:spacing w:after="0"/>
              <w:jc w:val="center"/>
              <w:rPr>
                <w:rFonts w:ascii="Arial Narrow" w:hAnsi="Arial Narrow"/>
                <w:b/>
                <w:bCs/>
                <w:sz w:val="18"/>
                <w:szCs w:val="18"/>
                <w:lang w:val="en-GB"/>
              </w:rPr>
            </w:pPr>
            <w:r w:rsidRPr="00666B27">
              <w:rPr>
                <w:rFonts w:ascii="Arial Narrow" w:hAnsi="Arial Narrow"/>
                <w:b/>
                <w:bCs/>
                <w:sz w:val="18"/>
                <w:szCs w:val="18"/>
                <w:lang w:val="en-GB"/>
              </w:rPr>
              <w:t>Data collection methods and r</w:t>
            </w:r>
            <w:r w:rsidR="00ED122C" w:rsidRPr="00666B27">
              <w:rPr>
                <w:rFonts w:ascii="Arial Narrow" w:hAnsi="Arial Narrow"/>
                <w:b/>
                <w:bCs/>
                <w:sz w:val="18"/>
                <w:szCs w:val="18"/>
                <w:lang w:val="en-GB"/>
              </w:rPr>
              <w:t>isks/</w:t>
            </w:r>
            <w:r w:rsidRPr="00666B27">
              <w:rPr>
                <w:rFonts w:ascii="Arial Narrow" w:hAnsi="Arial Narrow"/>
                <w:b/>
                <w:bCs/>
                <w:sz w:val="18"/>
                <w:szCs w:val="18"/>
                <w:lang w:val="en-GB"/>
              </w:rPr>
              <w:t>a</w:t>
            </w:r>
            <w:r w:rsidR="0053408E" w:rsidRPr="00666B27">
              <w:rPr>
                <w:rFonts w:ascii="Arial Narrow" w:hAnsi="Arial Narrow"/>
                <w:b/>
                <w:bCs/>
                <w:sz w:val="18"/>
                <w:szCs w:val="18"/>
                <w:lang w:val="en-GB"/>
              </w:rPr>
              <w:t>ssumptions</w:t>
            </w:r>
          </w:p>
          <w:p w:rsidR="0053408E" w:rsidRPr="00666B27" w:rsidRDefault="0053408E" w:rsidP="009A387C">
            <w:pPr>
              <w:spacing w:after="0"/>
              <w:jc w:val="center"/>
              <w:rPr>
                <w:rFonts w:ascii="Arial Narrow" w:hAnsi="Arial Narrow"/>
                <w:b/>
                <w:bCs/>
                <w:sz w:val="18"/>
                <w:szCs w:val="18"/>
                <w:lang w:val="en-GB"/>
              </w:rPr>
            </w:pPr>
          </w:p>
        </w:tc>
      </w:tr>
      <w:tr w:rsidR="00D30255" w:rsidRPr="0057545E" w:rsidTr="00F737AD">
        <w:trPr>
          <w:trHeight w:val="1526"/>
        </w:trPr>
        <w:tc>
          <w:tcPr>
            <w:tcW w:w="1951" w:type="dxa"/>
            <w:vMerge w:val="restart"/>
            <w:shd w:val="clear" w:color="auto" w:fill="FBE4D5"/>
          </w:tcPr>
          <w:p w:rsidR="00D30255" w:rsidRPr="00514DE8" w:rsidRDefault="00D30255" w:rsidP="009A387C">
            <w:pPr>
              <w:spacing w:after="0"/>
              <w:jc w:val="left"/>
              <w:rPr>
                <w:rFonts w:ascii="Arial Narrow" w:hAnsi="Arial Narrow"/>
                <w:b/>
                <w:bCs/>
                <w:sz w:val="18"/>
                <w:szCs w:val="18"/>
                <w:lang w:val="en-GB"/>
              </w:rPr>
            </w:pPr>
            <w:r w:rsidRPr="0057545E">
              <w:rPr>
                <w:rFonts w:ascii="Arial Narrow" w:hAnsi="Arial Narrow"/>
                <w:b/>
                <w:bCs/>
                <w:sz w:val="18"/>
                <w:szCs w:val="18"/>
                <w:lang w:val="en-GB"/>
              </w:rPr>
              <w:t>Project Objective:</w:t>
            </w:r>
          </w:p>
          <w:p w:rsidR="00D30255" w:rsidRPr="00353542" w:rsidRDefault="00D30255" w:rsidP="009A387C">
            <w:pPr>
              <w:spacing w:after="0"/>
              <w:jc w:val="left"/>
              <w:rPr>
                <w:rFonts w:ascii="Arial Narrow" w:hAnsi="Arial Narrow"/>
                <w:b/>
                <w:bCs/>
                <w:sz w:val="18"/>
                <w:szCs w:val="18"/>
                <w:lang w:val="en-GB"/>
              </w:rPr>
            </w:pPr>
          </w:p>
          <w:p w:rsidR="00D30255" w:rsidRPr="00666B27" w:rsidRDefault="00D30255" w:rsidP="009A387C">
            <w:pPr>
              <w:spacing w:after="0"/>
              <w:jc w:val="left"/>
              <w:rPr>
                <w:rFonts w:ascii="Arial Narrow" w:hAnsi="Arial Narrow"/>
                <w:bCs/>
                <w:sz w:val="18"/>
                <w:szCs w:val="18"/>
                <w:lang w:val="en-GB"/>
              </w:rPr>
            </w:pPr>
            <w:r w:rsidRPr="003B7D62">
              <w:rPr>
                <w:rFonts w:ascii="Arial Narrow" w:hAnsi="Arial Narrow"/>
                <w:bCs/>
                <w:sz w:val="18"/>
                <w:szCs w:val="18"/>
                <w:lang w:val="en-GB"/>
              </w:rPr>
              <w:t>Accelerating South Africa’s efforts to transition the economy to energy-efficient products, by a) developing South Africa’s market for LEDs on the electricity demand-side, and b) developing South Africa’s market for high-efficiency dist</w:t>
            </w:r>
            <w:r w:rsidRPr="004722F0">
              <w:rPr>
                <w:rFonts w:ascii="Arial Narrow" w:hAnsi="Arial Narrow"/>
                <w:bCs/>
                <w:sz w:val="18"/>
                <w:szCs w:val="18"/>
                <w:lang w:val="en-GB"/>
              </w:rPr>
              <w:t>ribution transformers on the electri</w:t>
            </w:r>
            <w:r w:rsidRPr="00666B27">
              <w:rPr>
                <w:rFonts w:ascii="Arial Narrow" w:hAnsi="Arial Narrow"/>
                <w:bCs/>
                <w:sz w:val="18"/>
                <w:szCs w:val="18"/>
                <w:lang w:val="en-GB"/>
              </w:rPr>
              <w:t>city supply-side, resulting in climate change mitigation, stable power supply and therefore economic development and improved energy access.</w:t>
            </w:r>
          </w:p>
        </w:tc>
        <w:tc>
          <w:tcPr>
            <w:tcW w:w="1985" w:type="dxa"/>
          </w:tcPr>
          <w:p w:rsidR="00D30255" w:rsidRPr="00666B27" w:rsidRDefault="00D30255" w:rsidP="00731F0C">
            <w:pPr>
              <w:numPr>
                <w:ilvl w:val="0"/>
                <w:numId w:val="36"/>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Reduction in electricity consumption by </w:t>
            </w:r>
            <w:proofErr w:type="gramStart"/>
            <w:r w:rsidRPr="00666B27">
              <w:rPr>
                <w:rFonts w:ascii="Arial Narrow" w:hAnsi="Arial Narrow"/>
                <w:bCs/>
                <w:sz w:val="18"/>
                <w:szCs w:val="18"/>
                <w:lang w:val="en-GB"/>
              </w:rPr>
              <w:t>high</w:t>
            </w:r>
            <w:proofErr w:type="gramEnd"/>
            <w:r w:rsidRPr="00666B27">
              <w:rPr>
                <w:rFonts w:ascii="Arial Narrow" w:hAnsi="Arial Narrow"/>
                <w:bCs/>
                <w:sz w:val="18"/>
                <w:szCs w:val="18"/>
                <w:lang w:val="en-GB"/>
              </w:rPr>
              <w:t xml:space="preserve"> efficient lighting (LED) and distribution transformers </w:t>
            </w:r>
          </w:p>
          <w:p w:rsidR="00F80A28" w:rsidRPr="00666B27" w:rsidRDefault="00F80A28" w:rsidP="00244DB8">
            <w:pPr>
              <w:tabs>
                <w:tab w:val="left" w:pos="227"/>
              </w:tabs>
              <w:spacing w:after="0"/>
              <w:ind w:left="227"/>
              <w:jc w:val="left"/>
              <w:rPr>
                <w:rFonts w:ascii="Arial Narrow" w:hAnsi="Arial Narrow"/>
                <w:bCs/>
                <w:sz w:val="18"/>
                <w:szCs w:val="18"/>
                <w:lang w:val="en-GB"/>
              </w:rPr>
            </w:pPr>
          </w:p>
        </w:tc>
        <w:tc>
          <w:tcPr>
            <w:tcW w:w="2409" w:type="dxa"/>
          </w:tcPr>
          <w:p w:rsidR="00D30255" w:rsidRPr="00666B27" w:rsidRDefault="00D30255" w:rsidP="009A387C">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62.0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of electricity per year consumed by lamps is projected to decline to </w:t>
            </w:r>
            <w:r w:rsidR="00244DB8" w:rsidRPr="00666B27">
              <w:rPr>
                <w:rFonts w:ascii="Arial Narrow" w:hAnsi="Arial Narrow"/>
                <w:bCs/>
                <w:sz w:val="18"/>
                <w:szCs w:val="18"/>
                <w:lang w:val="en-GB"/>
              </w:rPr>
              <w:t>49.4</w:t>
            </w:r>
            <w:r w:rsidRPr="00666B27">
              <w:rPr>
                <w:rFonts w:ascii="Arial Narrow" w:hAnsi="Arial Narrow"/>
                <w:bCs/>
                <w:sz w:val="18"/>
                <w:szCs w:val="18"/>
                <w:lang w:val="en-GB"/>
              </w:rPr>
              <w:t xml:space="preserve">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under business as usual and to 46.0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in 2030.</w:t>
            </w:r>
          </w:p>
          <w:p w:rsidR="00D30255" w:rsidRPr="00666B27" w:rsidRDefault="00D30255" w:rsidP="009A387C">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Losses due to transformers in </w:t>
            </w:r>
            <w:r w:rsidR="00244DB8" w:rsidRPr="00666B27">
              <w:rPr>
                <w:rFonts w:ascii="Arial Narrow" w:hAnsi="Arial Narrow"/>
                <w:bCs/>
                <w:sz w:val="18"/>
                <w:szCs w:val="18"/>
                <w:lang w:val="en-GB"/>
              </w:rPr>
              <w:t>2018 were 18.7</w:t>
            </w:r>
            <w:r w:rsidR="00C90005" w:rsidRPr="00666B27">
              <w:rPr>
                <w:rFonts w:ascii="Arial Narrow" w:hAnsi="Arial Narrow"/>
                <w:bCs/>
                <w:sz w:val="18"/>
                <w:szCs w:val="18"/>
                <w:lang w:val="en-GB"/>
              </w:rPr>
              <w:t xml:space="preserve"> </w:t>
            </w:r>
            <w:proofErr w:type="spellStart"/>
            <w:r w:rsidR="00C90005" w:rsidRPr="00666B27">
              <w:rPr>
                <w:rFonts w:ascii="Arial Narrow" w:hAnsi="Arial Narrow"/>
                <w:bCs/>
                <w:sz w:val="18"/>
                <w:szCs w:val="18"/>
                <w:lang w:val="en-GB"/>
              </w:rPr>
              <w:t>TWh</w:t>
            </w:r>
            <w:proofErr w:type="spellEnd"/>
            <w:r w:rsidR="00C90005" w:rsidRPr="00666B27">
              <w:rPr>
                <w:rFonts w:ascii="Arial Narrow" w:hAnsi="Arial Narrow"/>
                <w:bCs/>
                <w:sz w:val="18"/>
                <w:szCs w:val="18"/>
                <w:lang w:val="en-GB"/>
              </w:rPr>
              <w:t xml:space="preserve"> which will increase to 2</w:t>
            </w:r>
            <w:r w:rsidR="00244DB8" w:rsidRPr="00666B27">
              <w:rPr>
                <w:rFonts w:ascii="Arial Narrow" w:hAnsi="Arial Narrow"/>
                <w:bCs/>
                <w:sz w:val="18"/>
                <w:szCs w:val="18"/>
                <w:lang w:val="en-GB"/>
              </w:rPr>
              <w:t>1</w:t>
            </w:r>
            <w:r w:rsidR="00C90005" w:rsidRPr="00666B27">
              <w:rPr>
                <w:rFonts w:ascii="Arial Narrow" w:hAnsi="Arial Narrow"/>
                <w:bCs/>
                <w:sz w:val="18"/>
                <w:szCs w:val="18"/>
                <w:lang w:val="en-GB"/>
              </w:rPr>
              <w:t>.</w:t>
            </w:r>
            <w:r w:rsidR="00244DB8" w:rsidRPr="00666B27">
              <w:rPr>
                <w:rFonts w:ascii="Arial Narrow" w:hAnsi="Arial Narrow"/>
                <w:bCs/>
                <w:sz w:val="18"/>
                <w:szCs w:val="18"/>
                <w:lang w:val="en-GB"/>
              </w:rPr>
              <w:t>5</w:t>
            </w:r>
            <w:r w:rsidR="00C90005" w:rsidRPr="00666B27">
              <w:rPr>
                <w:rFonts w:ascii="Arial Narrow" w:hAnsi="Arial Narrow"/>
                <w:bCs/>
                <w:sz w:val="18"/>
                <w:szCs w:val="18"/>
                <w:lang w:val="en-GB"/>
              </w:rPr>
              <w:t xml:space="preserve"> </w:t>
            </w:r>
            <w:proofErr w:type="spellStart"/>
            <w:r w:rsidR="00C90005" w:rsidRPr="00666B27">
              <w:rPr>
                <w:rFonts w:ascii="Arial Narrow" w:hAnsi="Arial Narrow"/>
                <w:bCs/>
                <w:sz w:val="18"/>
                <w:szCs w:val="18"/>
                <w:lang w:val="en-GB"/>
              </w:rPr>
              <w:t>TWh</w:t>
            </w:r>
            <w:proofErr w:type="spellEnd"/>
            <w:r w:rsidR="00C90005" w:rsidRPr="00666B27">
              <w:rPr>
                <w:rFonts w:ascii="Arial Narrow" w:hAnsi="Arial Narrow"/>
                <w:bCs/>
                <w:sz w:val="18"/>
                <w:szCs w:val="18"/>
                <w:lang w:val="en-GB"/>
              </w:rPr>
              <w:t xml:space="preserve"> at </w:t>
            </w:r>
            <w:proofErr w:type="spellStart"/>
            <w:r w:rsidR="00C90005" w:rsidRPr="00666B27">
              <w:rPr>
                <w:rFonts w:ascii="Arial Narrow" w:hAnsi="Arial Narrow"/>
                <w:bCs/>
                <w:sz w:val="18"/>
                <w:szCs w:val="18"/>
                <w:lang w:val="en-GB"/>
              </w:rPr>
              <w:t>EoP</w:t>
            </w:r>
            <w:proofErr w:type="spellEnd"/>
            <w:r w:rsidR="00C90005" w:rsidRPr="00666B27">
              <w:rPr>
                <w:rFonts w:ascii="Arial Narrow" w:hAnsi="Arial Narrow"/>
                <w:bCs/>
                <w:sz w:val="18"/>
                <w:szCs w:val="18"/>
                <w:lang w:val="en-GB"/>
              </w:rPr>
              <w:t xml:space="preserve"> and </w:t>
            </w:r>
            <w:r w:rsidR="00244DB8" w:rsidRPr="00666B27">
              <w:rPr>
                <w:rFonts w:ascii="Arial Narrow" w:hAnsi="Arial Narrow"/>
                <w:bCs/>
                <w:sz w:val="18"/>
                <w:szCs w:val="18"/>
                <w:lang w:val="en-GB"/>
              </w:rPr>
              <w:t>26.1</w:t>
            </w:r>
            <w:r w:rsidR="00C90005" w:rsidRPr="00666B27">
              <w:rPr>
                <w:rFonts w:ascii="Arial Narrow" w:hAnsi="Arial Narrow"/>
                <w:bCs/>
                <w:sz w:val="18"/>
                <w:szCs w:val="18"/>
                <w:lang w:val="en-GB"/>
              </w:rPr>
              <w:t xml:space="preserve">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in baseline</w:t>
            </w:r>
          </w:p>
        </w:tc>
        <w:tc>
          <w:tcPr>
            <w:tcW w:w="2268" w:type="dxa"/>
          </w:tcPr>
          <w:p w:rsidR="00B05735" w:rsidRPr="00666B27" w:rsidRDefault="00B0573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annual energy savings over the baseline (of 53.4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of 7.5TWh at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(2021) </w:t>
            </w:r>
          </w:p>
          <w:p w:rsidR="00D30255" w:rsidRPr="00666B27" w:rsidRDefault="00B0573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Losses 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0.13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to 20.2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at </w:t>
            </w:r>
            <w:proofErr w:type="spellStart"/>
            <w:r w:rsidR="00D35EAD" w:rsidRPr="00666B27">
              <w:rPr>
                <w:rFonts w:ascii="Arial Narrow" w:hAnsi="Arial Narrow"/>
                <w:bCs/>
                <w:sz w:val="18"/>
                <w:szCs w:val="18"/>
                <w:lang w:val="en-GB"/>
              </w:rPr>
              <w:t>M</w:t>
            </w:r>
            <w:r w:rsidRPr="00666B27">
              <w:rPr>
                <w:rFonts w:ascii="Arial Narrow" w:hAnsi="Arial Narrow"/>
                <w:bCs/>
                <w:sz w:val="18"/>
                <w:szCs w:val="18"/>
                <w:lang w:val="en-GB"/>
              </w:rPr>
              <w:t>oP</w:t>
            </w:r>
            <w:proofErr w:type="spellEnd"/>
            <w:r w:rsidRPr="00666B27">
              <w:rPr>
                <w:rFonts w:ascii="Arial Narrow" w:hAnsi="Arial Narrow"/>
                <w:bCs/>
                <w:sz w:val="18"/>
                <w:szCs w:val="18"/>
                <w:lang w:val="en-GB"/>
              </w:rPr>
              <w:t xml:space="preserve"> (2021)</w:t>
            </w:r>
          </w:p>
        </w:tc>
        <w:tc>
          <w:tcPr>
            <w:tcW w:w="2722" w:type="dxa"/>
          </w:tcPr>
          <w:p w:rsidR="00D30255" w:rsidRPr="00666B27" w:rsidRDefault="00D30255" w:rsidP="009A387C">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w:t>
            </w:r>
            <w:r w:rsidR="00EA1D8B" w:rsidRPr="00666B27">
              <w:rPr>
                <w:rFonts w:ascii="Arial Narrow" w:hAnsi="Arial Narrow"/>
                <w:bCs/>
                <w:sz w:val="18"/>
                <w:szCs w:val="18"/>
                <w:lang w:val="en-GB"/>
              </w:rPr>
              <w:t xml:space="preserve">annual </w:t>
            </w:r>
            <w:r w:rsidRPr="00666B27">
              <w:rPr>
                <w:rFonts w:ascii="Arial Narrow" w:hAnsi="Arial Narrow"/>
                <w:bCs/>
                <w:sz w:val="18"/>
                <w:szCs w:val="18"/>
                <w:lang w:val="en-GB"/>
              </w:rPr>
              <w:t>energy s</w:t>
            </w:r>
            <w:r w:rsidR="0037480C" w:rsidRPr="00666B27">
              <w:rPr>
                <w:rFonts w:ascii="Arial Narrow" w:hAnsi="Arial Narrow"/>
                <w:bCs/>
                <w:sz w:val="18"/>
                <w:szCs w:val="18"/>
                <w:lang w:val="en-GB"/>
              </w:rPr>
              <w:t xml:space="preserve">avings over the baseline of </w:t>
            </w:r>
            <w:r w:rsidR="00244DB8" w:rsidRPr="00666B27">
              <w:rPr>
                <w:rFonts w:ascii="Arial Narrow" w:hAnsi="Arial Narrow"/>
                <w:bCs/>
                <w:sz w:val="18"/>
                <w:szCs w:val="18"/>
                <w:lang w:val="en-GB"/>
              </w:rPr>
              <w:t>8.5</w:t>
            </w:r>
            <w:r w:rsidRPr="00666B27">
              <w:rPr>
                <w:rFonts w:ascii="Arial Narrow" w:hAnsi="Arial Narrow"/>
                <w:bCs/>
                <w:sz w:val="18"/>
                <w:szCs w:val="18"/>
                <w:lang w:val="en-GB"/>
              </w:rPr>
              <w:t xml:space="preserve">TWh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w:t>
            </w:r>
            <w:r w:rsidR="00244DB8" w:rsidRPr="00666B27">
              <w:rPr>
                <w:rFonts w:ascii="Arial Narrow" w:hAnsi="Arial Narrow"/>
                <w:bCs/>
                <w:sz w:val="18"/>
                <w:szCs w:val="18"/>
                <w:lang w:val="en-GB"/>
              </w:rPr>
              <w:t>3</w:t>
            </w:r>
            <w:r w:rsidRPr="00666B27">
              <w:rPr>
                <w:rFonts w:ascii="Arial Narrow" w:hAnsi="Arial Narrow"/>
                <w:bCs/>
                <w:sz w:val="18"/>
                <w:szCs w:val="18"/>
                <w:lang w:val="en-GB"/>
              </w:rPr>
              <w:t>) and in 2030 savings of 1</w:t>
            </w:r>
            <w:r w:rsidR="00244DB8" w:rsidRPr="00666B27">
              <w:rPr>
                <w:rFonts w:ascii="Arial Narrow" w:hAnsi="Arial Narrow"/>
                <w:bCs/>
                <w:sz w:val="18"/>
                <w:szCs w:val="18"/>
                <w:lang w:val="en-GB"/>
              </w:rPr>
              <w:t>1.4</w:t>
            </w:r>
            <w:r w:rsidRPr="00666B27">
              <w:rPr>
                <w:rFonts w:ascii="Arial Narrow" w:hAnsi="Arial Narrow"/>
                <w:bCs/>
                <w:sz w:val="18"/>
                <w:szCs w:val="18"/>
                <w:lang w:val="en-GB"/>
              </w:rPr>
              <w:t xml:space="preserve">TWh (energy consumption due to lighting in 2030 is 34.6 </w:t>
            </w:r>
            <w:proofErr w:type="spellStart"/>
            <w:r w:rsidRPr="00666B27">
              <w:rPr>
                <w:rFonts w:ascii="Arial Narrow" w:hAnsi="Arial Narrow"/>
                <w:bCs/>
                <w:sz w:val="18"/>
                <w:szCs w:val="18"/>
                <w:lang w:val="en-GB"/>
              </w:rPr>
              <w:t>TWh</w:t>
            </w:r>
            <w:proofErr w:type="spellEnd"/>
            <w:r w:rsidR="00EA1D8B" w:rsidRPr="00666B27">
              <w:rPr>
                <w:rFonts w:ascii="Arial Narrow" w:hAnsi="Arial Narrow"/>
                <w:bCs/>
                <w:sz w:val="18"/>
                <w:szCs w:val="18"/>
                <w:lang w:val="en-GB"/>
              </w:rPr>
              <w:t xml:space="preserve"> in </w:t>
            </w:r>
            <w:r w:rsidR="00E236DA" w:rsidRPr="00666B27">
              <w:rPr>
                <w:rFonts w:ascii="Arial Narrow" w:hAnsi="Arial Narrow"/>
                <w:bCs/>
                <w:sz w:val="18"/>
                <w:szCs w:val="18"/>
                <w:lang w:val="en-GB"/>
              </w:rPr>
              <w:t xml:space="preserve">the </w:t>
            </w:r>
            <w:r w:rsidR="00EA1D8B" w:rsidRPr="00666B27">
              <w:rPr>
                <w:rFonts w:ascii="Arial Narrow" w:hAnsi="Arial Narrow"/>
                <w:bCs/>
                <w:noProof/>
                <w:sz w:val="18"/>
                <w:szCs w:val="18"/>
                <w:lang w:val="en-GB"/>
              </w:rPr>
              <w:t>alternative</w:t>
            </w:r>
            <w:r w:rsidRPr="00666B27">
              <w:rPr>
                <w:rFonts w:ascii="Arial Narrow" w:hAnsi="Arial Narrow"/>
                <w:bCs/>
                <w:sz w:val="18"/>
                <w:szCs w:val="18"/>
                <w:lang w:val="en-GB"/>
              </w:rPr>
              <w:t>).</w:t>
            </w:r>
          </w:p>
          <w:p w:rsidR="00D30255" w:rsidRPr="00666B27" w:rsidRDefault="00D30255" w:rsidP="009A387C">
            <w:pPr>
              <w:spacing w:after="0"/>
              <w:jc w:val="left"/>
              <w:rPr>
                <w:rFonts w:ascii="Arial Narrow" w:hAnsi="Arial Narrow"/>
                <w:b/>
                <w:bCs/>
                <w:sz w:val="18"/>
                <w:szCs w:val="18"/>
                <w:lang w:val="en-GB"/>
              </w:rPr>
            </w:pPr>
            <w:r w:rsidRPr="00666B27">
              <w:rPr>
                <w:rFonts w:ascii="Arial Narrow" w:hAnsi="Arial Narrow"/>
                <w:bCs/>
                <w:sz w:val="18"/>
                <w:szCs w:val="18"/>
                <w:lang w:val="en-GB"/>
              </w:rPr>
              <w:t xml:space="preserve">Losses 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w:t>
            </w:r>
            <w:r w:rsidR="0037480C" w:rsidRPr="00666B27">
              <w:rPr>
                <w:rFonts w:ascii="Arial Narrow" w:hAnsi="Arial Narrow"/>
                <w:bCs/>
                <w:noProof/>
                <w:sz w:val="18"/>
                <w:szCs w:val="18"/>
                <w:lang w:val="en-GB"/>
              </w:rPr>
              <w:t>ve</w:t>
            </w:r>
            <w:r w:rsidR="0037480C" w:rsidRPr="00666B27">
              <w:rPr>
                <w:rFonts w:ascii="Arial Narrow" w:hAnsi="Arial Narrow"/>
                <w:bCs/>
                <w:sz w:val="18"/>
                <w:szCs w:val="18"/>
                <w:lang w:val="en-GB"/>
              </w:rPr>
              <w:t xml:space="preserve"> scenario are reduced with 0.</w:t>
            </w:r>
            <w:r w:rsidR="00EA1D8B" w:rsidRPr="00666B27">
              <w:rPr>
                <w:rFonts w:ascii="Arial Narrow" w:hAnsi="Arial Narrow"/>
                <w:bCs/>
                <w:sz w:val="18"/>
                <w:szCs w:val="18"/>
                <w:lang w:val="en-GB"/>
              </w:rPr>
              <w:t>87</w:t>
            </w:r>
            <w:r w:rsidR="0037480C" w:rsidRPr="00666B27">
              <w:rPr>
                <w:rFonts w:ascii="Arial Narrow" w:hAnsi="Arial Narrow"/>
                <w:bCs/>
                <w:sz w:val="18"/>
                <w:szCs w:val="18"/>
                <w:lang w:val="en-GB"/>
              </w:rPr>
              <w:t xml:space="preserve"> </w:t>
            </w:r>
            <w:proofErr w:type="spellStart"/>
            <w:r w:rsidR="0037480C" w:rsidRPr="00666B27">
              <w:rPr>
                <w:rFonts w:ascii="Arial Narrow" w:hAnsi="Arial Narrow"/>
                <w:bCs/>
                <w:sz w:val="18"/>
                <w:szCs w:val="18"/>
                <w:lang w:val="en-GB"/>
              </w:rPr>
              <w:t>TWh</w:t>
            </w:r>
            <w:proofErr w:type="spellEnd"/>
            <w:r w:rsidR="0037480C" w:rsidRPr="00666B27">
              <w:rPr>
                <w:rFonts w:ascii="Arial Narrow" w:hAnsi="Arial Narrow"/>
                <w:bCs/>
                <w:sz w:val="18"/>
                <w:szCs w:val="18"/>
                <w:lang w:val="en-GB"/>
              </w:rPr>
              <w:t xml:space="preserve"> to 2</w:t>
            </w:r>
            <w:r w:rsidR="00EA1D8B" w:rsidRPr="00666B27">
              <w:rPr>
                <w:rFonts w:ascii="Arial Narrow" w:hAnsi="Arial Narrow"/>
                <w:bCs/>
                <w:sz w:val="18"/>
                <w:szCs w:val="18"/>
                <w:lang w:val="en-GB"/>
              </w:rPr>
              <w:t>0.6</w:t>
            </w:r>
            <w:r w:rsidR="0037480C" w:rsidRPr="00666B27">
              <w:rPr>
                <w:rFonts w:ascii="Arial Narrow" w:hAnsi="Arial Narrow"/>
                <w:bCs/>
                <w:sz w:val="18"/>
                <w:szCs w:val="18"/>
                <w:lang w:val="en-GB"/>
              </w:rPr>
              <w:t xml:space="preserve"> </w:t>
            </w:r>
            <w:proofErr w:type="spellStart"/>
            <w:r w:rsidR="0037480C" w:rsidRPr="00666B27">
              <w:rPr>
                <w:rFonts w:ascii="Arial Narrow" w:hAnsi="Arial Narrow"/>
                <w:bCs/>
                <w:sz w:val="18"/>
                <w:szCs w:val="18"/>
                <w:lang w:val="en-GB"/>
              </w:rPr>
              <w:t>TWh</w:t>
            </w:r>
            <w:proofErr w:type="spellEnd"/>
            <w:r w:rsidR="0037480C" w:rsidRPr="00666B27">
              <w:rPr>
                <w:rFonts w:ascii="Arial Narrow" w:hAnsi="Arial Narrow"/>
                <w:bCs/>
                <w:sz w:val="18"/>
                <w:szCs w:val="18"/>
                <w:lang w:val="en-GB"/>
              </w:rPr>
              <w:t xml:space="preserve"> at </w:t>
            </w:r>
            <w:proofErr w:type="spellStart"/>
            <w:r w:rsidR="0037480C" w:rsidRPr="00666B27">
              <w:rPr>
                <w:rFonts w:ascii="Arial Narrow" w:hAnsi="Arial Narrow"/>
                <w:bCs/>
                <w:sz w:val="18"/>
                <w:szCs w:val="18"/>
                <w:lang w:val="en-GB"/>
              </w:rPr>
              <w:t>EoP</w:t>
            </w:r>
            <w:proofErr w:type="spellEnd"/>
            <w:r w:rsidR="0037480C" w:rsidRPr="00666B27">
              <w:rPr>
                <w:rFonts w:ascii="Arial Narrow" w:hAnsi="Arial Narrow"/>
                <w:bCs/>
                <w:sz w:val="18"/>
                <w:szCs w:val="18"/>
                <w:lang w:val="en-GB"/>
              </w:rPr>
              <w:t xml:space="preserve"> (202</w:t>
            </w:r>
            <w:r w:rsidR="00EA1D8B" w:rsidRPr="00666B27">
              <w:rPr>
                <w:rFonts w:ascii="Arial Narrow" w:hAnsi="Arial Narrow"/>
                <w:bCs/>
                <w:sz w:val="18"/>
                <w:szCs w:val="18"/>
                <w:lang w:val="en-GB"/>
              </w:rPr>
              <w:t>3</w:t>
            </w:r>
            <w:r w:rsidR="0037480C" w:rsidRPr="00666B27">
              <w:rPr>
                <w:rFonts w:ascii="Arial Narrow" w:hAnsi="Arial Narrow"/>
                <w:bCs/>
                <w:sz w:val="18"/>
                <w:szCs w:val="18"/>
                <w:lang w:val="en-GB"/>
              </w:rPr>
              <w:t xml:space="preserve">) and with </w:t>
            </w:r>
            <w:r w:rsidR="00EA1D8B" w:rsidRPr="00666B27">
              <w:rPr>
                <w:rFonts w:ascii="Arial Narrow" w:hAnsi="Arial Narrow"/>
                <w:bCs/>
                <w:sz w:val="18"/>
                <w:szCs w:val="18"/>
                <w:lang w:val="en-GB"/>
              </w:rPr>
              <w:t>3.8</w:t>
            </w:r>
            <w:r w:rsidR="0037480C" w:rsidRPr="00666B27">
              <w:rPr>
                <w:rFonts w:ascii="Arial Narrow" w:hAnsi="Arial Narrow"/>
                <w:bCs/>
                <w:sz w:val="18"/>
                <w:szCs w:val="18"/>
                <w:lang w:val="en-GB"/>
              </w:rPr>
              <w:t xml:space="preserve"> </w:t>
            </w:r>
            <w:proofErr w:type="spellStart"/>
            <w:r w:rsidR="0037480C" w:rsidRPr="00666B27">
              <w:rPr>
                <w:rFonts w:ascii="Arial Narrow" w:hAnsi="Arial Narrow"/>
                <w:bCs/>
                <w:sz w:val="18"/>
                <w:szCs w:val="18"/>
                <w:lang w:val="en-GB"/>
              </w:rPr>
              <w:t>TWh</w:t>
            </w:r>
            <w:proofErr w:type="spellEnd"/>
            <w:r w:rsidR="0037480C" w:rsidRPr="00666B27">
              <w:rPr>
                <w:rFonts w:ascii="Arial Narrow" w:hAnsi="Arial Narrow"/>
                <w:bCs/>
                <w:sz w:val="18"/>
                <w:szCs w:val="18"/>
                <w:lang w:val="en-GB"/>
              </w:rPr>
              <w:t xml:space="preserve"> to 2</w:t>
            </w:r>
            <w:r w:rsidR="00EA1D8B" w:rsidRPr="00666B27">
              <w:rPr>
                <w:rFonts w:ascii="Arial Narrow" w:hAnsi="Arial Narrow"/>
                <w:bCs/>
                <w:sz w:val="18"/>
                <w:szCs w:val="18"/>
                <w:lang w:val="en-GB"/>
              </w:rPr>
              <w:t>2.3</w:t>
            </w:r>
            <w:r w:rsidRPr="00666B27">
              <w:rPr>
                <w:rFonts w:ascii="Arial Narrow" w:hAnsi="Arial Narrow"/>
                <w:bCs/>
                <w:sz w:val="18"/>
                <w:szCs w:val="18"/>
                <w:lang w:val="en-GB"/>
              </w:rPr>
              <w:t xml:space="preserve"> </w:t>
            </w:r>
            <w:proofErr w:type="spellStart"/>
            <w:r w:rsidRPr="00666B27">
              <w:rPr>
                <w:rFonts w:ascii="Arial Narrow" w:hAnsi="Arial Narrow"/>
                <w:bCs/>
                <w:sz w:val="18"/>
                <w:szCs w:val="18"/>
                <w:lang w:val="en-GB"/>
              </w:rPr>
              <w:t>TWh</w:t>
            </w:r>
            <w:proofErr w:type="spellEnd"/>
            <w:r w:rsidRPr="00666B27">
              <w:rPr>
                <w:rFonts w:ascii="Arial Narrow" w:hAnsi="Arial Narrow"/>
                <w:bCs/>
                <w:sz w:val="18"/>
                <w:szCs w:val="18"/>
                <w:lang w:val="en-GB"/>
              </w:rPr>
              <w:t xml:space="preserve"> </w:t>
            </w:r>
            <w:r w:rsidR="00EA1D8B" w:rsidRPr="00666B27">
              <w:rPr>
                <w:rFonts w:ascii="Arial Narrow" w:hAnsi="Arial Narrow"/>
                <w:bCs/>
                <w:sz w:val="18"/>
                <w:szCs w:val="18"/>
                <w:lang w:val="en-GB"/>
              </w:rPr>
              <w:t xml:space="preserve">annually </w:t>
            </w:r>
            <w:r w:rsidRPr="00666B27">
              <w:rPr>
                <w:rFonts w:ascii="Arial Narrow" w:hAnsi="Arial Narrow"/>
                <w:bCs/>
                <w:sz w:val="18"/>
                <w:szCs w:val="18"/>
                <w:lang w:val="en-GB"/>
              </w:rPr>
              <w:t>in 2030</w:t>
            </w:r>
          </w:p>
        </w:tc>
        <w:tc>
          <w:tcPr>
            <w:tcW w:w="2807" w:type="dxa"/>
            <w:vMerge w:val="restart"/>
          </w:tcPr>
          <w:p w:rsidR="00D30255" w:rsidRPr="00666B27" w:rsidRDefault="00D30255" w:rsidP="009A387C">
            <w:pPr>
              <w:spacing w:after="0"/>
              <w:jc w:val="left"/>
              <w:rPr>
                <w:rFonts w:ascii="Arial Narrow" w:hAnsi="Arial Narrow"/>
                <w:bCs/>
                <w:i/>
                <w:sz w:val="18"/>
                <w:szCs w:val="18"/>
                <w:lang w:val="en-GB"/>
              </w:rPr>
            </w:pPr>
            <w:r w:rsidRPr="00666B27">
              <w:rPr>
                <w:rFonts w:ascii="Arial Narrow" w:hAnsi="Arial Narrow"/>
                <w:sz w:val="18"/>
                <w:szCs w:val="18"/>
                <w:lang w:val="en-GB"/>
              </w:rPr>
              <w:t xml:space="preserve">The baseline and target values are based on the energy savings and emission reduction estimates that are partly based on information in U4E country assessment (lighting) and Eskom/NERSA data (transformers) and technical information in appliances from other sources, as explained in Annex </w:t>
            </w:r>
            <w:r w:rsidR="00063262" w:rsidRPr="00666B27">
              <w:rPr>
                <w:rFonts w:ascii="Arial Narrow" w:hAnsi="Arial Narrow"/>
                <w:sz w:val="18"/>
                <w:szCs w:val="18"/>
                <w:lang w:val="en-GB"/>
              </w:rPr>
              <w:t>E</w:t>
            </w:r>
            <w:r w:rsidRPr="00666B27">
              <w:rPr>
                <w:rFonts w:ascii="Arial Narrow" w:hAnsi="Arial Narrow"/>
                <w:sz w:val="18"/>
                <w:szCs w:val="18"/>
                <w:lang w:val="en-GB"/>
              </w:rPr>
              <w:t xml:space="preserve"> to the UNDP </w:t>
            </w:r>
            <w:proofErr w:type="spellStart"/>
            <w:r w:rsidRPr="00666B27">
              <w:rPr>
                <w:rFonts w:ascii="Arial Narrow" w:hAnsi="Arial Narrow"/>
                <w:sz w:val="18"/>
                <w:szCs w:val="18"/>
                <w:lang w:val="en-GB"/>
              </w:rPr>
              <w:t>ProDoc</w:t>
            </w:r>
            <w:proofErr w:type="spellEnd"/>
            <w:r w:rsidRPr="00666B27">
              <w:rPr>
                <w:rFonts w:ascii="Arial Narrow" w:hAnsi="Arial Narrow"/>
                <w:sz w:val="18"/>
                <w:szCs w:val="18"/>
                <w:lang w:val="en-GB"/>
              </w:rPr>
              <w:t>. Information on baseline values and prognoses (2021, 2030) will be updated in market assessments and other studies the Project will carry out (see Output 1.1 and Indicator 5)</w:t>
            </w:r>
          </w:p>
          <w:p w:rsidR="00D30255" w:rsidRPr="00666B27" w:rsidRDefault="00D30255" w:rsidP="000650E8">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As above. </w:t>
            </w:r>
          </w:p>
          <w:p w:rsidR="00D30255" w:rsidRPr="00666B27" w:rsidRDefault="00D30255" w:rsidP="000650E8">
            <w:pPr>
              <w:spacing w:after="0"/>
              <w:jc w:val="left"/>
              <w:rPr>
                <w:rFonts w:ascii="Arial Narrow" w:hAnsi="Arial Narrow"/>
                <w:bCs/>
                <w:sz w:val="18"/>
                <w:szCs w:val="18"/>
                <w:lang w:val="en-GB"/>
              </w:rPr>
            </w:pPr>
          </w:p>
          <w:p w:rsidR="00D30255" w:rsidRPr="00666B27" w:rsidRDefault="00D30255" w:rsidP="000650E8">
            <w:pPr>
              <w:spacing w:after="0"/>
              <w:jc w:val="left"/>
              <w:rPr>
                <w:rFonts w:ascii="Arial Narrow" w:hAnsi="Arial Narrow"/>
                <w:bCs/>
                <w:sz w:val="18"/>
                <w:szCs w:val="18"/>
                <w:lang w:val="en-GB"/>
              </w:rPr>
            </w:pPr>
            <w:r w:rsidRPr="00666B27">
              <w:rPr>
                <w:rFonts w:ascii="Arial Narrow" w:hAnsi="Arial Narrow"/>
                <w:bCs/>
                <w:i/>
                <w:sz w:val="18"/>
                <w:szCs w:val="18"/>
                <w:lang w:val="en-GB"/>
              </w:rPr>
              <w:t>Assumption</w:t>
            </w:r>
            <w:r w:rsidRPr="00666B27">
              <w:rPr>
                <w:rFonts w:ascii="Arial Narrow" w:hAnsi="Arial Narrow"/>
                <w:bCs/>
                <w:sz w:val="18"/>
                <w:szCs w:val="18"/>
                <w:lang w:val="en-GB"/>
              </w:rPr>
              <w:t xml:space="preserve">: The objectives of the project remain in line with the priorities of the South African </w:t>
            </w:r>
            <w:r w:rsidRPr="00666B27">
              <w:rPr>
                <w:rFonts w:ascii="Arial Narrow" w:hAnsi="Arial Narrow"/>
                <w:bCs/>
                <w:noProof/>
                <w:sz w:val="18"/>
                <w:szCs w:val="18"/>
                <w:lang w:val="en-GB"/>
              </w:rPr>
              <w:t>government</w:t>
            </w:r>
          </w:p>
          <w:p w:rsidR="00D30255" w:rsidRPr="00666B27" w:rsidRDefault="00D30255" w:rsidP="000650E8">
            <w:pPr>
              <w:spacing w:after="0"/>
              <w:jc w:val="left"/>
              <w:rPr>
                <w:rFonts w:ascii="Arial Narrow" w:hAnsi="Arial Narrow"/>
                <w:bCs/>
                <w:sz w:val="18"/>
                <w:szCs w:val="18"/>
                <w:lang w:val="en-GB"/>
              </w:rPr>
            </w:pPr>
          </w:p>
          <w:p w:rsidR="00D30255" w:rsidRPr="00666B27" w:rsidRDefault="00D30255" w:rsidP="000650E8">
            <w:pPr>
              <w:spacing w:after="0"/>
              <w:jc w:val="left"/>
              <w:rPr>
                <w:rFonts w:ascii="Arial Narrow" w:hAnsi="Arial Narrow"/>
                <w:bCs/>
                <w:sz w:val="18"/>
                <w:szCs w:val="18"/>
                <w:lang w:val="en-GB"/>
              </w:rPr>
            </w:pPr>
          </w:p>
          <w:p w:rsidR="00D30255" w:rsidRPr="00666B27" w:rsidRDefault="00D30255" w:rsidP="009A387C">
            <w:pPr>
              <w:spacing w:after="0"/>
              <w:jc w:val="left"/>
              <w:rPr>
                <w:rFonts w:ascii="Arial Narrow" w:hAnsi="Arial Narrow"/>
                <w:bCs/>
                <w:i/>
                <w:sz w:val="18"/>
                <w:szCs w:val="18"/>
                <w:lang w:val="en-GB"/>
              </w:rPr>
            </w:pPr>
          </w:p>
        </w:tc>
      </w:tr>
      <w:tr w:rsidR="00B05735" w:rsidRPr="0057545E" w:rsidTr="00F737AD">
        <w:trPr>
          <w:trHeight w:val="353"/>
        </w:trPr>
        <w:tc>
          <w:tcPr>
            <w:tcW w:w="1951" w:type="dxa"/>
            <w:vMerge/>
            <w:shd w:val="clear" w:color="auto" w:fill="FBE4D5"/>
          </w:tcPr>
          <w:p w:rsidR="00B05735" w:rsidRPr="00666B27" w:rsidRDefault="00B05735" w:rsidP="00B05735">
            <w:pPr>
              <w:spacing w:after="0"/>
              <w:jc w:val="left"/>
              <w:rPr>
                <w:rFonts w:ascii="Arial Narrow" w:hAnsi="Arial Narrow"/>
                <w:b/>
                <w:bCs/>
                <w:sz w:val="18"/>
                <w:szCs w:val="18"/>
                <w:lang w:val="en-GB"/>
              </w:rPr>
            </w:pPr>
          </w:p>
        </w:tc>
        <w:tc>
          <w:tcPr>
            <w:tcW w:w="1985" w:type="dxa"/>
          </w:tcPr>
          <w:p w:rsidR="00B05735" w:rsidRPr="00666B27" w:rsidRDefault="00644371" w:rsidP="00B05735">
            <w:pPr>
              <w:numPr>
                <w:ilvl w:val="0"/>
                <w:numId w:val="36"/>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sz w:val="18"/>
                <w:szCs w:val="18"/>
                <w:lang w:val="en-GB"/>
              </w:rPr>
              <w:t>Reduction in GHG emission from electricity consumption by LEDs and high-efficiency transformers (linked with indicator 1)</w:t>
            </w:r>
          </w:p>
          <w:p w:rsidR="00644371" w:rsidRPr="003B7D62" w:rsidRDefault="003A2690" w:rsidP="00B05735">
            <w:pPr>
              <w:tabs>
                <w:tab w:val="left" w:pos="227"/>
              </w:tabs>
              <w:spacing w:after="0"/>
              <w:ind w:left="227"/>
              <w:jc w:val="left"/>
              <w:rPr>
                <w:rFonts w:ascii="Arial Narrow" w:hAnsi="Arial Narrow"/>
                <w:bCs/>
                <w:sz w:val="18"/>
                <w:szCs w:val="18"/>
                <w:lang w:val="en-GB"/>
              </w:rPr>
            </w:pPr>
            <w:r>
              <w:rPr>
                <w:noProof/>
              </w:rPr>
              <w:drawing>
                <wp:anchor distT="0" distB="0" distL="114300" distR="114300" simplePos="0" relativeHeight="251658240" behindDoc="0" locked="0" layoutInCell="1" allowOverlap="1">
                  <wp:simplePos x="0" y="0"/>
                  <wp:positionH relativeFrom="page">
                    <wp:posOffset>236220</wp:posOffset>
                  </wp:positionH>
                  <wp:positionV relativeFrom="page">
                    <wp:posOffset>1249680</wp:posOffset>
                  </wp:positionV>
                  <wp:extent cx="2548255" cy="822960"/>
                  <wp:effectExtent l="0" t="0" r="0" b="0"/>
                  <wp:wrapNone/>
                  <wp:docPr id="88"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48255" cy="822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44371" w:rsidRPr="0057545E">
              <w:rPr>
                <w:rFonts w:ascii="Arial Narrow" w:hAnsi="Arial Narrow"/>
                <w:b/>
                <w:bCs/>
                <w:i/>
                <w:sz w:val="18"/>
                <w:szCs w:val="18"/>
                <w:lang w:val="en-GB"/>
              </w:rPr>
              <w:t xml:space="preserve">b. </w:t>
            </w:r>
            <w:r w:rsidR="00644371" w:rsidRPr="00514DE8">
              <w:rPr>
                <w:rFonts w:ascii="Arial Narrow" w:hAnsi="Arial Narrow"/>
                <w:bCs/>
                <w:sz w:val="18"/>
                <w:szCs w:val="18"/>
                <w:lang w:val="en-GB"/>
              </w:rPr>
              <w:t xml:space="preserve">Emission reduction </w:t>
            </w:r>
            <w:r w:rsidR="00644371" w:rsidRPr="00353542">
              <w:rPr>
                <w:rFonts w:ascii="Arial Narrow" w:hAnsi="Arial Narrow"/>
                <w:bCs/>
                <w:sz w:val="18"/>
                <w:szCs w:val="18"/>
                <w:lang w:val="en-GB"/>
              </w:rPr>
              <w:t>attributable to</w:t>
            </w:r>
            <w:r w:rsidR="00644371" w:rsidRPr="003B7D62">
              <w:rPr>
                <w:rFonts w:ascii="Arial Narrow" w:hAnsi="Arial Narrow"/>
                <w:b/>
                <w:bCs/>
                <w:i/>
                <w:sz w:val="18"/>
                <w:szCs w:val="18"/>
                <w:lang w:val="en-GB"/>
              </w:rPr>
              <w:t xml:space="preserve"> </w:t>
            </w:r>
            <w:r w:rsidR="00644371" w:rsidRPr="003B7D62">
              <w:rPr>
                <w:rFonts w:ascii="Arial Narrow" w:hAnsi="Arial Narrow"/>
                <w:bCs/>
                <w:sz w:val="18"/>
                <w:szCs w:val="18"/>
                <w:lang w:val="en-GB"/>
              </w:rPr>
              <w:t>Project</w:t>
            </w:r>
          </w:p>
          <w:p w:rsidR="00B05735" w:rsidRPr="00666B27" w:rsidRDefault="00B05735" w:rsidP="00B05735">
            <w:pPr>
              <w:tabs>
                <w:tab w:val="left" w:pos="227"/>
              </w:tabs>
              <w:spacing w:after="0"/>
              <w:ind w:left="227"/>
              <w:jc w:val="left"/>
              <w:rPr>
                <w:rFonts w:ascii="Arial Narrow" w:hAnsi="Arial Narrow"/>
                <w:bCs/>
                <w:sz w:val="18"/>
                <w:szCs w:val="18"/>
                <w:lang w:val="en-GB"/>
              </w:rPr>
            </w:pPr>
            <w:r w:rsidRPr="004722F0">
              <w:rPr>
                <w:rFonts w:ascii="Arial Narrow" w:hAnsi="Arial Narrow"/>
                <w:bCs/>
                <w:i/>
                <w:sz w:val="18"/>
                <w:szCs w:val="18"/>
                <w:lang w:val="en-GB"/>
              </w:rPr>
              <w:t>[GEF Indicator 6</w:t>
            </w:r>
            <w:r w:rsidRPr="00666B27">
              <w:rPr>
                <w:rFonts w:ascii="Arial Narrow" w:hAnsi="Arial Narrow"/>
                <w:bCs/>
                <w:sz w:val="18"/>
                <w:szCs w:val="18"/>
                <w:lang w:val="en-GB"/>
              </w:rPr>
              <w:t>]</w:t>
            </w:r>
          </w:p>
        </w:tc>
        <w:tc>
          <w:tcPr>
            <w:tcW w:w="2409" w:type="dxa"/>
          </w:tcPr>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sz w:val="18"/>
                <w:szCs w:val="18"/>
                <w:lang w:val="en-GB"/>
              </w:rPr>
              <w:t>63.4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of GHG emissions due to lighting is projected to decline to 44.9 ktCO</w:t>
            </w:r>
            <w:r w:rsidR="00B05735" w:rsidRPr="00666B27">
              <w:rPr>
                <w:rFonts w:ascii="Arial Narrow" w:hAnsi="Arial Narrow"/>
                <w:bCs/>
                <w:sz w:val="18"/>
                <w:szCs w:val="18"/>
                <w:vertAlign w:val="subscript"/>
                <w:lang w:val="en-GB"/>
              </w:rPr>
              <w:t xml:space="preserve">2 </w:t>
            </w:r>
            <w:r w:rsidR="00B05735" w:rsidRPr="00666B27">
              <w:rPr>
                <w:rFonts w:ascii="Arial Narrow" w:hAnsi="Arial Narrow"/>
                <w:bCs/>
                <w:sz w:val="18"/>
                <w:szCs w:val="18"/>
                <w:lang w:val="en-GB"/>
              </w:rPr>
              <w:t xml:space="preserve">at </w:t>
            </w:r>
            <w:proofErr w:type="spellStart"/>
            <w:r w:rsidR="00B05735" w:rsidRPr="00666B27">
              <w:rPr>
                <w:rFonts w:ascii="Arial Narrow" w:hAnsi="Arial Narrow"/>
                <w:bCs/>
                <w:sz w:val="18"/>
                <w:szCs w:val="18"/>
                <w:lang w:val="en-GB"/>
              </w:rPr>
              <w:t>EoP</w:t>
            </w:r>
            <w:proofErr w:type="spellEnd"/>
            <w:r w:rsidR="00B05735" w:rsidRPr="00666B27">
              <w:rPr>
                <w:rFonts w:ascii="Arial Narrow" w:hAnsi="Arial Narrow"/>
                <w:bCs/>
                <w:sz w:val="18"/>
                <w:szCs w:val="18"/>
                <w:lang w:val="en-GB"/>
              </w:rPr>
              <w:t xml:space="preserve"> under business as usual and to 43.4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in 2030.</w:t>
            </w:r>
          </w:p>
          <w:p w:rsidR="00B05735" w:rsidRPr="00666B27" w:rsidRDefault="00B0573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w:t>
            </w:r>
            <w:r w:rsidRPr="00666B27">
              <w:rPr>
                <w:rFonts w:ascii="Arial Narrow" w:hAnsi="Arial Narrow"/>
                <w:bCs/>
                <w:noProof/>
                <w:sz w:val="18"/>
                <w:szCs w:val="18"/>
                <w:lang w:val="en-GB"/>
              </w:rPr>
              <w:t>in</w:t>
            </w:r>
            <w:r w:rsidRPr="00666B27">
              <w:rPr>
                <w:rFonts w:ascii="Arial Narrow" w:hAnsi="Arial Narrow"/>
                <w:bCs/>
                <w:sz w:val="18"/>
                <w:szCs w:val="18"/>
                <w:lang w:val="en-GB"/>
              </w:rPr>
              <w:t xml:space="preserve"> will increase to 19.8ktCO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 xml:space="preserve">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23.1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in 2030</w:t>
            </w:r>
          </w:p>
          <w:p w:rsidR="00B05735" w:rsidRPr="00666B27" w:rsidRDefault="00B05735" w:rsidP="00B05735">
            <w:pPr>
              <w:spacing w:after="0"/>
              <w:jc w:val="left"/>
              <w:rPr>
                <w:rFonts w:ascii="Arial Narrow" w:hAnsi="Arial Narrow"/>
                <w:bCs/>
                <w:sz w:val="18"/>
                <w:szCs w:val="18"/>
                <w:lang w:val="en-GB"/>
              </w:rPr>
            </w:pPr>
          </w:p>
        </w:tc>
        <w:tc>
          <w:tcPr>
            <w:tcW w:w="2268" w:type="dxa"/>
          </w:tcPr>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sz w:val="18"/>
                <w:szCs w:val="18"/>
                <w:lang w:val="en-GB"/>
              </w:rPr>
              <w:t xml:space="preserve">In </w:t>
            </w:r>
            <w:r w:rsidR="00E236DA" w:rsidRPr="00666B27">
              <w:rPr>
                <w:rFonts w:ascii="Arial Narrow" w:hAnsi="Arial Narrow"/>
                <w:bCs/>
                <w:sz w:val="18"/>
                <w:szCs w:val="18"/>
                <w:lang w:val="en-GB"/>
              </w:rPr>
              <w:t xml:space="preserve">the </w:t>
            </w:r>
            <w:r w:rsidR="00B05735" w:rsidRPr="00666B27">
              <w:rPr>
                <w:rFonts w:ascii="Arial Narrow" w:hAnsi="Arial Narrow"/>
                <w:bCs/>
                <w:noProof/>
                <w:sz w:val="18"/>
                <w:szCs w:val="18"/>
                <w:lang w:val="en-GB"/>
              </w:rPr>
              <w:t>alternative</w:t>
            </w:r>
            <w:r w:rsidR="00B05735" w:rsidRPr="00666B27">
              <w:rPr>
                <w:rFonts w:ascii="Arial Narrow" w:hAnsi="Arial Narrow"/>
                <w:bCs/>
                <w:sz w:val="18"/>
                <w:szCs w:val="18"/>
                <w:lang w:val="en-GB"/>
              </w:rPr>
              <w:t xml:space="preserve"> scenario, the additional GHG emission reduction (over the baseline) of 7.5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at </w:t>
            </w:r>
            <w:proofErr w:type="spellStart"/>
            <w:r w:rsidR="00B05735" w:rsidRPr="00666B27">
              <w:rPr>
                <w:rFonts w:ascii="Arial Narrow" w:hAnsi="Arial Narrow"/>
                <w:bCs/>
                <w:sz w:val="18"/>
                <w:szCs w:val="18"/>
                <w:lang w:val="en-GB"/>
              </w:rPr>
              <w:t>EoP</w:t>
            </w:r>
            <w:proofErr w:type="spellEnd"/>
            <w:r w:rsidR="00B05735" w:rsidRPr="00666B27">
              <w:rPr>
                <w:rFonts w:ascii="Arial Narrow" w:hAnsi="Arial Narrow"/>
                <w:bCs/>
                <w:sz w:val="18"/>
                <w:szCs w:val="18"/>
                <w:lang w:val="en-GB"/>
              </w:rPr>
              <w:t xml:space="preserve"> (2021, baseline emissions are 53.5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w:t>
            </w:r>
          </w:p>
          <w:p w:rsidR="00B05735" w:rsidRPr="00666B27" w:rsidRDefault="00B0573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0.12 ktCO</w:t>
            </w:r>
            <w:r w:rsidRPr="00666B27">
              <w:rPr>
                <w:rFonts w:ascii="Arial Narrow" w:hAnsi="Arial Narrow"/>
                <w:bCs/>
                <w:sz w:val="18"/>
                <w:szCs w:val="18"/>
                <w:vertAlign w:val="subscript"/>
                <w:lang w:val="en-GB"/>
              </w:rPr>
              <w:t>2</w:t>
            </w:r>
            <w:r w:rsidR="00D35EAD" w:rsidRPr="00666B27">
              <w:rPr>
                <w:rFonts w:ascii="Arial Narrow" w:hAnsi="Arial Narrow"/>
                <w:bCs/>
                <w:sz w:val="18"/>
                <w:szCs w:val="18"/>
                <w:lang w:val="en-GB"/>
              </w:rPr>
              <w:t xml:space="preserve"> </w:t>
            </w:r>
            <w:r w:rsidRPr="00666B27">
              <w:rPr>
                <w:rFonts w:ascii="Arial Narrow" w:hAnsi="Arial Narrow"/>
                <w:bCs/>
                <w:sz w:val="18"/>
                <w:szCs w:val="18"/>
                <w:lang w:val="en-GB"/>
              </w:rPr>
              <w:t>to 19.</w:t>
            </w:r>
            <w:r w:rsidR="00D35EAD" w:rsidRPr="00666B27">
              <w:rPr>
                <w:rFonts w:ascii="Arial Narrow" w:hAnsi="Arial Narrow"/>
                <w:bCs/>
                <w:sz w:val="18"/>
                <w:szCs w:val="18"/>
                <w:lang w:val="en-GB"/>
              </w:rPr>
              <w:t>0</w:t>
            </w:r>
            <w:r w:rsidRPr="00666B27">
              <w:rPr>
                <w:rFonts w:ascii="Arial Narrow" w:hAnsi="Arial Narrow"/>
                <w:bCs/>
                <w:sz w:val="18"/>
                <w:szCs w:val="18"/>
                <w:lang w:val="en-GB"/>
              </w:rPr>
              <w:t xml:space="preserve">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00D35EAD" w:rsidRPr="00666B27">
              <w:rPr>
                <w:rFonts w:ascii="Arial Narrow" w:hAnsi="Arial Narrow"/>
                <w:bCs/>
                <w:sz w:val="18"/>
                <w:szCs w:val="18"/>
                <w:lang w:val="en-GB"/>
              </w:rPr>
              <w:t>MoP</w:t>
            </w:r>
            <w:proofErr w:type="spellEnd"/>
            <w:r w:rsidR="00D35EAD" w:rsidRPr="00666B27">
              <w:rPr>
                <w:rFonts w:ascii="Arial Narrow" w:hAnsi="Arial Narrow"/>
                <w:bCs/>
                <w:sz w:val="18"/>
                <w:szCs w:val="18"/>
                <w:lang w:val="en-GB"/>
              </w:rPr>
              <w:t>.</w:t>
            </w:r>
          </w:p>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proofErr w:type="gramStart"/>
            <w:r w:rsidR="00B05735" w:rsidRPr="00666B27">
              <w:rPr>
                <w:rFonts w:ascii="Arial Narrow" w:hAnsi="Arial Narrow"/>
                <w:bCs/>
                <w:sz w:val="18"/>
                <w:szCs w:val="18"/>
                <w:lang w:val="en-GB"/>
              </w:rPr>
              <w:t>Taking into account</w:t>
            </w:r>
            <w:proofErr w:type="gramEnd"/>
            <w:r w:rsidR="00B05735" w:rsidRPr="00666B27">
              <w:rPr>
                <w:rFonts w:ascii="Arial Narrow" w:hAnsi="Arial Narrow"/>
                <w:bCs/>
                <w:sz w:val="18"/>
                <w:szCs w:val="18"/>
                <w:lang w:val="en-GB"/>
              </w:rPr>
              <w:t xml:space="preserve"> a causality factor (CF), cumulative savings 2019-20</w:t>
            </w:r>
            <w:r w:rsidR="00D35EAD" w:rsidRPr="00666B27">
              <w:rPr>
                <w:rFonts w:ascii="Arial Narrow" w:hAnsi="Arial Narrow"/>
                <w:bCs/>
                <w:sz w:val="18"/>
                <w:szCs w:val="18"/>
                <w:lang w:val="en-GB"/>
              </w:rPr>
              <w:t>21</w:t>
            </w:r>
            <w:r w:rsidR="00B05735" w:rsidRPr="00666B27">
              <w:rPr>
                <w:rFonts w:ascii="Arial Narrow" w:hAnsi="Arial Narrow"/>
                <w:bCs/>
                <w:sz w:val="18"/>
                <w:szCs w:val="18"/>
                <w:lang w:val="en-GB"/>
              </w:rPr>
              <w:t xml:space="preserve"> (over the baseline) </w:t>
            </w:r>
            <w:r w:rsidR="00B05735" w:rsidRPr="00666B27">
              <w:rPr>
                <w:rFonts w:ascii="Arial Narrow" w:hAnsi="Arial Narrow"/>
                <w:bCs/>
                <w:noProof/>
                <w:sz w:val="18"/>
                <w:szCs w:val="18"/>
                <w:lang w:val="en-GB"/>
              </w:rPr>
              <w:t>are</w:t>
            </w:r>
            <w:r w:rsidR="00B05735" w:rsidRPr="00666B27">
              <w:rPr>
                <w:rFonts w:ascii="Arial Narrow" w:hAnsi="Arial Narrow"/>
                <w:bCs/>
                <w:sz w:val="18"/>
                <w:szCs w:val="18"/>
                <w:lang w:val="en-GB"/>
              </w:rPr>
              <w:t xml:space="preserve"> </w:t>
            </w:r>
            <w:r w:rsidR="00D35EAD" w:rsidRPr="00666B27">
              <w:rPr>
                <w:rFonts w:ascii="Arial Narrow" w:hAnsi="Arial Narrow"/>
                <w:bCs/>
                <w:sz w:val="18"/>
                <w:szCs w:val="18"/>
                <w:lang w:val="en-GB"/>
              </w:rPr>
              <w:t>9.1 ktCO</w:t>
            </w:r>
            <w:r w:rsidR="00D35EAD" w:rsidRPr="00666B27">
              <w:rPr>
                <w:rFonts w:ascii="Arial Narrow" w:hAnsi="Arial Narrow"/>
                <w:bCs/>
                <w:sz w:val="18"/>
                <w:szCs w:val="18"/>
                <w:vertAlign w:val="subscript"/>
                <w:lang w:val="en-GB"/>
              </w:rPr>
              <w:t>2</w:t>
            </w:r>
            <w:r w:rsidR="00D35EAD" w:rsidRPr="00666B27">
              <w:rPr>
                <w:rFonts w:ascii="Arial Narrow" w:hAnsi="Arial Narrow"/>
                <w:bCs/>
                <w:sz w:val="18"/>
                <w:szCs w:val="18"/>
                <w:lang w:val="en-GB"/>
              </w:rPr>
              <w:t xml:space="preserve"> </w:t>
            </w:r>
            <w:r w:rsidR="00B05735" w:rsidRPr="00666B27">
              <w:rPr>
                <w:rFonts w:ascii="Arial Narrow" w:hAnsi="Arial Narrow"/>
                <w:bCs/>
                <w:sz w:val="18"/>
                <w:szCs w:val="18"/>
                <w:lang w:val="en-GB"/>
              </w:rPr>
              <w:t xml:space="preserve"> </w:t>
            </w:r>
          </w:p>
        </w:tc>
        <w:tc>
          <w:tcPr>
            <w:tcW w:w="2722" w:type="dxa"/>
          </w:tcPr>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sz w:val="18"/>
                <w:szCs w:val="18"/>
                <w:lang w:val="en-GB"/>
              </w:rPr>
              <w:t xml:space="preserve">In </w:t>
            </w:r>
            <w:r w:rsidR="00E236DA" w:rsidRPr="00666B27">
              <w:rPr>
                <w:rFonts w:ascii="Arial Narrow" w:hAnsi="Arial Narrow"/>
                <w:bCs/>
                <w:sz w:val="18"/>
                <w:szCs w:val="18"/>
                <w:lang w:val="en-GB"/>
              </w:rPr>
              <w:t xml:space="preserve">the </w:t>
            </w:r>
            <w:r w:rsidR="00B05735" w:rsidRPr="00666B27">
              <w:rPr>
                <w:rFonts w:ascii="Arial Narrow" w:hAnsi="Arial Narrow"/>
                <w:bCs/>
                <w:noProof/>
                <w:sz w:val="18"/>
                <w:szCs w:val="18"/>
                <w:lang w:val="en-GB"/>
              </w:rPr>
              <w:t>alternative</w:t>
            </w:r>
            <w:r w:rsidR="00B05735" w:rsidRPr="00666B27">
              <w:rPr>
                <w:rFonts w:ascii="Arial Narrow" w:hAnsi="Arial Narrow"/>
                <w:bCs/>
                <w:sz w:val="18"/>
                <w:szCs w:val="18"/>
                <w:lang w:val="en-GB"/>
              </w:rPr>
              <w:t xml:space="preserve"> scenario, the additional GHG emission reduction (over the baseline) of 8.1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at </w:t>
            </w:r>
            <w:proofErr w:type="spellStart"/>
            <w:r w:rsidR="00B05735" w:rsidRPr="00666B27">
              <w:rPr>
                <w:rFonts w:ascii="Arial Narrow" w:hAnsi="Arial Narrow"/>
                <w:bCs/>
                <w:sz w:val="18"/>
                <w:szCs w:val="18"/>
                <w:lang w:val="en-GB"/>
              </w:rPr>
              <w:t>EoP</w:t>
            </w:r>
            <w:proofErr w:type="spellEnd"/>
            <w:r w:rsidR="00B05735" w:rsidRPr="00666B27">
              <w:rPr>
                <w:rFonts w:ascii="Arial Narrow" w:hAnsi="Arial Narrow"/>
                <w:bCs/>
                <w:sz w:val="18"/>
                <w:szCs w:val="18"/>
                <w:lang w:val="en-GB"/>
              </w:rPr>
              <w:t xml:space="preserve"> (2023, emissions are 44.9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and in 2030 emission reduction of 10.7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annually over the baseline (GHG emissions due to lighting in 2030 are 32.7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w:t>
            </w:r>
          </w:p>
          <w:p w:rsidR="00B05735" w:rsidRPr="00666B27" w:rsidRDefault="00B0573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Emissions due to transformer losses 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alternative</w:t>
            </w:r>
            <w:r w:rsidRPr="00666B27">
              <w:rPr>
                <w:rFonts w:ascii="Arial Narrow" w:hAnsi="Arial Narrow"/>
                <w:bCs/>
                <w:sz w:val="18"/>
                <w:szCs w:val="18"/>
                <w:lang w:val="en-GB"/>
              </w:rPr>
              <w:t xml:space="preserve"> scenario are reduced with 0.81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h to 19.2 ktCO</w:t>
            </w:r>
            <w:r w:rsidRPr="00666B27">
              <w:rPr>
                <w:rFonts w:ascii="Arial Narrow" w:hAnsi="Arial Narrow"/>
                <w:bCs/>
                <w:sz w:val="18"/>
                <w:szCs w:val="18"/>
                <w:vertAlign w:val="subscript"/>
                <w:lang w:val="en-GB"/>
              </w:rPr>
              <w:t>2</w:t>
            </w:r>
            <w:r w:rsidRPr="00666B27">
              <w:rPr>
                <w:rFonts w:ascii="Arial Narrow" w:hAnsi="Arial Narrow"/>
                <w:bCs/>
                <w:sz w:val="18"/>
                <w:szCs w:val="18"/>
                <w:lang w:val="en-GB"/>
              </w:rPr>
              <w:t xml:space="preserve"> at </w:t>
            </w:r>
            <w:proofErr w:type="spellStart"/>
            <w:r w:rsidRPr="00666B27">
              <w:rPr>
                <w:rFonts w:ascii="Arial Narrow" w:hAnsi="Arial Narrow"/>
                <w:bCs/>
                <w:sz w:val="18"/>
                <w:szCs w:val="18"/>
                <w:lang w:val="en-GB"/>
              </w:rPr>
              <w:t>EoP</w:t>
            </w:r>
            <w:proofErr w:type="spellEnd"/>
            <w:r w:rsidRPr="00666B27">
              <w:rPr>
                <w:rFonts w:ascii="Arial Narrow" w:hAnsi="Arial Narrow"/>
                <w:bCs/>
                <w:sz w:val="18"/>
                <w:szCs w:val="18"/>
                <w:lang w:val="en-GB"/>
              </w:rPr>
              <w:t xml:space="preserve"> (2023) and with 3.4 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to 19.8 ktCO</w:t>
            </w:r>
            <w:r w:rsidRPr="00666B27">
              <w:rPr>
                <w:rFonts w:ascii="Arial Narrow" w:hAnsi="Arial Narrow"/>
                <w:bCs/>
                <w:sz w:val="18"/>
                <w:szCs w:val="18"/>
                <w:vertAlign w:val="subscript"/>
                <w:lang w:val="en-GB"/>
              </w:rPr>
              <w:t xml:space="preserve">2 </w:t>
            </w:r>
            <w:r w:rsidRPr="00666B27">
              <w:rPr>
                <w:rFonts w:ascii="Arial Narrow" w:hAnsi="Arial Narrow"/>
                <w:bCs/>
                <w:sz w:val="18"/>
                <w:szCs w:val="18"/>
                <w:lang w:val="en-GB"/>
              </w:rPr>
              <w:t>annually in 2030.</w:t>
            </w:r>
          </w:p>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proofErr w:type="gramStart"/>
            <w:r w:rsidR="00B05735" w:rsidRPr="00666B27">
              <w:rPr>
                <w:rFonts w:ascii="Arial Narrow" w:hAnsi="Arial Narrow"/>
                <w:bCs/>
                <w:sz w:val="18"/>
                <w:szCs w:val="18"/>
                <w:lang w:val="en-GB"/>
              </w:rPr>
              <w:t>Taking into account</w:t>
            </w:r>
            <w:proofErr w:type="gramEnd"/>
            <w:r w:rsidR="00B05735" w:rsidRPr="00666B27">
              <w:rPr>
                <w:rFonts w:ascii="Arial Narrow" w:hAnsi="Arial Narrow"/>
                <w:bCs/>
                <w:sz w:val="18"/>
                <w:szCs w:val="18"/>
                <w:lang w:val="en-GB"/>
              </w:rPr>
              <w:t xml:space="preserve"> a causality factor (CF), cumulative savings 2019-20</w:t>
            </w:r>
            <w:r w:rsidR="00D35EAD" w:rsidRPr="00666B27">
              <w:rPr>
                <w:rFonts w:ascii="Arial Narrow" w:hAnsi="Arial Narrow"/>
                <w:bCs/>
                <w:sz w:val="18"/>
                <w:szCs w:val="18"/>
                <w:lang w:val="en-GB"/>
              </w:rPr>
              <w:t>23</w:t>
            </w:r>
            <w:r w:rsidR="00B05735" w:rsidRPr="00666B27">
              <w:rPr>
                <w:rFonts w:ascii="Arial Narrow" w:hAnsi="Arial Narrow"/>
                <w:bCs/>
                <w:sz w:val="18"/>
                <w:szCs w:val="18"/>
                <w:lang w:val="en-GB"/>
              </w:rPr>
              <w:t xml:space="preserve"> (over the baseline) are 21.1 ktCO</w:t>
            </w:r>
            <w:r w:rsidR="00B05735" w:rsidRPr="00666B27">
              <w:rPr>
                <w:rFonts w:ascii="Arial Narrow" w:hAnsi="Arial Narrow"/>
                <w:bCs/>
                <w:sz w:val="18"/>
                <w:szCs w:val="18"/>
                <w:vertAlign w:val="subscript"/>
                <w:lang w:val="en-GB"/>
              </w:rPr>
              <w:t>2</w:t>
            </w:r>
            <w:r w:rsidR="00B05735" w:rsidRPr="00666B27">
              <w:rPr>
                <w:rFonts w:ascii="Arial Narrow" w:hAnsi="Arial Narrow"/>
                <w:bCs/>
                <w:sz w:val="18"/>
                <w:szCs w:val="18"/>
                <w:lang w:val="en-GB"/>
              </w:rPr>
              <w:t xml:space="preserve"> (CF=60%) and over 2024-2030 </w:t>
            </w:r>
          </w:p>
        </w:tc>
        <w:tc>
          <w:tcPr>
            <w:tcW w:w="2807" w:type="dxa"/>
            <w:vMerge/>
          </w:tcPr>
          <w:p w:rsidR="00B05735" w:rsidRPr="00666B27" w:rsidRDefault="00B05735" w:rsidP="00B05735">
            <w:pPr>
              <w:spacing w:after="0"/>
              <w:jc w:val="left"/>
              <w:rPr>
                <w:rFonts w:ascii="Arial Narrow" w:hAnsi="Arial Narrow"/>
                <w:bCs/>
                <w:i/>
                <w:sz w:val="18"/>
                <w:szCs w:val="18"/>
                <w:lang w:val="en-GB"/>
              </w:rPr>
            </w:pPr>
          </w:p>
        </w:tc>
      </w:tr>
      <w:tr w:rsidR="00B05735" w:rsidRPr="0057545E" w:rsidTr="00F737AD">
        <w:trPr>
          <w:trHeight w:val="1094"/>
        </w:trPr>
        <w:tc>
          <w:tcPr>
            <w:tcW w:w="1951" w:type="dxa"/>
            <w:vMerge/>
            <w:shd w:val="clear" w:color="auto" w:fill="FBE4D5"/>
          </w:tcPr>
          <w:p w:rsidR="00B05735" w:rsidRPr="00666B27" w:rsidRDefault="00B05735" w:rsidP="00B05735">
            <w:pPr>
              <w:spacing w:after="0"/>
              <w:jc w:val="left"/>
              <w:rPr>
                <w:rFonts w:ascii="Arial Narrow" w:hAnsi="Arial Narrow"/>
                <w:b/>
                <w:bCs/>
                <w:sz w:val="18"/>
                <w:szCs w:val="18"/>
                <w:lang w:val="en-GB"/>
              </w:rPr>
            </w:pPr>
          </w:p>
        </w:tc>
        <w:tc>
          <w:tcPr>
            <w:tcW w:w="1985" w:type="dxa"/>
          </w:tcPr>
          <w:p w:rsidR="00D35EAD" w:rsidRPr="00666B27" w:rsidRDefault="00D35EAD" w:rsidP="00B05735">
            <w:pPr>
              <w:numPr>
                <w:ilvl w:val="0"/>
                <w:numId w:val="36"/>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noProof/>
                <w:sz w:val="18"/>
                <w:szCs w:val="18"/>
                <w:lang w:val="en-GB"/>
              </w:rPr>
              <w:t>Number</w:t>
            </w:r>
            <w:r w:rsidR="00B05735" w:rsidRPr="00666B27">
              <w:rPr>
                <w:rFonts w:ascii="Arial Narrow" w:hAnsi="Arial Narrow"/>
                <w:bCs/>
                <w:sz w:val="18"/>
                <w:szCs w:val="18"/>
                <w:lang w:val="en-GB"/>
              </w:rPr>
              <w:t xml:space="preserve"> of households that have LED lamps installed</w:t>
            </w:r>
            <w:r w:rsidR="00B05735" w:rsidRPr="00666B27">
              <w:rPr>
                <w:rFonts w:ascii="Arial Narrow" w:hAnsi="Arial Narrow"/>
                <w:bCs/>
                <w:i/>
                <w:sz w:val="18"/>
                <w:szCs w:val="18"/>
                <w:lang w:val="en-GB"/>
              </w:rPr>
              <w:t xml:space="preserve"> (with gender-relevant data), </w:t>
            </w:r>
            <w:r w:rsidR="00B05735" w:rsidRPr="00666B27">
              <w:rPr>
                <w:rFonts w:ascii="Arial Narrow" w:hAnsi="Arial Narrow"/>
                <w:bCs/>
                <w:sz w:val="18"/>
                <w:szCs w:val="18"/>
                <w:lang w:val="en-GB"/>
              </w:rPr>
              <w:t xml:space="preserve">and </w:t>
            </w:r>
          </w:p>
          <w:p w:rsidR="00B05735" w:rsidRPr="00666B27" w:rsidRDefault="00D35EAD" w:rsidP="00D35EAD">
            <w:pPr>
              <w:tabs>
                <w:tab w:val="left" w:pos="227"/>
              </w:tabs>
              <w:spacing w:after="0"/>
              <w:ind w:left="227"/>
              <w:jc w:val="left"/>
              <w:rPr>
                <w:rFonts w:ascii="Arial Narrow" w:hAnsi="Arial Narrow"/>
                <w:bCs/>
                <w:sz w:val="18"/>
                <w:szCs w:val="18"/>
                <w:lang w:val="en-GB"/>
              </w:rPr>
            </w:pPr>
            <w:r w:rsidRPr="00666B27">
              <w:rPr>
                <w:rFonts w:ascii="Arial Narrow" w:hAnsi="Arial Narrow"/>
                <w:bCs/>
                <w:sz w:val="18"/>
                <w:szCs w:val="18"/>
                <w:lang w:val="en-GB"/>
              </w:rPr>
              <w:t xml:space="preserve">b. </w:t>
            </w:r>
            <w:r w:rsidR="00B05735" w:rsidRPr="00666B27">
              <w:rPr>
                <w:rFonts w:ascii="Arial Narrow" w:hAnsi="Arial Narrow"/>
                <w:bCs/>
                <w:noProof/>
                <w:sz w:val="18"/>
                <w:szCs w:val="18"/>
                <w:lang w:val="en-GB"/>
              </w:rPr>
              <w:t>Share</w:t>
            </w:r>
            <w:r w:rsidR="00B05735" w:rsidRPr="00666B27">
              <w:rPr>
                <w:rFonts w:ascii="Arial Narrow" w:hAnsi="Arial Narrow"/>
                <w:bCs/>
                <w:sz w:val="18"/>
                <w:szCs w:val="18"/>
                <w:lang w:val="en-GB"/>
              </w:rPr>
              <w:t xml:space="preserve"> of LED lamps in stock (of installed lamps</w:t>
            </w:r>
            <w:r w:rsidRPr="00666B27">
              <w:rPr>
                <w:rFonts w:ascii="Arial Narrow" w:hAnsi="Arial Narrow"/>
                <w:bCs/>
                <w:sz w:val="18"/>
                <w:szCs w:val="18"/>
                <w:lang w:val="en-GB"/>
              </w:rPr>
              <w:t>) in the country</w:t>
            </w:r>
          </w:p>
          <w:p w:rsidR="00666DF0" w:rsidRPr="00666B27" w:rsidRDefault="00644371" w:rsidP="00D35EAD">
            <w:pPr>
              <w:tabs>
                <w:tab w:val="left" w:pos="227"/>
              </w:tabs>
              <w:spacing w:after="0"/>
              <w:ind w:left="227"/>
              <w:jc w:val="left"/>
              <w:rPr>
                <w:rFonts w:ascii="Arial Narrow" w:hAnsi="Arial Narrow"/>
                <w:bCs/>
                <w:sz w:val="18"/>
                <w:szCs w:val="18"/>
                <w:lang w:val="en-GB"/>
              </w:rPr>
            </w:pPr>
            <w:r w:rsidRPr="00666B27">
              <w:rPr>
                <w:rFonts w:ascii="Arial Narrow" w:hAnsi="Arial Narrow"/>
                <w:bCs/>
                <w:sz w:val="18"/>
                <w:szCs w:val="18"/>
                <w:lang w:val="en-GB"/>
              </w:rPr>
              <w:t>c. Number of beneficiaries</w:t>
            </w:r>
          </w:p>
          <w:p w:rsidR="00644371" w:rsidRPr="00666B27" w:rsidRDefault="00644371" w:rsidP="00D35EAD">
            <w:pPr>
              <w:tabs>
                <w:tab w:val="left" w:pos="227"/>
              </w:tabs>
              <w:spacing w:after="0"/>
              <w:ind w:left="227"/>
              <w:jc w:val="left"/>
              <w:rPr>
                <w:rFonts w:ascii="Arial Narrow" w:hAnsi="Arial Narrow"/>
                <w:bCs/>
                <w:i/>
                <w:sz w:val="18"/>
                <w:szCs w:val="18"/>
                <w:lang w:val="en-GB"/>
              </w:rPr>
            </w:pPr>
            <w:r w:rsidRPr="00666B27">
              <w:rPr>
                <w:rFonts w:ascii="Arial Narrow" w:hAnsi="Arial Narrow"/>
                <w:bCs/>
                <w:i/>
                <w:sz w:val="18"/>
                <w:szCs w:val="18"/>
                <w:lang w:val="en-GB"/>
              </w:rPr>
              <w:t xml:space="preserve"> [GEF Indicator 11]</w:t>
            </w:r>
          </w:p>
        </w:tc>
        <w:tc>
          <w:tcPr>
            <w:tcW w:w="2409" w:type="dxa"/>
          </w:tcPr>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B05735" w:rsidRPr="00666B27">
              <w:rPr>
                <w:rFonts w:ascii="Arial Narrow" w:hAnsi="Arial Narrow"/>
                <w:bCs/>
                <w:sz w:val="18"/>
                <w:szCs w:val="18"/>
                <w:lang w:val="en-GB"/>
              </w:rPr>
              <w:t xml:space="preserve">An estimated 0.5 million household purchase LED lamps in 2017 </w:t>
            </w:r>
          </w:p>
          <w:p w:rsidR="00B05735"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00B05735" w:rsidRPr="00666B27">
              <w:rPr>
                <w:rFonts w:ascii="Arial Narrow" w:hAnsi="Arial Narrow"/>
                <w:bCs/>
                <w:noProof/>
                <w:sz w:val="18"/>
                <w:szCs w:val="18"/>
                <w:lang w:val="en-GB"/>
              </w:rPr>
              <w:t>Share</w:t>
            </w:r>
            <w:r w:rsidR="00B05735" w:rsidRPr="00666B27">
              <w:rPr>
                <w:rFonts w:ascii="Arial Narrow" w:hAnsi="Arial Narrow"/>
                <w:bCs/>
                <w:sz w:val="18"/>
                <w:szCs w:val="18"/>
                <w:lang w:val="en-GB"/>
              </w:rPr>
              <w:t xml:space="preserve"> of 5% by LEDs in lamp stock in 2017</w:t>
            </w:r>
          </w:p>
          <w:p w:rsidR="00666B27" w:rsidRPr="00666B27" w:rsidRDefault="00666B27" w:rsidP="00B05735">
            <w:pPr>
              <w:spacing w:after="0"/>
              <w:jc w:val="left"/>
              <w:rPr>
                <w:rFonts w:ascii="Arial Narrow" w:hAnsi="Arial Narrow"/>
                <w:bCs/>
                <w:sz w:val="18"/>
                <w:szCs w:val="18"/>
                <w:lang w:val="en-GB"/>
              </w:rPr>
            </w:pPr>
            <w:r>
              <w:rPr>
                <w:rFonts w:ascii="Arial Narrow" w:hAnsi="Arial Narrow"/>
                <w:bCs/>
                <w:sz w:val="18"/>
                <w:szCs w:val="18"/>
                <w:lang w:val="en-GB"/>
              </w:rPr>
              <w:t>(</w:t>
            </w:r>
            <w:r w:rsidR="00885110">
              <w:rPr>
                <w:rFonts w:ascii="Arial Narrow" w:hAnsi="Arial Narrow"/>
                <w:bCs/>
                <w:sz w:val="18"/>
                <w:szCs w:val="18"/>
                <w:lang w:val="en-GB"/>
              </w:rPr>
              <w:t>based on estimates and calculations of Annex F)</w:t>
            </w:r>
          </w:p>
        </w:tc>
        <w:tc>
          <w:tcPr>
            <w:tcW w:w="2268" w:type="dxa"/>
          </w:tcPr>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D35EAD" w:rsidRPr="00666B27">
              <w:rPr>
                <w:rFonts w:ascii="Arial Narrow" w:hAnsi="Arial Narrow"/>
                <w:bCs/>
                <w:sz w:val="18"/>
                <w:szCs w:val="18"/>
                <w:lang w:val="en-GB"/>
              </w:rPr>
              <w:t xml:space="preserve">In </w:t>
            </w:r>
            <w:r w:rsidR="00D35EAD" w:rsidRPr="00666B27">
              <w:rPr>
                <w:rFonts w:ascii="Arial Narrow" w:hAnsi="Arial Narrow"/>
                <w:bCs/>
                <w:noProof/>
                <w:sz w:val="18"/>
                <w:szCs w:val="18"/>
                <w:lang w:val="en-GB"/>
              </w:rPr>
              <w:t>baseline</w:t>
            </w:r>
            <w:r w:rsidR="00D35EAD" w:rsidRPr="00666B27">
              <w:rPr>
                <w:rFonts w:ascii="Arial Narrow" w:hAnsi="Arial Narrow"/>
                <w:bCs/>
                <w:sz w:val="18"/>
                <w:szCs w:val="18"/>
                <w:lang w:val="en-GB"/>
              </w:rPr>
              <w:t xml:space="preserve"> 2.6 million HH will have LED lighting installed and 6.1 million in 2021 (alternative)</w:t>
            </w:r>
          </w:p>
          <w:p w:rsidR="00D35EAD"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00D35EAD" w:rsidRPr="00666B27">
              <w:rPr>
                <w:rFonts w:ascii="Arial Narrow" w:hAnsi="Arial Narrow"/>
                <w:bCs/>
                <w:noProof/>
                <w:sz w:val="18"/>
                <w:szCs w:val="18"/>
                <w:lang w:val="en-GB"/>
              </w:rPr>
              <w:t>Share</w:t>
            </w:r>
            <w:r w:rsidR="00D35EAD" w:rsidRPr="00666B27">
              <w:rPr>
                <w:rFonts w:ascii="Arial Narrow" w:hAnsi="Arial Narrow"/>
                <w:bCs/>
                <w:sz w:val="18"/>
                <w:szCs w:val="18"/>
                <w:lang w:val="en-GB"/>
              </w:rPr>
              <w:t xml:space="preserve"> of 17% of LEDs by </w:t>
            </w:r>
            <w:proofErr w:type="spellStart"/>
            <w:r w:rsidR="00D35EAD" w:rsidRPr="00666B27">
              <w:rPr>
                <w:rFonts w:ascii="Arial Narrow" w:hAnsi="Arial Narrow"/>
                <w:bCs/>
                <w:sz w:val="18"/>
                <w:szCs w:val="18"/>
                <w:lang w:val="en-GB"/>
              </w:rPr>
              <w:t>MoP</w:t>
            </w:r>
            <w:proofErr w:type="spellEnd"/>
            <w:r w:rsidR="00D35EAD" w:rsidRPr="00666B27">
              <w:rPr>
                <w:rFonts w:ascii="Arial Narrow" w:hAnsi="Arial Narrow"/>
                <w:bCs/>
                <w:sz w:val="18"/>
                <w:szCs w:val="18"/>
                <w:lang w:val="en-GB"/>
              </w:rPr>
              <w:t xml:space="preserve"> in </w:t>
            </w:r>
            <w:r w:rsidR="00D35EAD" w:rsidRPr="00666B27">
              <w:rPr>
                <w:rFonts w:ascii="Arial Narrow" w:hAnsi="Arial Narrow"/>
                <w:bCs/>
                <w:noProof/>
                <w:sz w:val="18"/>
                <w:szCs w:val="18"/>
                <w:lang w:val="en-GB"/>
              </w:rPr>
              <w:t>baseline</w:t>
            </w:r>
            <w:r w:rsidR="00D35EAD" w:rsidRPr="00666B27">
              <w:rPr>
                <w:rFonts w:ascii="Arial Narrow" w:hAnsi="Arial Narrow"/>
                <w:bCs/>
                <w:sz w:val="18"/>
                <w:szCs w:val="18"/>
                <w:lang w:val="en-GB"/>
              </w:rPr>
              <w:t xml:space="preserve"> scenario and 36% by </w:t>
            </w:r>
            <w:proofErr w:type="spellStart"/>
            <w:r w:rsidR="00D35EAD" w:rsidRPr="00666B27">
              <w:rPr>
                <w:rFonts w:ascii="Arial Narrow" w:hAnsi="Arial Narrow"/>
                <w:bCs/>
                <w:sz w:val="18"/>
                <w:szCs w:val="18"/>
                <w:lang w:val="en-GB"/>
              </w:rPr>
              <w:t>MoP</w:t>
            </w:r>
            <w:proofErr w:type="spellEnd"/>
            <w:r w:rsidR="00D35EAD" w:rsidRPr="00666B27">
              <w:rPr>
                <w:rFonts w:ascii="Arial Narrow" w:hAnsi="Arial Narrow"/>
                <w:bCs/>
                <w:sz w:val="18"/>
                <w:szCs w:val="18"/>
                <w:lang w:val="en-GB"/>
              </w:rPr>
              <w:t xml:space="preserve"> in alternative scenario</w:t>
            </w:r>
          </w:p>
          <w:p w:rsidR="00644371"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c. Based on indicator 3a, 11 million beneficiaries (50% men, 50% women)</w:t>
            </w:r>
          </w:p>
        </w:tc>
        <w:tc>
          <w:tcPr>
            <w:tcW w:w="2722" w:type="dxa"/>
          </w:tcPr>
          <w:p w:rsidR="00D35EAD"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w:t>
            </w:r>
            <w:r w:rsidR="00D35EAD" w:rsidRPr="00666B27">
              <w:rPr>
                <w:rFonts w:ascii="Arial Narrow" w:hAnsi="Arial Narrow"/>
                <w:bCs/>
                <w:sz w:val="18"/>
                <w:szCs w:val="18"/>
                <w:lang w:val="en-GB"/>
              </w:rPr>
              <w:t>In</w:t>
            </w:r>
            <w:r w:rsidR="002C63CE">
              <w:rPr>
                <w:rFonts w:ascii="Arial Narrow" w:hAnsi="Arial Narrow"/>
                <w:bCs/>
                <w:noProof/>
                <w:sz w:val="18"/>
                <w:szCs w:val="18"/>
                <w:lang w:val="en-GB"/>
              </w:rPr>
              <w:t xml:space="preserve"> alternative </w:t>
            </w:r>
            <w:r w:rsidR="002C63CE">
              <w:rPr>
                <w:rFonts w:ascii="Arial Narrow" w:hAnsi="Arial Narrow"/>
                <w:bCs/>
                <w:sz w:val="18"/>
                <w:szCs w:val="18"/>
                <w:lang w:val="en-GB"/>
              </w:rPr>
              <w:t>4.1</w:t>
            </w:r>
            <w:r w:rsidR="00D35EAD" w:rsidRPr="00666B27">
              <w:rPr>
                <w:rFonts w:ascii="Arial Narrow" w:hAnsi="Arial Narrow"/>
                <w:bCs/>
                <w:sz w:val="18"/>
                <w:szCs w:val="18"/>
                <w:lang w:val="en-GB"/>
              </w:rPr>
              <w:t xml:space="preserve"> million HH will have LED lighting installed </w:t>
            </w:r>
            <w:r w:rsidR="002C63CE">
              <w:rPr>
                <w:rFonts w:ascii="Arial Narrow" w:hAnsi="Arial Narrow"/>
                <w:bCs/>
                <w:sz w:val="18"/>
                <w:szCs w:val="18"/>
                <w:lang w:val="en-GB"/>
              </w:rPr>
              <w:t>in 2023 over the baseline, or 12.7 individuals</w:t>
            </w:r>
          </w:p>
          <w:p w:rsidR="00666DF0" w:rsidRPr="00666B27" w:rsidRDefault="00666DF0" w:rsidP="00B05735">
            <w:pPr>
              <w:spacing w:after="0"/>
              <w:jc w:val="left"/>
              <w:rPr>
                <w:rFonts w:ascii="Arial Narrow" w:hAnsi="Arial Narrow"/>
                <w:bCs/>
                <w:i/>
                <w:sz w:val="18"/>
                <w:szCs w:val="18"/>
                <w:lang w:val="en-GB"/>
              </w:rPr>
            </w:pPr>
            <w:r w:rsidRPr="00666B27">
              <w:rPr>
                <w:rFonts w:ascii="Arial Narrow" w:hAnsi="Arial Narrow"/>
                <w:bCs/>
                <w:i/>
                <w:sz w:val="18"/>
                <w:szCs w:val="18"/>
                <w:lang w:val="en-GB"/>
              </w:rPr>
              <w:t>(</w:t>
            </w:r>
            <w:r w:rsidR="00CC37A5" w:rsidRPr="00666B27">
              <w:rPr>
                <w:rFonts w:ascii="Arial Narrow" w:hAnsi="Arial Narrow"/>
                <w:bCs/>
                <w:i/>
                <w:sz w:val="18"/>
                <w:szCs w:val="18"/>
                <w:lang w:val="en-GB"/>
              </w:rPr>
              <w:t>households consist of 50% men and 50% women)</w:t>
            </w:r>
          </w:p>
          <w:p w:rsidR="00B05735" w:rsidRPr="00666B27" w:rsidRDefault="00644371"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00B05735" w:rsidRPr="00666B27">
              <w:rPr>
                <w:rFonts w:ascii="Arial Narrow" w:hAnsi="Arial Narrow"/>
                <w:bCs/>
                <w:noProof/>
                <w:sz w:val="18"/>
                <w:szCs w:val="18"/>
                <w:lang w:val="en-GB"/>
              </w:rPr>
              <w:t>Share</w:t>
            </w:r>
            <w:r w:rsidR="00B05735" w:rsidRPr="00666B27">
              <w:rPr>
                <w:rFonts w:ascii="Arial Narrow" w:hAnsi="Arial Narrow"/>
                <w:bCs/>
                <w:sz w:val="18"/>
                <w:szCs w:val="18"/>
                <w:lang w:val="en-GB"/>
              </w:rPr>
              <w:t xml:space="preserve"> of </w:t>
            </w:r>
            <w:r w:rsidR="00D35EAD" w:rsidRPr="00666B27">
              <w:rPr>
                <w:rFonts w:ascii="Arial Narrow" w:hAnsi="Arial Narrow"/>
                <w:bCs/>
                <w:sz w:val="18"/>
                <w:szCs w:val="18"/>
                <w:lang w:val="en-GB"/>
              </w:rPr>
              <w:t>20</w:t>
            </w:r>
            <w:r w:rsidR="00B05735" w:rsidRPr="00666B27">
              <w:rPr>
                <w:rFonts w:ascii="Arial Narrow" w:hAnsi="Arial Narrow"/>
                <w:bCs/>
                <w:sz w:val="18"/>
                <w:szCs w:val="18"/>
                <w:lang w:val="en-GB"/>
              </w:rPr>
              <w:t xml:space="preserve">% of LEDs by </w:t>
            </w:r>
            <w:proofErr w:type="spellStart"/>
            <w:r w:rsidR="00B05735" w:rsidRPr="00666B27">
              <w:rPr>
                <w:rFonts w:ascii="Arial Narrow" w:hAnsi="Arial Narrow"/>
                <w:bCs/>
                <w:sz w:val="18"/>
                <w:szCs w:val="18"/>
                <w:lang w:val="en-GB"/>
              </w:rPr>
              <w:t>EoP</w:t>
            </w:r>
            <w:proofErr w:type="spellEnd"/>
            <w:r w:rsidR="00B05735" w:rsidRPr="00666B27">
              <w:rPr>
                <w:rFonts w:ascii="Arial Narrow" w:hAnsi="Arial Narrow"/>
                <w:bCs/>
                <w:sz w:val="18"/>
                <w:szCs w:val="18"/>
                <w:lang w:val="en-GB"/>
              </w:rPr>
              <w:t xml:space="preserve"> and </w:t>
            </w:r>
            <w:r w:rsidR="00FC3338" w:rsidRPr="00666B27">
              <w:rPr>
                <w:rFonts w:ascii="Arial Narrow" w:hAnsi="Arial Narrow"/>
                <w:bCs/>
                <w:sz w:val="18"/>
                <w:szCs w:val="18"/>
                <w:lang w:val="en-GB"/>
              </w:rPr>
              <w:t>31</w:t>
            </w:r>
            <w:r w:rsidR="00B05735" w:rsidRPr="00666B27">
              <w:rPr>
                <w:rFonts w:ascii="Arial Narrow" w:hAnsi="Arial Narrow"/>
                <w:bCs/>
                <w:sz w:val="18"/>
                <w:szCs w:val="18"/>
                <w:lang w:val="en-GB"/>
              </w:rPr>
              <w:t xml:space="preserve">% by 2030 in </w:t>
            </w:r>
            <w:r w:rsidR="00B05735" w:rsidRPr="00666B27">
              <w:rPr>
                <w:rFonts w:ascii="Arial Narrow" w:hAnsi="Arial Narrow"/>
                <w:bCs/>
                <w:noProof/>
                <w:sz w:val="18"/>
                <w:szCs w:val="18"/>
                <w:lang w:val="en-GB"/>
              </w:rPr>
              <w:t>baseline</w:t>
            </w:r>
            <w:r w:rsidR="00B05735" w:rsidRPr="00666B27">
              <w:rPr>
                <w:rFonts w:ascii="Arial Narrow" w:hAnsi="Arial Narrow"/>
                <w:bCs/>
                <w:sz w:val="18"/>
                <w:szCs w:val="18"/>
                <w:lang w:val="en-GB"/>
              </w:rPr>
              <w:t xml:space="preserve"> scenario and 4</w:t>
            </w:r>
            <w:r w:rsidR="00FC3338" w:rsidRPr="00666B27">
              <w:rPr>
                <w:rFonts w:ascii="Arial Narrow" w:hAnsi="Arial Narrow"/>
                <w:bCs/>
                <w:sz w:val="18"/>
                <w:szCs w:val="18"/>
                <w:lang w:val="en-GB"/>
              </w:rPr>
              <w:t>9</w:t>
            </w:r>
            <w:r w:rsidR="00B05735" w:rsidRPr="00666B27">
              <w:rPr>
                <w:rFonts w:ascii="Arial Narrow" w:hAnsi="Arial Narrow"/>
                <w:bCs/>
                <w:sz w:val="18"/>
                <w:szCs w:val="18"/>
                <w:lang w:val="en-GB"/>
              </w:rPr>
              <w:t xml:space="preserve">% by </w:t>
            </w:r>
            <w:proofErr w:type="spellStart"/>
            <w:r w:rsidR="00B05735" w:rsidRPr="00666B27">
              <w:rPr>
                <w:rFonts w:ascii="Arial Narrow" w:hAnsi="Arial Narrow"/>
                <w:bCs/>
                <w:sz w:val="18"/>
                <w:szCs w:val="18"/>
                <w:lang w:val="en-GB"/>
              </w:rPr>
              <w:t>EoP</w:t>
            </w:r>
            <w:proofErr w:type="spellEnd"/>
            <w:r w:rsidR="00B05735" w:rsidRPr="00666B27">
              <w:rPr>
                <w:rFonts w:ascii="Arial Narrow" w:hAnsi="Arial Narrow"/>
                <w:bCs/>
                <w:sz w:val="18"/>
                <w:szCs w:val="18"/>
                <w:lang w:val="en-GB"/>
              </w:rPr>
              <w:t xml:space="preserve"> and </w:t>
            </w:r>
            <w:r w:rsidR="00FC3338" w:rsidRPr="00666B27">
              <w:rPr>
                <w:rFonts w:ascii="Arial Narrow" w:hAnsi="Arial Narrow"/>
                <w:bCs/>
                <w:sz w:val="18"/>
                <w:szCs w:val="18"/>
                <w:lang w:val="en-GB"/>
              </w:rPr>
              <w:t>75</w:t>
            </w:r>
            <w:r w:rsidR="00B05735" w:rsidRPr="00666B27">
              <w:rPr>
                <w:rFonts w:ascii="Arial Narrow" w:hAnsi="Arial Narrow"/>
                <w:bCs/>
                <w:sz w:val="18"/>
                <w:szCs w:val="18"/>
                <w:lang w:val="en-GB"/>
              </w:rPr>
              <w:t>% by 2030 in alternative scenario</w:t>
            </w:r>
          </w:p>
          <w:p w:rsidR="00644371" w:rsidRPr="00666B27" w:rsidRDefault="00644371" w:rsidP="00B05735">
            <w:pPr>
              <w:spacing w:after="0"/>
              <w:jc w:val="left"/>
              <w:rPr>
                <w:rFonts w:ascii="Arial Narrow" w:hAnsi="Arial Narrow"/>
                <w:bCs/>
                <w:sz w:val="18"/>
                <w:szCs w:val="18"/>
                <w:u w:val="single"/>
                <w:lang w:val="en-GB"/>
              </w:rPr>
            </w:pPr>
            <w:r w:rsidRPr="00666B27">
              <w:rPr>
                <w:rFonts w:ascii="Arial Narrow" w:hAnsi="Arial Narrow"/>
                <w:bCs/>
                <w:sz w:val="18"/>
                <w:szCs w:val="18"/>
                <w:lang w:val="en-GB"/>
              </w:rPr>
              <w:t xml:space="preserve">c. Based on indicator 3a, </w:t>
            </w:r>
            <w:r w:rsidR="002C63CE">
              <w:rPr>
                <w:rFonts w:ascii="Arial Narrow" w:hAnsi="Arial Narrow"/>
                <w:bCs/>
                <w:sz w:val="18"/>
                <w:szCs w:val="18"/>
                <w:lang w:val="en-GB"/>
              </w:rPr>
              <w:t>12.7</w:t>
            </w:r>
            <w:r w:rsidR="0032451E" w:rsidRPr="00666B27">
              <w:rPr>
                <w:rFonts w:ascii="Arial Narrow" w:hAnsi="Arial Narrow"/>
                <w:bCs/>
                <w:sz w:val="18"/>
                <w:szCs w:val="18"/>
                <w:lang w:val="en-GB"/>
              </w:rPr>
              <w:t xml:space="preserve"> </w:t>
            </w:r>
            <w:r w:rsidRPr="00666B27">
              <w:rPr>
                <w:rFonts w:ascii="Arial Narrow" w:hAnsi="Arial Narrow"/>
                <w:bCs/>
                <w:sz w:val="18"/>
                <w:szCs w:val="18"/>
                <w:lang w:val="en-GB"/>
              </w:rPr>
              <w:t xml:space="preserve">million beneficiaries </w:t>
            </w:r>
            <w:r w:rsidRPr="00666B27">
              <w:rPr>
                <w:rFonts w:ascii="Arial Narrow" w:hAnsi="Arial Narrow"/>
                <w:bCs/>
                <w:i/>
                <w:sz w:val="18"/>
                <w:szCs w:val="18"/>
                <w:lang w:val="en-GB"/>
              </w:rPr>
              <w:t>(50% men, 50% women)</w:t>
            </w:r>
            <w:r w:rsidR="009B2715" w:rsidRPr="00666B27">
              <w:rPr>
                <w:rFonts w:ascii="Arial Narrow" w:hAnsi="Arial Narrow"/>
                <w:bCs/>
                <w:i/>
                <w:sz w:val="18"/>
                <w:szCs w:val="18"/>
                <w:lang w:val="en-GB"/>
              </w:rPr>
              <w:t xml:space="preserve">. </w:t>
            </w:r>
            <w:r w:rsidR="009B2715" w:rsidRPr="00666B27">
              <w:rPr>
                <w:rFonts w:ascii="Arial Narrow" w:hAnsi="Arial Narrow"/>
                <w:bCs/>
                <w:sz w:val="18"/>
                <w:szCs w:val="18"/>
                <w:lang w:val="en-GB"/>
              </w:rPr>
              <w:t xml:space="preserve">Using CF=60%, direct beneficiaries are </w:t>
            </w:r>
            <w:r w:rsidR="002C63CE">
              <w:rPr>
                <w:rFonts w:ascii="Arial Narrow" w:hAnsi="Arial Narrow"/>
                <w:bCs/>
                <w:sz w:val="18"/>
                <w:szCs w:val="18"/>
                <w:lang w:val="en-GB"/>
              </w:rPr>
              <w:t>7.6</w:t>
            </w:r>
            <w:r w:rsidR="009B2715" w:rsidRPr="00666B27">
              <w:rPr>
                <w:rFonts w:ascii="Arial Narrow" w:hAnsi="Arial Narrow"/>
                <w:bCs/>
                <w:sz w:val="18"/>
                <w:szCs w:val="18"/>
                <w:lang w:val="en-GB"/>
              </w:rPr>
              <w:t xml:space="preserve"> million people</w:t>
            </w:r>
            <w:r w:rsidR="005443D8">
              <w:rPr>
                <w:rFonts w:ascii="Arial Narrow" w:hAnsi="Arial Narrow"/>
                <w:bCs/>
                <w:sz w:val="18"/>
                <w:szCs w:val="18"/>
                <w:lang w:val="en-GB"/>
              </w:rPr>
              <w:t xml:space="preserve"> (2.5 million households)</w:t>
            </w:r>
          </w:p>
        </w:tc>
        <w:tc>
          <w:tcPr>
            <w:tcW w:w="2807" w:type="dxa"/>
          </w:tcPr>
          <w:p w:rsidR="00B05735" w:rsidRPr="00666B27" w:rsidRDefault="00B05735" w:rsidP="00B05735">
            <w:pPr>
              <w:spacing w:after="0"/>
              <w:jc w:val="left"/>
              <w:rPr>
                <w:rFonts w:ascii="Arial Narrow" w:hAnsi="Arial Narrow"/>
                <w:bCs/>
                <w:sz w:val="18"/>
                <w:szCs w:val="18"/>
                <w:lang w:val="en-GB"/>
              </w:rPr>
            </w:pPr>
            <w:r w:rsidRPr="00666B27">
              <w:rPr>
                <w:rFonts w:ascii="Arial Narrow" w:hAnsi="Arial Narrow"/>
                <w:sz w:val="18"/>
                <w:szCs w:val="18"/>
                <w:lang w:val="en-GB"/>
              </w:rPr>
              <w:t xml:space="preserve">As above. Surveys will include </w:t>
            </w:r>
            <w:r w:rsidRPr="00666B27">
              <w:rPr>
                <w:rFonts w:ascii="Arial Narrow" w:hAnsi="Arial Narrow"/>
                <w:noProof/>
                <w:sz w:val="18"/>
                <w:szCs w:val="18"/>
                <w:lang w:val="en-GB"/>
              </w:rPr>
              <w:t>number</w:t>
            </w:r>
            <w:r w:rsidRPr="00666B27">
              <w:rPr>
                <w:rFonts w:ascii="Arial Narrow" w:hAnsi="Arial Narrow"/>
                <w:sz w:val="18"/>
                <w:szCs w:val="18"/>
                <w:lang w:val="en-GB"/>
              </w:rPr>
              <w:t xml:space="preserve"> and gender of members of the household.</w:t>
            </w:r>
          </w:p>
        </w:tc>
      </w:tr>
      <w:tr w:rsidR="00666DF0" w:rsidRPr="0057545E" w:rsidTr="00F737AD">
        <w:trPr>
          <w:trHeight w:val="1408"/>
        </w:trPr>
        <w:tc>
          <w:tcPr>
            <w:tcW w:w="1951" w:type="dxa"/>
            <w:vMerge w:val="restart"/>
            <w:shd w:val="clear" w:color="auto" w:fill="DBDBDB"/>
          </w:tcPr>
          <w:p w:rsidR="00666DF0" w:rsidRPr="00514DE8" w:rsidRDefault="00666DF0" w:rsidP="00B05735">
            <w:pPr>
              <w:spacing w:after="0"/>
              <w:jc w:val="left"/>
              <w:rPr>
                <w:rFonts w:ascii="Arial Narrow" w:hAnsi="Arial Narrow"/>
                <w:b/>
                <w:bCs/>
                <w:sz w:val="18"/>
                <w:szCs w:val="18"/>
                <w:lang w:val="en-GB"/>
              </w:rPr>
            </w:pPr>
            <w:r w:rsidRPr="0057545E">
              <w:rPr>
                <w:rFonts w:ascii="Arial Narrow" w:hAnsi="Arial Narrow"/>
                <w:b/>
                <w:bCs/>
                <w:sz w:val="18"/>
                <w:szCs w:val="18"/>
                <w:lang w:val="en-GB"/>
              </w:rPr>
              <w:t>Outcome 1</w:t>
            </w:r>
          </w:p>
          <w:p w:rsidR="00666DF0" w:rsidRPr="00353542" w:rsidRDefault="00666DF0" w:rsidP="00B05735">
            <w:pPr>
              <w:spacing w:after="0"/>
              <w:jc w:val="left"/>
              <w:rPr>
                <w:rFonts w:ascii="Arial Narrow" w:hAnsi="Arial Narrow"/>
                <w:b/>
                <w:bCs/>
                <w:sz w:val="18"/>
                <w:szCs w:val="18"/>
                <w:lang w:val="en-GB"/>
              </w:rPr>
            </w:pPr>
          </w:p>
          <w:p w:rsidR="00666DF0" w:rsidRPr="003B7D62" w:rsidRDefault="00666DF0" w:rsidP="00B05735">
            <w:pPr>
              <w:spacing w:after="0"/>
              <w:jc w:val="left"/>
              <w:rPr>
                <w:rFonts w:ascii="Arial Narrow" w:hAnsi="Arial Narrow"/>
                <w:b/>
                <w:bCs/>
                <w:i/>
                <w:sz w:val="18"/>
                <w:szCs w:val="18"/>
                <w:lang w:val="en-GB"/>
              </w:rPr>
            </w:pPr>
            <w:r w:rsidRPr="003B7D62">
              <w:rPr>
                <w:rFonts w:ascii="Arial Narrow" w:hAnsi="Arial Narrow"/>
                <w:bCs/>
                <w:sz w:val="18"/>
                <w:szCs w:val="18"/>
                <w:lang w:val="en-GB"/>
              </w:rPr>
              <w:t>Strengthened government capacity and regulatory frameworks for LEDs and distribution transformers</w:t>
            </w:r>
          </w:p>
          <w:p w:rsidR="00666DF0" w:rsidRPr="00666B27" w:rsidRDefault="00666DF0" w:rsidP="00B05735">
            <w:pPr>
              <w:spacing w:after="0"/>
              <w:jc w:val="left"/>
              <w:rPr>
                <w:rFonts w:ascii="Arial Narrow" w:hAnsi="Arial Narrow"/>
                <w:b/>
                <w:bCs/>
                <w:sz w:val="18"/>
                <w:szCs w:val="18"/>
                <w:lang w:val="en-GB"/>
              </w:rPr>
            </w:pPr>
          </w:p>
          <w:p w:rsidR="00666DF0" w:rsidRPr="00666B27" w:rsidRDefault="00666DF0" w:rsidP="00FD56EE">
            <w:pPr>
              <w:spacing w:after="0"/>
              <w:jc w:val="left"/>
              <w:rPr>
                <w:rFonts w:ascii="Arial Narrow" w:hAnsi="Arial Narrow"/>
                <w:b/>
                <w:bCs/>
                <w:sz w:val="18"/>
                <w:szCs w:val="18"/>
                <w:lang w:val="en-GB"/>
              </w:rPr>
            </w:pPr>
          </w:p>
        </w:tc>
        <w:tc>
          <w:tcPr>
            <w:tcW w:w="1985" w:type="dxa"/>
          </w:tcPr>
          <w:p w:rsidR="00666DF0" w:rsidRPr="00666B27" w:rsidRDefault="00666DF0" w:rsidP="00B05735">
            <w:pPr>
              <w:numPr>
                <w:ilvl w:val="0"/>
                <w:numId w:val="36"/>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Completed market studies on demand, use </w:t>
            </w:r>
            <w:r w:rsidRPr="00666B27">
              <w:rPr>
                <w:rFonts w:ascii="Arial Narrow" w:hAnsi="Arial Narrow"/>
                <w:bCs/>
                <w:noProof/>
                <w:sz w:val="18"/>
                <w:szCs w:val="18"/>
                <w:lang w:val="en-GB"/>
              </w:rPr>
              <w:t>and</w:t>
            </w:r>
            <w:r w:rsidRPr="00666B27">
              <w:rPr>
                <w:rFonts w:ascii="Arial Narrow" w:hAnsi="Arial Narrow"/>
                <w:bCs/>
                <w:sz w:val="18"/>
                <w:szCs w:val="18"/>
                <w:lang w:val="en-GB"/>
              </w:rPr>
              <w:t xml:space="preserve"> supply of lamps and on distribution transformers</w:t>
            </w:r>
          </w:p>
        </w:tc>
        <w:tc>
          <w:tcPr>
            <w:tcW w:w="2409"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No full comprehensive and coherent market overview exists</w:t>
            </w:r>
          </w:p>
        </w:tc>
        <w:tc>
          <w:tcPr>
            <w:tcW w:w="2268"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Market assessments by yr1:</w:t>
            </w:r>
          </w:p>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One (1) on lighting products stock demand and supply; One (1) market assessment carried out on transformers production, installation </w:t>
            </w:r>
            <w:r w:rsidRPr="00666B27">
              <w:rPr>
                <w:rFonts w:ascii="Arial Narrow" w:hAnsi="Arial Narrow"/>
                <w:bCs/>
                <w:noProof/>
                <w:sz w:val="18"/>
                <w:szCs w:val="18"/>
                <w:lang w:val="en-GB"/>
              </w:rPr>
              <w:t>and</w:t>
            </w:r>
            <w:r w:rsidRPr="00666B27">
              <w:rPr>
                <w:rFonts w:ascii="Arial Narrow" w:hAnsi="Arial Narrow"/>
                <w:bCs/>
                <w:sz w:val="18"/>
                <w:szCs w:val="18"/>
                <w:lang w:val="en-GB"/>
              </w:rPr>
              <w:t xml:space="preserve"> stock</w:t>
            </w:r>
          </w:p>
        </w:tc>
        <w:tc>
          <w:tcPr>
            <w:tcW w:w="2722"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End-of-project market assessments carried out, comparing results with the first-year market assessments</w:t>
            </w:r>
          </w:p>
        </w:tc>
        <w:tc>
          <w:tcPr>
            <w:tcW w:w="2807" w:type="dxa"/>
          </w:tcPr>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Markey survey report and supporting data (Excel, statistical analysis software)</w:t>
            </w:r>
          </w:p>
          <w:p w:rsidR="00666DF0" w:rsidRPr="00666B27" w:rsidRDefault="00666DF0" w:rsidP="00B05735">
            <w:pPr>
              <w:spacing w:after="0"/>
              <w:jc w:val="left"/>
              <w:rPr>
                <w:rFonts w:ascii="Arial Narrow" w:hAnsi="Arial Narrow"/>
                <w:sz w:val="18"/>
                <w:szCs w:val="18"/>
                <w:lang w:val="en-GB"/>
              </w:rPr>
            </w:pPr>
          </w:p>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 xml:space="preserve">Data to be collected by means of reports, statistical and sales data from suppliers/producers, customs, Eskom, NERSA, supplemented by </w:t>
            </w:r>
            <w:r w:rsidRPr="00666B27">
              <w:rPr>
                <w:rFonts w:ascii="Arial Narrow" w:hAnsi="Arial Narrow"/>
                <w:noProof/>
                <w:sz w:val="18"/>
                <w:szCs w:val="18"/>
                <w:lang w:val="en-GB"/>
              </w:rPr>
              <w:t>customer</w:t>
            </w:r>
            <w:r w:rsidRPr="00666B27">
              <w:rPr>
                <w:rFonts w:ascii="Arial Narrow" w:hAnsi="Arial Narrow"/>
                <w:sz w:val="18"/>
                <w:szCs w:val="18"/>
                <w:lang w:val="en-GB"/>
              </w:rPr>
              <w:t>, retailer and supplier surveys (linked with Indicators 11 and 15).</w:t>
            </w:r>
          </w:p>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 </w:t>
            </w:r>
            <w:r w:rsidR="00FF4957">
              <w:rPr>
                <w:rFonts w:ascii="Arial Narrow" w:hAnsi="Arial Narrow"/>
                <w:sz w:val="18"/>
                <w:szCs w:val="18"/>
                <w:lang w:val="en-GB"/>
              </w:rPr>
              <w:t xml:space="preserve">willingness </w:t>
            </w:r>
            <w:r w:rsidRPr="00666B27">
              <w:rPr>
                <w:rFonts w:ascii="Arial Narrow" w:hAnsi="Arial Narrow"/>
                <w:sz w:val="18"/>
                <w:szCs w:val="18"/>
                <w:lang w:val="en-GB"/>
              </w:rPr>
              <w:t>of companies and agencies to share data</w:t>
            </w:r>
          </w:p>
        </w:tc>
      </w:tr>
      <w:tr w:rsidR="00666DF0" w:rsidRPr="0057545E" w:rsidTr="00F737AD">
        <w:trPr>
          <w:trHeight w:val="1601"/>
        </w:trPr>
        <w:tc>
          <w:tcPr>
            <w:tcW w:w="1951" w:type="dxa"/>
            <w:vMerge/>
            <w:shd w:val="clear" w:color="auto" w:fill="DBDBDB"/>
          </w:tcPr>
          <w:p w:rsidR="00666DF0" w:rsidRPr="00666B27" w:rsidRDefault="00666DF0" w:rsidP="00B05735">
            <w:pPr>
              <w:spacing w:after="0"/>
              <w:jc w:val="left"/>
              <w:rPr>
                <w:rFonts w:ascii="Arial Narrow" w:hAnsi="Arial Narrow"/>
                <w:bCs/>
                <w:i/>
                <w:sz w:val="18"/>
                <w:szCs w:val="18"/>
                <w:lang w:val="en-GB"/>
              </w:rPr>
            </w:pPr>
          </w:p>
        </w:tc>
        <w:tc>
          <w:tcPr>
            <w:tcW w:w="1985" w:type="dxa"/>
          </w:tcPr>
          <w:p w:rsidR="00666DF0" w:rsidRPr="00666B27" w:rsidRDefault="00666DF0" w:rsidP="00B05735">
            <w:pPr>
              <w:numPr>
                <w:ilvl w:val="0"/>
                <w:numId w:val="36"/>
              </w:numPr>
              <w:tabs>
                <w:tab w:val="left" w:pos="227"/>
              </w:tabs>
              <w:spacing w:after="0"/>
              <w:ind w:left="227" w:hanging="227"/>
              <w:jc w:val="left"/>
              <w:rPr>
                <w:rFonts w:ascii="Arial Narrow" w:hAnsi="Arial Narrow"/>
                <w:bCs/>
                <w:sz w:val="18"/>
                <w:szCs w:val="18"/>
                <w:lang w:val="en-GB"/>
              </w:rPr>
            </w:pPr>
            <w:r w:rsidRPr="00666B27">
              <w:rPr>
                <w:rFonts w:ascii="Arial Narrow" w:hAnsi="Arial Narrow"/>
                <w:bCs/>
                <w:sz w:val="18"/>
                <w:szCs w:val="18"/>
                <w:lang w:val="en-GB"/>
              </w:rPr>
              <w:t xml:space="preserve">Status of action plans for </w:t>
            </w:r>
            <w:r w:rsidRPr="00666B27">
              <w:rPr>
                <w:rFonts w:ascii="Arial Narrow" w:hAnsi="Arial Narrow"/>
                <w:bCs/>
                <w:noProof/>
                <w:sz w:val="18"/>
                <w:szCs w:val="18"/>
                <w:lang w:val="en-GB"/>
              </w:rPr>
              <w:t>large-scale</w:t>
            </w:r>
            <w:r w:rsidRPr="00666B27">
              <w:rPr>
                <w:rFonts w:ascii="Arial Narrow" w:hAnsi="Arial Narrow"/>
                <w:bCs/>
                <w:sz w:val="18"/>
                <w:szCs w:val="18"/>
                <w:lang w:val="en-GB"/>
              </w:rPr>
              <w:t xml:space="preserve"> introduction of LED lamps and high-efficiency distribution transformers</w:t>
            </w:r>
          </w:p>
        </w:tc>
        <w:tc>
          <w:tcPr>
            <w:tcW w:w="2409"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No action plans on efficient lighting or high-efficiency transformers at national government level</w:t>
            </w:r>
          </w:p>
        </w:tc>
        <w:tc>
          <w:tcPr>
            <w:tcW w:w="2268" w:type="dxa"/>
          </w:tcPr>
          <w:p w:rsidR="00666DF0" w:rsidRPr="00666B27" w:rsidRDefault="00393652" w:rsidP="00B05735">
            <w:pPr>
              <w:spacing w:after="0"/>
              <w:jc w:val="left"/>
              <w:rPr>
                <w:rFonts w:ascii="Arial Narrow" w:hAnsi="Arial Narrow"/>
                <w:bCs/>
                <w:sz w:val="18"/>
                <w:szCs w:val="18"/>
                <w:lang w:val="en-GB"/>
              </w:rPr>
            </w:pPr>
            <w:r w:rsidRPr="00666B27">
              <w:rPr>
                <w:rFonts w:ascii="Arial Narrow" w:hAnsi="Arial Narrow"/>
                <w:bCs/>
                <w:sz w:val="18"/>
                <w:szCs w:val="18"/>
                <w:lang w:val="en-GB"/>
              </w:rPr>
              <w:t>A</w:t>
            </w:r>
            <w:r w:rsidR="00666DF0" w:rsidRPr="00666B27">
              <w:rPr>
                <w:rFonts w:ascii="Arial Narrow" w:hAnsi="Arial Narrow"/>
                <w:bCs/>
                <w:sz w:val="18"/>
                <w:szCs w:val="18"/>
                <w:lang w:val="en-GB"/>
              </w:rPr>
              <w:t>ction plan formulated for (LED) efficient lighting and one action plan for high-efficiency transformers by end of yr2</w:t>
            </w:r>
          </w:p>
        </w:tc>
        <w:tc>
          <w:tcPr>
            <w:tcW w:w="2722"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Action plans revised (as needed) in </w:t>
            </w:r>
            <w:proofErr w:type="spellStart"/>
            <w:r w:rsidRPr="00666B27">
              <w:rPr>
                <w:rFonts w:ascii="Arial Narrow" w:hAnsi="Arial Narrow"/>
                <w:bCs/>
                <w:sz w:val="18"/>
                <w:szCs w:val="18"/>
                <w:lang w:val="en-GB"/>
              </w:rPr>
              <w:t>yr</w:t>
            </w:r>
            <w:proofErr w:type="spellEnd"/>
            <w:r w:rsidRPr="00666B27">
              <w:rPr>
                <w:rFonts w:ascii="Arial Narrow" w:hAnsi="Arial Narrow"/>
                <w:bCs/>
                <w:sz w:val="18"/>
                <w:szCs w:val="18"/>
                <w:lang w:val="en-GB"/>
              </w:rPr>
              <w:t xml:space="preserve"> 4 based on final the results and achievements of the Project</w:t>
            </w:r>
          </w:p>
        </w:tc>
        <w:tc>
          <w:tcPr>
            <w:tcW w:w="2807" w:type="dxa"/>
          </w:tcPr>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 xml:space="preserve">Minutes of </w:t>
            </w:r>
            <w:r w:rsidRPr="00666B27">
              <w:rPr>
                <w:rFonts w:ascii="Arial Narrow" w:hAnsi="Arial Narrow"/>
                <w:noProof/>
                <w:sz w:val="18"/>
                <w:szCs w:val="18"/>
                <w:lang w:val="en-GB"/>
              </w:rPr>
              <w:t>meeting</w:t>
            </w:r>
            <w:r w:rsidRPr="00666B27">
              <w:rPr>
                <w:rFonts w:ascii="Arial Narrow" w:hAnsi="Arial Narrow"/>
                <w:sz w:val="18"/>
                <w:szCs w:val="18"/>
                <w:lang w:val="en-GB"/>
              </w:rPr>
              <w:t xml:space="preserve"> of working groups (on lighting and one on transformers) that discuss draft action plans. Publication of action plans</w:t>
            </w:r>
          </w:p>
          <w:p w:rsidR="00666DF0" w:rsidRPr="00666B27" w:rsidRDefault="00666DF0" w:rsidP="00B05735">
            <w:pPr>
              <w:spacing w:after="0"/>
              <w:jc w:val="left"/>
              <w:rPr>
                <w:rFonts w:ascii="Arial Narrow" w:hAnsi="Arial Narrow"/>
                <w:i/>
                <w:sz w:val="18"/>
                <w:szCs w:val="18"/>
                <w:lang w:val="en-GB"/>
              </w:rPr>
            </w:pPr>
          </w:p>
          <w:p w:rsidR="00666DF0" w:rsidRPr="00666B27" w:rsidRDefault="00666DF0" w:rsidP="00B05735">
            <w:pPr>
              <w:spacing w:after="0"/>
              <w:jc w:val="left"/>
              <w:rPr>
                <w:rFonts w:ascii="Arial Narrow" w:hAnsi="Arial Narrow"/>
                <w:i/>
                <w:sz w:val="18"/>
                <w:szCs w:val="18"/>
                <w:lang w:val="en-GB"/>
              </w:rPr>
            </w:pPr>
            <w:r w:rsidRPr="00666B27">
              <w:rPr>
                <w:rFonts w:ascii="Arial Narrow" w:hAnsi="Arial Narrow"/>
                <w:i/>
                <w:sz w:val="18"/>
                <w:szCs w:val="18"/>
                <w:lang w:val="en-GB"/>
              </w:rPr>
              <w:t>Assumption/risk:</w:t>
            </w:r>
          </w:p>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 xml:space="preserve">The Action Plans will be ensured through </w:t>
            </w:r>
            <w:r w:rsidRPr="00666B27">
              <w:rPr>
                <w:rFonts w:ascii="Arial Narrow" w:hAnsi="Arial Narrow"/>
                <w:noProof/>
                <w:sz w:val="18"/>
                <w:szCs w:val="18"/>
                <w:lang w:val="en-GB"/>
              </w:rPr>
              <w:t>formation</w:t>
            </w:r>
            <w:r w:rsidRPr="00666B27">
              <w:rPr>
                <w:rFonts w:ascii="Arial Narrow" w:hAnsi="Arial Narrow"/>
                <w:sz w:val="18"/>
                <w:szCs w:val="18"/>
                <w:lang w:val="en-GB"/>
              </w:rPr>
              <w:t xml:space="preserve"> of Working Groups (see Project management section) and as a mechanism for regular consultations. Assumed strong involvement of national agencies in the project</w:t>
            </w:r>
          </w:p>
        </w:tc>
      </w:tr>
      <w:tr w:rsidR="00666DF0" w:rsidRPr="0057545E" w:rsidTr="00F737AD">
        <w:trPr>
          <w:trHeight w:val="74"/>
        </w:trPr>
        <w:tc>
          <w:tcPr>
            <w:tcW w:w="1951" w:type="dxa"/>
            <w:vMerge/>
            <w:shd w:val="clear" w:color="auto" w:fill="DBDBDB"/>
          </w:tcPr>
          <w:p w:rsidR="00666DF0" w:rsidRPr="00666B27" w:rsidRDefault="00666DF0" w:rsidP="00B05735">
            <w:pPr>
              <w:spacing w:after="0"/>
              <w:jc w:val="left"/>
              <w:rPr>
                <w:rFonts w:ascii="Arial Narrow" w:hAnsi="Arial Narrow"/>
                <w:b/>
                <w:bCs/>
                <w:sz w:val="18"/>
                <w:szCs w:val="18"/>
                <w:lang w:val="en-GB"/>
              </w:rPr>
            </w:pPr>
          </w:p>
        </w:tc>
        <w:tc>
          <w:tcPr>
            <w:tcW w:w="1985" w:type="dxa"/>
          </w:tcPr>
          <w:p w:rsidR="00666DF0" w:rsidRPr="00666B27" w:rsidRDefault="00666DF0" w:rsidP="00B05735">
            <w:pPr>
              <w:numPr>
                <w:ilvl w:val="0"/>
                <w:numId w:val="36"/>
              </w:numPr>
              <w:tabs>
                <w:tab w:val="left" w:pos="227"/>
              </w:tabs>
              <w:spacing w:after="0"/>
              <w:ind w:left="227" w:hanging="227"/>
              <w:jc w:val="left"/>
              <w:rPr>
                <w:rFonts w:ascii="Arial Narrow" w:hAnsi="Arial Narrow"/>
                <w:sz w:val="18"/>
                <w:szCs w:val="18"/>
                <w:lang w:val="en-GB"/>
              </w:rPr>
            </w:pPr>
            <w:r w:rsidRPr="00666B27">
              <w:rPr>
                <w:rFonts w:ascii="Arial Narrow" w:hAnsi="Arial Narrow"/>
                <w:sz w:val="18"/>
                <w:szCs w:val="18"/>
                <w:lang w:val="en-GB"/>
              </w:rPr>
              <w:t>Availability of updated information on products and on their compliance with standards and labels</w:t>
            </w:r>
          </w:p>
        </w:tc>
        <w:tc>
          <w:tcPr>
            <w:tcW w:w="2409"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 register or web portal on </w:t>
            </w:r>
            <w:r w:rsidRPr="00666B27">
              <w:rPr>
                <w:rFonts w:ascii="Arial Narrow" w:hAnsi="Arial Narrow"/>
                <w:bCs/>
                <w:noProof/>
                <w:sz w:val="18"/>
                <w:szCs w:val="18"/>
                <w:lang w:val="en-GB"/>
              </w:rPr>
              <w:t>energy</w:t>
            </w:r>
            <w:r w:rsidRPr="00666B27">
              <w:rPr>
                <w:rFonts w:ascii="Arial Narrow" w:hAnsi="Arial Narrow"/>
                <w:bCs/>
                <w:sz w:val="18"/>
                <w:szCs w:val="18"/>
                <w:lang w:val="en-GB"/>
              </w:rPr>
              <w:t xml:space="preserve"> performance of LED and transformers South Africa</w:t>
            </w:r>
          </w:p>
        </w:tc>
        <w:tc>
          <w:tcPr>
            <w:tcW w:w="2268"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One (1) register/web portal on compliant products and results of MVE (Outcome 3) set up under UNDP/GEF standards and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project with new </w:t>
            </w:r>
            <w:r w:rsidRPr="00666B27">
              <w:rPr>
                <w:rFonts w:ascii="Arial Narrow" w:hAnsi="Arial Narrow"/>
                <w:bCs/>
                <w:sz w:val="18"/>
                <w:szCs w:val="18"/>
                <w:lang w:val="en-GB"/>
              </w:rPr>
              <w:lastRenderedPageBreak/>
              <w:t xml:space="preserve">data collected and </w:t>
            </w:r>
            <w:r w:rsidRPr="00666B27">
              <w:rPr>
                <w:rFonts w:ascii="Arial Narrow" w:hAnsi="Arial Narrow"/>
                <w:bCs/>
                <w:noProof/>
                <w:sz w:val="18"/>
                <w:szCs w:val="18"/>
                <w:lang w:val="en-GB"/>
              </w:rPr>
              <w:t>analysed</w:t>
            </w:r>
            <w:r w:rsidRPr="00666B27">
              <w:rPr>
                <w:rFonts w:ascii="Arial Narrow" w:hAnsi="Arial Narrow"/>
                <w:bCs/>
                <w:sz w:val="18"/>
                <w:szCs w:val="18"/>
                <w:lang w:val="en-GB"/>
              </w:rPr>
              <w:t xml:space="preserve"> on LEDs and distribution transformers</w:t>
            </w:r>
          </w:p>
        </w:tc>
        <w:tc>
          <w:tcPr>
            <w:tcW w:w="2722"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lastRenderedPageBreak/>
              <w:t xml:space="preserve">Register and web portal are operational, with complete and regularly updated data collection on </w:t>
            </w:r>
            <w:r w:rsidRPr="00666B27">
              <w:rPr>
                <w:rFonts w:ascii="Arial Narrow" w:hAnsi="Arial Narrow"/>
                <w:bCs/>
                <w:noProof/>
                <w:sz w:val="18"/>
                <w:szCs w:val="18"/>
                <w:lang w:val="en-GB"/>
              </w:rPr>
              <w:t>energy</w:t>
            </w:r>
            <w:r w:rsidRPr="00666B27">
              <w:rPr>
                <w:rFonts w:ascii="Arial Narrow" w:hAnsi="Arial Narrow"/>
                <w:bCs/>
                <w:sz w:val="18"/>
                <w:szCs w:val="18"/>
                <w:lang w:val="en-GB"/>
              </w:rPr>
              <w:t xml:space="preserve"> performance of (LED) lighting, </w:t>
            </w:r>
            <w:r w:rsidRPr="00666B27">
              <w:rPr>
                <w:rFonts w:ascii="Arial Narrow" w:hAnsi="Arial Narrow"/>
                <w:bCs/>
                <w:sz w:val="18"/>
                <w:szCs w:val="18"/>
                <w:lang w:val="en-GB"/>
              </w:rPr>
              <w:lastRenderedPageBreak/>
              <w:t xml:space="preserve">and distribution transformers (e.g., as part of </w:t>
            </w:r>
            <w:r w:rsidRPr="00666B27">
              <w:rPr>
                <w:rFonts w:ascii="Arial Narrow" w:hAnsi="Arial Narrow"/>
                <w:bCs/>
                <w:noProof/>
                <w:sz w:val="18"/>
                <w:szCs w:val="18"/>
                <w:lang w:val="en-GB"/>
              </w:rPr>
              <w:t>existing</w:t>
            </w:r>
            <w:r w:rsidRPr="00666B27">
              <w:rPr>
                <w:rFonts w:ascii="Arial Narrow" w:hAnsi="Arial Narrow"/>
                <w:bCs/>
                <w:sz w:val="18"/>
                <w:szCs w:val="18"/>
                <w:lang w:val="en-GB"/>
              </w:rPr>
              <w:t xml:space="preserve"> website)</w:t>
            </w:r>
          </w:p>
        </w:tc>
        <w:tc>
          <w:tcPr>
            <w:tcW w:w="2807" w:type="dxa"/>
          </w:tcPr>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i/>
                <w:noProof/>
                <w:sz w:val="18"/>
                <w:szCs w:val="18"/>
                <w:lang w:val="en-GB"/>
              </w:rPr>
              <w:lastRenderedPageBreak/>
              <w:t>Assumption / risk</w:t>
            </w:r>
            <w:r w:rsidRPr="00666B27">
              <w:rPr>
                <w:rFonts w:ascii="Arial Narrow" w:hAnsi="Arial Narrow"/>
                <w:i/>
                <w:sz w:val="18"/>
                <w:szCs w:val="18"/>
                <w:lang w:val="en-GB"/>
              </w:rPr>
              <w:t xml:space="preserve">: </w:t>
            </w:r>
            <w:r w:rsidRPr="00666B27">
              <w:rPr>
                <w:rFonts w:ascii="Arial Narrow" w:hAnsi="Arial Narrow"/>
                <w:sz w:val="18"/>
                <w:szCs w:val="18"/>
                <w:lang w:val="en-GB"/>
              </w:rPr>
              <w:t xml:space="preserve">register and web portal will be </w:t>
            </w:r>
            <w:proofErr w:type="gramStart"/>
            <w:r w:rsidRPr="00666B27">
              <w:rPr>
                <w:rFonts w:ascii="Arial Narrow" w:hAnsi="Arial Narrow"/>
                <w:sz w:val="18"/>
                <w:szCs w:val="18"/>
                <w:lang w:val="en-GB"/>
              </w:rPr>
              <w:t>established</w:t>
            </w:r>
            <w:proofErr w:type="gramEnd"/>
            <w:r w:rsidRPr="00666B27">
              <w:rPr>
                <w:rFonts w:ascii="Arial Narrow" w:hAnsi="Arial Narrow"/>
                <w:sz w:val="18"/>
                <w:szCs w:val="18"/>
                <w:lang w:val="en-GB"/>
              </w:rPr>
              <w:t xml:space="preserve"> and </w:t>
            </w:r>
            <w:r w:rsidRPr="00666B27">
              <w:rPr>
                <w:rFonts w:ascii="Arial Narrow" w:hAnsi="Arial Narrow"/>
                <w:noProof/>
                <w:sz w:val="18"/>
                <w:szCs w:val="18"/>
                <w:lang w:val="en-GB"/>
              </w:rPr>
              <w:t>database</w:t>
            </w:r>
            <w:r w:rsidRPr="00666B27">
              <w:rPr>
                <w:rFonts w:ascii="Arial Narrow" w:hAnsi="Arial Narrow"/>
                <w:sz w:val="18"/>
                <w:szCs w:val="18"/>
                <w:lang w:val="en-GB"/>
              </w:rPr>
              <w:t xml:space="preserve"> of compliant products regularly updated. Manufacturers, suppliers contribute to </w:t>
            </w:r>
            <w:r w:rsidRPr="00666B27">
              <w:rPr>
                <w:rFonts w:ascii="Arial Narrow" w:hAnsi="Arial Narrow"/>
                <w:noProof/>
                <w:sz w:val="18"/>
                <w:szCs w:val="18"/>
                <w:lang w:val="en-GB"/>
              </w:rPr>
              <w:t>database</w:t>
            </w:r>
            <w:r w:rsidRPr="00666B27">
              <w:rPr>
                <w:rFonts w:ascii="Arial Narrow" w:hAnsi="Arial Narrow"/>
                <w:sz w:val="18"/>
                <w:szCs w:val="18"/>
                <w:lang w:val="en-GB"/>
              </w:rPr>
              <w:t xml:space="preserve"> with reliable and </w:t>
            </w:r>
            <w:r w:rsidRPr="00666B27">
              <w:rPr>
                <w:rFonts w:ascii="Arial Narrow" w:hAnsi="Arial Narrow"/>
                <w:sz w:val="18"/>
                <w:szCs w:val="18"/>
                <w:lang w:val="en-GB"/>
              </w:rPr>
              <w:lastRenderedPageBreak/>
              <w:t>complete data so that integrity is maintained</w:t>
            </w:r>
          </w:p>
          <w:p w:rsidR="00666DF0" w:rsidRPr="00666B27" w:rsidRDefault="00666DF0" w:rsidP="00B05735">
            <w:pPr>
              <w:spacing w:after="0"/>
              <w:jc w:val="left"/>
              <w:rPr>
                <w:rFonts w:ascii="Arial Narrow" w:hAnsi="Arial Narrow"/>
                <w:sz w:val="18"/>
                <w:szCs w:val="18"/>
                <w:lang w:val="en-GB"/>
              </w:rPr>
            </w:pPr>
          </w:p>
          <w:p w:rsidR="00666DF0" w:rsidRPr="00666B27" w:rsidRDefault="00666DF0" w:rsidP="00B05735">
            <w:pPr>
              <w:spacing w:after="0"/>
              <w:jc w:val="left"/>
              <w:rPr>
                <w:rFonts w:ascii="Arial Narrow" w:hAnsi="Arial Narrow"/>
                <w:sz w:val="18"/>
                <w:szCs w:val="18"/>
                <w:lang w:val="en-GB"/>
              </w:rPr>
            </w:pPr>
          </w:p>
        </w:tc>
      </w:tr>
      <w:tr w:rsidR="00666DF0" w:rsidRPr="0057545E" w:rsidTr="00F737AD">
        <w:trPr>
          <w:trHeight w:val="1203"/>
        </w:trPr>
        <w:tc>
          <w:tcPr>
            <w:tcW w:w="1951" w:type="dxa"/>
            <w:vMerge/>
            <w:shd w:val="clear" w:color="auto" w:fill="DBDBDB"/>
          </w:tcPr>
          <w:p w:rsidR="00666DF0" w:rsidRPr="00666B27" w:rsidRDefault="00666DF0" w:rsidP="00B05735">
            <w:pPr>
              <w:spacing w:after="0"/>
              <w:jc w:val="left"/>
              <w:rPr>
                <w:rFonts w:ascii="Arial Narrow" w:hAnsi="Arial Narrow"/>
                <w:bCs/>
                <w:sz w:val="18"/>
                <w:szCs w:val="18"/>
                <w:lang w:val="en-GB"/>
              </w:rPr>
            </w:pPr>
          </w:p>
        </w:tc>
        <w:tc>
          <w:tcPr>
            <w:tcW w:w="1985" w:type="dxa"/>
          </w:tcPr>
          <w:p w:rsidR="00666DF0" w:rsidRPr="00666B27" w:rsidRDefault="00666DF0" w:rsidP="00B05735">
            <w:pPr>
              <w:numPr>
                <w:ilvl w:val="0"/>
                <w:numId w:val="36"/>
              </w:numPr>
              <w:tabs>
                <w:tab w:val="left" w:pos="227"/>
              </w:tabs>
              <w:spacing w:after="0"/>
              <w:ind w:left="227" w:hanging="294"/>
              <w:jc w:val="left"/>
              <w:rPr>
                <w:rFonts w:ascii="Arial Narrow" w:hAnsi="Arial Narrow"/>
                <w:bCs/>
                <w:i/>
                <w:sz w:val="18"/>
                <w:szCs w:val="18"/>
                <w:lang w:val="en-GB"/>
              </w:rPr>
            </w:pPr>
            <w:r w:rsidRPr="00666B27">
              <w:rPr>
                <w:rFonts w:ascii="Arial Narrow" w:hAnsi="Arial Narrow"/>
                <w:bCs/>
                <w:sz w:val="18"/>
                <w:szCs w:val="18"/>
                <w:lang w:val="en-GB"/>
              </w:rPr>
              <w:t xml:space="preserve">Status of minimum energy performance standards (MEPS) for LEDs and </w:t>
            </w:r>
            <w:r w:rsidRPr="00666B27">
              <w:rPr>
                <w:rFonts w:ascii="Arial Narrow" w:hAnsi="Arial Narrow"/>
                <w:sz w:val="18"/>
                <w:szCs w:val="18"/>
                <w:lang w:val="en-GB"/>
              </w:rPr>
              <w:t>energy labels for LEDs</w:t>
            </w:r>
            <w:r w:rsidRPr="00666B27">
              <w:rPr>
                <w:rFonts w:ascii="Arial Narrow" w:hAnsi="Arial Narrow"/>
                <w:bCs/>
                <w:sz w:val="18"/>
                <w:szCs w:val="18"/>
                <w:lang w:val="en-GB"/>
              </w:rPr>
              <w:t xml:space="preserve"> </w:t>
            </w:r>
          </w:p>
        </w:tc>
        <w:tc>
          <w:tcPr>
            <w:tcW w:w="2409"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Mandatory MEPS and energy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for selected appliances, but not yet for LED lamps-luminaires distribution transformers</w:t>
            </w:r>
          </w:p>
        </w:tc>
        <w:tc>
          <w:tcPr>
            <w:tcW w:w="2268"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Proposal for MEPS and energy label categories for LED lamps (under discussion DoE, N</w:t>
            </w:r>
            <w:r w:rsidR="00FF4957">
              <w:rPr>
                <w:rFonts w:ascii="Arial Narrow" w:hAnsi="Arial Narrow"/>
                <w:bCs/>
                <w:sz w:val="18"/>
                <w:szCs w:val="18"/>
                <w:lang w:val="en-GB"/>
              </w:rPr>
              <w:t>RC</w:t>
            </w:r>
            <w:r w:rsidRPr="00666B27">
              <w:rPr>
                <w:rFonts w:ascii="Arial Narrow" w:hAnsi="Arial Narrow"/>
                <w:bCs/>
                <w:sz w:val="18"/>
                <w:szCs w:val="18"/>
                <w:lang w:val="en-GB"/>
              </w:rPr>
              <w:t>S, SABS) and MEPS for distribution transformers (under discussion DoE, N</w:t>
            </w:r>
            <w:r w:rsidR="00FF4957">
              <w:rPr>
                <w:rFonts w:ascii="Arial Narrow" w:hAnsi="Arial Narrow"/>
                <w:bCs/>
                <w:sz w:val="18"/>
                <w:szCs w:val="18"/>
                <w:lang w:val="en-GB"/>
              </w:rPr>
              <w:t>RC</w:t>
            </w:r>
            <w:r w:rsidRPr="00666B27">
              <w:rPr>
                <w:rFonts w:ascii="Arial Narrow" w:hAnsi="Arial Narrow"/>
                <w:bCs/>
                <w:sz w:val="18"/>
                <w:szCs w:val="18"/>
                <w:lang w:val="en-GB"/>
              </w:rPr>
              <w:t>S, NERSA, SABS)</w:t>
            </w:r>
          </w:p>
        </w:tc>
        <w:tc>
          <w:tcPr>
            <w:tcW w:w="2722"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Compulsory MEPS and energy label categories for LED lamps; and MEPS for distribution transformer </w:t>
            </w:r>
          </w:p>
        </w:tc>
        <w:tc>
          <w:tcPr>
            <w:tcW w:w="2807" w:type="dxa"/>
          </w:tcPr>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 xml:space="preserve">MEPS and </w:t>
            </w:r>
            <w:r w:rsidRPr="00666B27">
              <w:rPr>
                <w:rFonts w:ascii="Arial Narrow" w:hAnsi="Arial Narrow"/>
                <w:noProof/>
                <w:sz w:val="18"/>
                <w:szCs w:val="18"/>
                <w:lang w:val="en-GB"/>
              </w:rPr>
              <w:t>labelling</w:t>
            </w:r>
            <w:r w:rsidRPr="00666B27">
              <w:rPr>
                <w:rFonts w:ascii="Arial Narrow" w:hAnsi="Arial Narrow"/>
                <w:sz w:val="18"/>
                <w:szCs w:val="18"/>
                <w:lang w:val="en-GB"/>
              </w:rPr>
              <w:t xml:space="preserve"> regulations to be circulated for public comment and then gazette. Stakeholder consultation reports.</w:t>
            </w:r>
          </w:p>
          <w:p w:rsidR="00666DF0" w:rsidRPr="00666B27" w:rsidRDefault="00666DF0" w:rsidP="00B05735">
            <w:pPr>
              <w:spacing w:after="0"/>
              <w:jc w:val="left"/>
              <w:rPr>
                <w:rFonts w:ascii="Arial Narrow" w:hAnsi="Arial Narrow"/>
                <w:sz w:val="18"/>
                <w:szCs w:val="18"/>
                <w:lang w:val="en-GB"/>
              </w:rPr>
            </w:pPr>
          </w:p>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Assumptions/risks: </w:t>
            </w:r>
            <w:r w:rsidRPr="00666B27">
              <w:rPr>
                <w:rFonts w:ascii="Arial Narrow" w:hAnsi="Arial Narrow"/>
                <w:sz w:val="18"/>
                <w:szCs w:val="18"/>
                <w:lang w:val="en-GB"/>
              </w:rPr>
              <w:t xml:space="preserve">Major stakeholders (public and private) support the project objectives and adhere to the timeline for enactment of the regulations. This assumption will be ensured through </w:t>
            </w:r>
            <w:r w:rsidR="00E236DA" w:rsidRPr="00666B27">
              <w:rPr>
                <w:rFonts w:ascii="Arial Narrow" w:hAnsi="Arial Narrow"/>
                <w:sz w:val="18"/>
                <w:szCs w:val="18"/>
                <w:lang w:val="en-GB"/>
              </w:rPr>
              <w:t xml:space="preserve">the </w:t>
            </w:r>
            <w:r w:rsidRPr="00666B27">
              <w:rPr>
                <w:rFonts w:ascii="Arial Narrow" w:hAnsi="Arial Narrow"/>
                <w:noProof/>
                <w:sz w:val="18"/>
                <w:szCs w:val="18"/>
                <w:lang w:val="en-GB"/>
              </w:rPr>
              <w:t>formation</w:t>
            </w:r>
            <w:r w:rsidRPr="00666B27">
              <w:rPr>
                <w:rFonts w:ascii="Arial Narrow" w:hAnsi="Arial Narrow"/>
                <w:sz w:val="18"/>
                <w:szCs w:val="18"/>
                <w:lang w:val="en-GB"/>
              </w:rPr>
              <w:t xml:space="preserve"> of the stakeholder Working Groups and regular consultations.</w:t>
            </w:r>
            <w:r w:rsidRPr="00666B27">
              <w:rPr>
                <w:lang w:val="en-GB"/>
              </w:rPr>
              <w:t xml:space="preserve"> </w:t>
            </w:r>
            <w:r w:rsidRPr="00666B27">
              <w:rPr>
                <w:rFonts w:ascii="Arial Narrow" w:hAnsi="Arial Narrow"/>
                <w:sz w:val="18"/>
                <w:szCs w:val="18"/>
                <w:lang w:val="en-GB"/>
              </w:rPr>
              <w:t>Stakeholders actively participate in providing market data and the review of the engineering /</w:t>
            </w:r>
            <w:r w:rsidRPr="00666B27">
              <w:rPr>
                <w:rFonts w:ascii="Arial Narrow" w:hAnsi="Arial Narrow"/>
                <w:noProof/>
                <w:sz w:val="18"/>
                <w:szCs w:val="18"/>
                <w:lang w:val="en-GB"/>
              </w:rPr>
              <w:t>cost</w:t>
            </w:r>
            <w:r w:rsidR="00E236DA" w:rsidRPr="00666B27">
              <w:rPr>
                <w:rFonts w:ascii="Arial Narrow" w:hAnsi="Arial Narrow"/>
                <w:noProof/>
                <w:sz w:val="18"/>
                <w:szCs w:val="18"/>
                <w:lang w:val="en-GB"/>
              </w:rPr>
              <w:t>-</w:t>
            </w:r>
            <w:r w:rsidRPr="00666B27">
              <w:rPr>
                <w:rFonts w:ascii="Arial Narrow" w:hAnsi="Arial Narrow"/>
                <w:noProof/>
                <w:sz w:val="18"/>
                <w:szCs w:val="18"/>
                <w:lang w:val="en-GB"/>
              </w:rPr>
              <w:t>benefit</w:t>
            </w:r>
            <w:r w:rsidR="00E236DA" w:rsidRPr="00666B27">
              <w:rPr>
                <w:rFonts w:ascii="Arial Narrow" w:hAnsi="Arial Narrow"/>
                <w:noProof/>
                <w:sz w:val="18"/>
                <w:szCs w:val="18"/>
                <w:lang w:val="en-GB"/>
              </w:rPr>
              <w:t xml:space="preserve"> </w:t>
            </w:r>
            <w:r w:rsidRPr="00666B27">
              <w:rPr>
                <w:rFonts w:ascii="Arial Narrow" w:hAnsi="Arial Narrow"/>
                <w:sz w:val="18"/>
                <w:szCs w:val="18"/>
                <w:lang w:val="en-GB"/>
              </w:rPr>
              <w:t>analysis. Necessary legislation is drafted and enacted</w:t>
            </w:r>
          </w:p>
        </w:tc>
      </w:tr>
      <w:tr w:rsidR="00666DF0" w:rsidRPr="0057545E" w:rsidTr="00F737AD">
        <w:trPr>
          <w:trHeight w:val="2479"/>
        </w:trPr>
        <w:tc>
          <w:tcPr>
            <w:tcW w:w="1951" w:type="dxa"/>
            <w:vMerge/>
            <w:shd w:val="clear" w:color="auto" w:fill="DBDBDB"/>
          </w:tcPr>
          <w:p w:rsidR="00666DF0" w:rsidRPr="00666B27" w:rsidRDefault="00666DF0" w:rsidP="00B05735">
            <w:pPr>
              <w:spacing w:after="0"/>
              <w:jc w:val="left"/>
              <w:rPr>
                <w:rFonts w:ascii="Arial Narrow" w:hAnsi="Arial Narrow"/>
                <w:bCs/>
                <w:sz w:val="18"/>
                <w:szCs w:val="18"/>
                <w:lang w:val="en-GB"/>
              </w:rPr>
            </w:pPr>
          </w:p>
        </w:tc>
        <w:tc>
          <w:tcPr>
            <w:tcW w:w="1985" w:type="dxa"/>
          </w:tcPr>
          <w:p w:rsidR="00666DF0" w:rsidRPr="00666B27" w:rsidRDefault="00666DF0" w:rsidP="00B05735">
            <w:pPr>
              <w:numPr>
                <w:ilvl w:val="0"/>
                <w:numId w:val="36"/>
              </w:numPr>
              <w:tabs>
                <w:tab w:val="left" w:pos="175"/>
              </w:tabs>
              <w:spacing w:after="0"/>
              <w:ind w:left="175" w:hanging="175"/>
              <w:jc w:val="left"/>
              <w:rPr>
                <w:rFonts w:ascii="Arial Narrow" w:hAnsi="Arial Narrow"/>
                <w:bCs/>
                <w:sz w:val="18"/>
                <w:szCs w:val="18"/>
                <w:lang w:val="en-GB"/>
              </w:rPr>
            </w:pPr>
            <w:r w:rsidRPr="00666B27">
              <w:rPr>
                <w:rFonts w:ascii="Arial Narrow" w:hAnsi="Arial Narrow"/>
                <w:bCs/>
                <w:noProof/>
                <w:sz w:val="18"/>
                <w:szCs w:val="18"/>
                <w:lang w:val="en-GB"/>
              </w:rPr>
              <w:t>Operational</w:t>
            </w:r>
            <w:r w:rsidRPr="00666B27">
              <w:rPr>
                <w:rFonts w:ascii="Arial Narrow" w:hAnsi="Arial Narrow"/>
                <w:bCs/>
                <w:sz w:val="18"/>
                <w:szCs w:val="18"/>
                <w:lang w:val="en-GB"/>
              </w:rPr>
              <w:t xml:space="preserve"> status of testing and certification laboratories in support of energy performance standards and </w:t>
            </w:r>
            <w:r w:rsidRPr="00666B27">
              <w:rPr>
                <w:rFonts w:ascii="Arial Narrow" w:hAnsi="Arial Narrow"/>
                <w:bCs/>
                <w:noProof/>
                <w:sz w:val="18"/>
                <w:szCs w:val="18"/>
                <w:lang w:val="en-GB"/>
              </w:rPr>
              <w:t>labelling</w:t>
            </w:r>
            <w:r w:rsidRPr="00666B27">
              <w:rPr>
                <w:rFonts w:ascii="Arial Narrow" w:hAnsi="Arial Narrow"/>
                <w:bCs/>
                <w:sz w:val="18"/>
                <w:szCs w:val="18"/>
                <w:lang w:val="en-GB"/>
              </w:rPr>
              <w:t xml:space="preserve"> for LED (and other lighting products) and distribution transformers</w:t>
            </w:r>
          </w:p>
        </w:tc>
        <w:tc>
          <w:tcPr>
            <w:tcW w:w="2409"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Two (2) labs are accredited by SANAS for photometric testing according to international standards.</w:t>
            </w:r>
          </w:p>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Quality control of distribution transformers by Eskom as part of contracts</w:t>
            </w:r>
          </w:p>
        </w:tc>
        <w:tc>
          <w:tcPr>
            <w:tcW w:w="2268" w:type="dxa"/>
          </w:tcPr>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At least three (3) labs are accredited by SANAS for photometric testing according to international standards.</w:t>
            </w:r>
          </w:p>
        </w:tc>
        <w:tc>
          <w:tcPr>
            <w:tcW w:w="2722" w:type="dxa"/>
          </w:tcPr>
          <w:p w:rsidR="00666DF0" w:rsidRPr="00666B27" w:rsidRDefault="00666DF0" w:rsidP="00B05735">
            <w:pPr>
              <w:spacing w:after="0"/>
              <w:jc w:val="left"/>
              <w:rPr>
                <w:lang w:val="en-GB"/>
              </w:rPr>
            </w:pPr>
            <w:r w:rsidRPr="00666B27">
              <w:rPr>
                <w:rFonts w:ascii="Arial Narrow" w:hAnsi="Arial Narrow"/>
                <w:bCs/>
                <w:sz w:val="18"/>
                <w:szCs w:val="18"/>
                <w:lang w:val="en-GB"/>
              </w:rPr>
              <w:t xml:space="preserve">At least three (3) labs are accredited by SANAS for photometric testing according to international standards and at least one independent lab for distribution transformers testing (or at least the number of test labs needed to be able to test the desired volume of devices needs for the implementation of MEPS and/or </w:t>
            </w:r>
            <w:r w:rsidRPr="00666B27">
              <w:rPr>
                <w:rFonts w:ascii="Arial Narrow" w:hAnsi="Arial Narrow"/>
                <w:bCs/>
                <w:noProof/>
                <w:sz w:val="18"/>
                <w:szCs w:val="18"/>
                <w:lang w:val="en-GB"/>
              </w:rPr>
              <w:t>labelling</w:t>
            </w:r>
            <w:r w:rsidRPr="00666B27">
              <w:rPr>
                <w:rFonts w:ascii="Arial Narrow" w:hAnsi="Arial Narrow"/>
                <w:bCs/>
                <w:sz w:val="18"/>
                <w:szCs w:val="18"/>
                <w:lang w:val="en-GB"/>
              </w:rPr>
              <w:t>)</w:t>
            </w:r>
            <w:r w:rsidRPr="00666B27">
              <w:rPr>
                <w:lang w:val="en-GB"/>
              </w:rPr>
              <w:t xml:space="preserve"> </w:t>
            </w:r>
          </w:p>
          <w:p w:rsidR="00666DF0" w:rsidRPr="00666B27" w:rsidRDefault="00666DF0" w:rsidP="00B05735">
            <w:pPr>
              <w:spacing w:after="0"/>
              <w:jc w:val="left"/>
              <w:rPr>
                <w:rFonts w:ascii="Arial Narrow" w:hAnsi="Arial Narrow"/>
                <w:bCs/>
                <w:sz w:val="18"/>
                <w:szCs w:val="18"/>
                <w:lang w:val="en-GB"/>
              </w:rPr>
            </w:pPr>
          </w:p>
          <w:p w:rsidR="00666DF0" w:rsidRPr="00666B27" w:rsidRDefault="00666DF0"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Note: The exact number and identity of the laboratories will be determined based on detailed analysis during the first project year of laboratory capacity, equipment costs, administrative issues, and expected volumes of equipment to be tested.  The indicator is to be assessed based not on </w:t>
            </w:r>
            <w:r w:rsidRPr="00666B27">
              <w:rPr>
                <w:rFonts w:ascii="Arial Narrow" w:hAnsi="Arial Narrow"/>
                <w:bCs/>
                <w:noProof/>
                <w:sz w:val="18"/>
                <w:szCs w:val="18"/>
                <w:lang w:val="en-GB"/>
              </w:rPr>
              <w:t>number</w:t>
            </w:r>
            <w:r w:rsidRPr="00666B27">
              <w:rPr>
                <w:rFonts w:ascii="Arial Narrow" w:hAnsi="Arial Narrow"/>
                <w:bCs/>
                <w:sz w:val="18"/>
                <w:szCs w:val="18"/>
                <w:lang w:val="en-GB"/>
              </w:rPr>
              <w:t xml:space="preserve"> of laboratories, but rather capacity to fully handle all national certification needs</w:t>
            </w:r>
          </w:p>
        </w:tc>
        <w:tc>
          <w:tcPr>
            <w:tcW w:w="2807" w:type="dxa"/>
          </w:tcPr>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sz w:val="18"/>
                <w:szCs w:val="18"/>
                <w:lang w:val="en-GB"/>
              </w:rPr>
              <w:t>Audit reports of test labs. Product validation reports from test labs. Accreditation confirmation of test labs.</w:t>
            </w:r>
          </w:p>
          <w:p w:rsidR="00666DF0" w:rsidRPr="00666B27" w:rsidRDefault="00666DF0" w:rsidP="00B05735">
            <w:pPr>
              <w:spacing w:after="0"/>
              <w:jc w:val="left"/>
              <w:rPr>
                <w:rFonts w:ascii="Arial Narrow" w:hAnsi="Arial Narrow"/>
                <w:sz w:val="18"/>
                <w:szCs w:val="18"/>
                <w:lang w:val="en-GB"/>
              </w:rPr>
            </w:pPr>
          </w:p>
          <w:p w:rsidR="00666DF0" w:rsidRPr="00666B27" w:rsidRDefault="00666DF0" w:rsidP="00B05735">
            <w:pPr>
              <w:spacing w:after="0"/>
              <w:jc w:val="left"/>
              <w:rPr>
                <w:rFonts w:ascii="Arial Narrow" w:hAnsi="Arial Narrow"/>
                <w:sz w:val="18"/>
                <w:szCs w:val="18"/>
                <w:lang w:val="en-GB"/>
              </w:rPr>
            </w:pPr>
            <w:r w:rsidRPr="00666B27">
              <w:rPr>
                <w:rFonts w:ascii="Arial Narrow" w:hAnsi="Arial Narrow"/>
                <w:i/>
                <w:sz w:val="18"/>
                <w:szCs w:val="18"/>
                <w:lang w:val="en-GB"/>
              </w:rPr>
              <w:t>Assumptions/risks:</w:t>
            </w:r>
            <w:r w:rsidRPr="00666B27">
              <w:rPr>
                <w:rFonts w:ascii="Arial Narrow" w:hAnsi="Arial Narrow"/>
                <w:sz w:val="18"/>
                <w:szCs w:val="18"/>
                <w:lang w:val="en-GB"/>
              </w:rPr>
              <w:t xml:space="preserve"> part of MVE activities can be recovered by levies charged by NCRS on the regulated products, in addition to assumed resources committed by the Government. Commitment from the side of suppliers, distributors, manufacturers.</w:t>
            </w:r>
            <w:r w:rsidRPr="00666B27">
              <w:rPr>
                <w:lang w:val="en-GB"/>
              </w:rPr>
              <w:t xml:space="preserve"> </w:t>
            </w:r>
            <w:r w:rsidRPr="00666B27">
              <w:rPr>
                <w:rFonts w:ascii="Arial Narrow" w:hAnsi="Arial Narrow"/>
                <w:sz w:val="18"/>
                <w:szCs w:val="18"/>
                <w:lang w:val="en-GB"/>
              </w:rPr>
              <w:t>Public sector funding to is made available to upgrade test facilities, if not, private sector test lab engagement will be sought</w:t>
            </w:r>
          </w:p>
        </w:tc>
      </w:tr>
      <w:tr w:rsidR="002D4B05" w:rsidRPr="0057545E" w:rsidTr="00F737AD">
        <w:trPr>
          <w:trHeight w:val="765"/>
        </w:trPr>
        <w:tc>
          <w:tcPr>
            <w:tcW w:w="1951" w:type="dxa"/>
            <w:vMerge w:val="restart"/>
            <w:shd w:val="clear" w:color="auto" w:fill="E2EFD9"/>
          </w:tcPr>
          <w:p w:rsidR="002D4B05" w:rsidRPr="00514DE8" w:rsidRDefault="002D4B05" w:rsidP="00B05735">
            <w:pPr>
              <w:spacing w:after="0"/>
              <w:jc w:val="left"/>
              <w:rPr>
                <w:rFonts w:ascii="Arial Narrow" w:hAnsi="Arial Narrow"/>
                <w:b/>
                <w:bCs/>
                <w:sz w:val="18"/>
                <w:szCs w:val="18"/>
                <w:lang w:val="en-GB"/>
              </w:rPr>
            </w:pPr>
            <w:r w:rsidRPr="0057545E">
              <w:rPr>
                <w:rFonts w:ascii="Arial Narrow" w:hAnsi="Arial Narrow"/>
                <w:b/>
                <w:bCs/>
                <w:sz w:val="18"/>
                <w:szCs w:val="18"/>
                <w:lang w:val="en-GB"/>
              </w:rPr>
              <w:lastRenderedPageBreak/>
              <w:t>Outcome 2</w:t>
            </w:r>
          </w:p>
          <w:p w:rsidR="002D4B05" w:rsidRPr="00353542" w:rsidRDefault="002D4B05" w:rsidP="00B05735">
            <w:pPr>
              <w:spacing w:after="0"/>
              <w:jc w:val="left"/>
              <w:rPr>
                <w:rFonts w:ascii="Arial Narrow" w:hAnsi="Arial Narrow"/>
                <w:b/>
                <w:bCs/>
                <w:sz w:val="18"/>
                <w:szCs w:val="18"/>
                <w:lang w:val="en-GB"/>
              </w:rPr>
            </w:pPr>
          </w:p>
          <w:p w:rsidR="002D4B05" w:rsidRPr="00666B27" w:rsidRDefault="002D4B05" w:rsidP="00B05735">
            <w:pPr>
              <w:spacing w:after="0"/>
              <w:jc w:val="left"/>
              <w:rPr>
                <w:rFonts w:ascii="Arial Narrow" w:hAnsi="Arial Narrow"/>
                <w:bCs/>
                <w:sz w:val="18"/>
                <w:szCs w:val="18"/>
                <w:lang w:val="en-GB"/>
              </w:rPr>
            </w:pPr>
            <w:r w:rsidRPr="003B7D62">
              <w:rPr>
                <w:rFonts w:ascii="Arial Narrow" w:hAnsi="Arial Narrow"/>
                <w:bCs/>
                <w:sz w:val="18"/>
                <w:szCs w:val="18"/>
                <w:lang w:val="en-GB"/>
              </w:rPr>
              <w:t xml:space="preserve">Awareness and knowledge enhanced amongst technology users, financiers </w:t>
            </w:r>
            <w:r w:rsidRPr="004722F0">
              <w:rPr>
                <w:rFonts w:ascii="Arial Narrow" w:hAnsi="Arial Narrow"/>
                <w:bCs/>
                <w:noProof/>
                <w:sz w:val="18"/>
                <w:szCs w:val="18"/>
                <w:lang w:val="en-GB"/>
              </w:rPr>
              <w:t>and</w:t>
            </w:r>
            <w:r w:rsidRPr="00666B27">
              <w:rPr>
                <w:rFonts w:ascii="Arial Narrow" w:hAnsi="Arial Narrow"/>
                <w:bCs/>
                <w:sz w:val="18"/>
                <w:szCs w:val="18"/>
                <w:lang w:val="en-GB"/>
              </w:rPr>
              <w:t xml:space="preserve"> supplier</w:t>
            </w:r>
          </w:p>
          <w:p w:rsidR="002D4B05" w:rsidRPr="00666B27" w:rsidRDefault="002D4B05" w:rsidP="002D4B05">
            <w:pPr>
              <w:spacing w:after="0"/>
              <w:jc w:val="left"/>
              <w:rPr>
                <w:rFonts w:ascii="Arial Narrow" w:hAnsi="Arial Narrow"/>
                <w:bCs/>
                <w:sz w:val="18"/>
                <w:szCs w:val="18"/>
                <w:lang w:val="en-GB"/>
              </w:rPr>
            </w:pPr>
          </w:p>
        </w:tc>
        <w:tc>
          <w:tcPr>
            <w:tcW w:w="1985" w:type="dxa"/>
          </w:tcPr>
          <w:p w:rsidR="002D4B05" w:rsidRPr="00666B27" w:rsidRDefault="002D4B05" w:rsidP="00B05735">
            <w:pPr>
              <w:numPr>
                <w:ilvl w:val="0"/>
                <w:numId w:val="36"/>
              </w:numPr>
              <w:tabs>
                <w:tab w:val="left" w:pos="227"/>
              </w:tabs>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ab/>
              <w:t xml:space="preserve">Impact of consumer awareness of energy efficiency, MEPS and labels for lighting products, as reflected in </w:t>
            </w:r>
            <w:r w:rsidR="00E236DA" w:rsidRPr="00666B27">
              <w:rPr>
                <w:rFonts w:ascii="Arial Narrow" w:hAnsi="Arial Narrow"/>
                <w:bCs/>
                <w:sz w:val="18"/>
                <w:szCs w:val="18"/>
                <w:lang w:val="en-GB"/>
              </w:rPr>
              <w:t xml:space="preserve">the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affirmative survey responses (</w:t>
            </w:r>
            <w:r w:rsidRPr="00666B27">
              <w:rPr>
                <w:rFonts w:ascii="Arial Narrow" w:hAnsi="Arial Narrow"/>
                <w:bCs/>
                <w:i/>
                <w:sz w:val="18"/>
                <w:szCs w:val="18"/>
                <w:lang w:val="en-GB"/>
              </w:rPr>
              <w:t>broken out by gender)</w:t>
            </w:r>
          </w:p>
        </w:tc>
        <w:tc>
          <w:tcPr>
            <w:tcW w:w="2409"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Awareness </w:t>
            </w:r>
            <w:r w:rsidRPr="00666B27">
              <w:rPr>
                <w:rFonts w:ascii="Arial Narrow" w:hAnsi="Arial Narrow"/>
                <w:bCs/>
                <w:noProof/>
                <w:sz w:val="18"/>
                <w:szCs w:val="18"/>
                <w:lang w:val="en-GB"/>
              </w:rPr>
              <w:t>o</w:t>
            </w:r>
            <w:r w:rsidR="00E236DA" w:rsidRPr="00666B27">
              <w:rPr>
                <w:rFonts w:ascii="Arial Narrow" w:hAnsi="Arial Narrow"/>
                <w:bCs/>
                <w:noProof/>
                <w:sz w:val="18"/>
                <w:szCs w:val="18"/>
                <w:lang w:val="en-GB"/>
              </w:rPr>
              <w:t>f</w:t>
            </w:r>
            <w:r w:rsidRPr="00666B27">
              <w:rPr>
                <w:rFonts w:ascii="Arial Narrow" w:hAnsi="Arial Narrow"/>
                <w:bCs/>
                <w:sz w:val="18"/>
                <w:szCs w:val="18"/>
                <w:lang w:val="en-GB"/>
              </w:rPr>
              <w:t xml:space="preserve"> energy efficiency amongst consumers in lighting </w:t>
            </w:r>
            <w:r w:rsidRPr="00666B27">
              <w:rPr>
                <w:rFonts w:ascii="Arial Narrow" w:hAnsi="Arial Narrow"/>
                <w:bCs/>
                <w:noProof/>
                <w:sz w:val="18"/>
                <w:szCs w:val="18"/>
                <w:lang w:val="en-GB"/>
              </w:rPr>
              <w:t>exists,</w:t>
            </w:r>
            <w:r w:rsidRPr="00666B27">
              <w:rPr>
                <w:rFonts w:ascii="Arial Narrow" w:hAnsi="Arial Narrow"/>
                <w:bCs/>
                <w:sz w:val="18"/>
                <w:szCs w:val="18"/>
                <w:lang w:val="en-GB"/>
              </w:rPr>
              <w:t xml:space="preserve"> but geared towards CFLs (residential-commercial), T8-T5 in LFL and HID-HPS (instead of HID-MV) in outdoor/street lighting. Less awareness on (economic) benefits from using LED lamps.</w:t>
            </w:r>
          </w:p>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Municipalities have little or no awareness on high-efficiency transformers</w:t>
            </w:r>
          </w:p>
        </w:tc>
        <w:tc>
          <w:tcPr>
            <w:tcW w:w="2268"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Surveys after first awareness campaigning show 15% increase in affirmative response on benefits (energy and monetary savings) of LED lighting </w:t>
            </w:r>
            <w:r w:rsidRPr="00666B27">
              <w:rPr>
                <w:rFonts w:ascii="Arial Narrow" w:hAnsi="Arial Narrow"/>
                <w:bCs/>
                <w:i/>
                <w:sz w:val="18"/>
                <w:szCs w:val="18"/>
                <w:lang w:val="en-GB"/>
              </w:rPr>
              <w:t>(both men and women)</w:t>
            </w:r>
          </w:p>
          <w:p w:rsidR="002D4B05" w:rsidRPr="00666B27" w:rsidRDefault="002D4B05" w:rsidP="00B05735">
            <w:pPr>
              <w:spacing w:after="0"/>
              <w:jc w:val="left"/>
              <w:rPr>
                <w:rFonts w:ascii="Arial Narrow" w:hAnsi="Arial Narrow"/>
                <w:bCs/>
                <w:sz w:val="18"/>
                <w:szCs w:val="18"/>
                <w:lang w:val="en-GB"/>
              </w:rPr>
            </w:pPr>
            <w:bookmarkStart w:id="148" w:name="OLE_LINK2"/>
            <w:r w:rsidRPr="00666B27">
              <w:rPr>
                <w:rFonts w:ascii="Arial Narrow" w:hAnsi="Arial Narrow"/>
                <w:bCs/>
                <w:sz w:val="18"/>
                <w:szCs w:val="18"/>
                <w:lang w:val="en-GB"/>
              </w:rPr>
              <w:t>15% increase in municipalities that consider high-efficient transformers in their EE plan</w:t>
            </w:r>
            <w:bookmarkEnd w:id="148"/>
            <w:r w:rsidRPr="00666B27">
              <w:rPr>
                <w:rFonts w:ascii="Arial Narrow" w:hAnsi="Arial Narrow"/>
                <w:bCs/>
                <w:sz w:val="18"/>
                <w:szCs w:val="18"/>
                <w:lang w:val="en-GB"/>
              </w:rPr>
              <w:t>s</w:t>
            </w:r>
          </w:p>
          <w:p w:rsidR="002D4B05" w:rsidRPr="00666B27" w:rsidRDefault="002D4B05" w:rsidP="00B05735">
            <w:pPr>
              <w:spacing w:after="0"/>
              <w:jc w:val="left"/>
              <w:rPr>
                <w:rFonts w:ascii="Arial Narrow" w:hAnsi="Arial Narrow"/>
                <w:bCs/>
                <w:sz w:val="18"/>
                <w:szCs w:val="18"/>
                <w:lang w:val="en-GB"/>
              </w:rPr>
            </w:pPr>
          </w:p>
        </w:tc>
        <w:tc>
          <w:tcPr>
            <w:tcW w:w="2722"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Surveys after awareness campaigning and other knowledge enhancement activities of the Project show 50% increase in affirmative response on benefits (energy and monetary savings) of LED lighting (both men and women)</w:t>
            </w:r>
          </w:p>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50% increase in municipalities that consider high-efficient transformers in their EE plan</w:t>
            </w:r>
          </w:p>
        </w:tc>
        <w:tc>
          <w:tcPr>
            <w:tcW w:w="2807" w:type="dxa"/>
          </w:tcPr>
          <w:p w:rsidR="002D4B05" w:rsidRPr="00666B27" w:rsidRDefault="002D4B05" w:rsidP="00B05735">
            <w:pPr>
              <w:spacing w:after="0"/>
              <w:jc w:val="left"/>
              <w:rPr>
                <w:rFonts w:ascii="Arial Narrow" w:hAnsi="Arial Narrow"/>
                <w:sz w:val="18"/>
                <w:szCs w:val="18"/>
                <w:lang w:val="en-GB"/>
              </w:rPr>
            </w:pPr>
            <w:r w:rsidRPr="00666B27">
              <w:rPr>
                <w:rFonts w:ascii="Arial Narrow" w:hAnsi="Arial Narrow"/>
                <w:sz w:val="18"/>
                <w:szCs w:val="18"/>
                <w:lang w:val="en-GB"/>
              </w:rPr>
              <w:t xml:space="preserve">Consumer awareness data to be collected in surveys and focus groups at </w:t>
            </w:r>
            <w:r w:rsidR="00E236DA" w:rsidRPr="00666B27">
              <w:rPr>
                <w:rFonts w:ascii="Arial Narrow" w:hAnsi="Arial Narrow"/>
                <w:sz w:val="18"/>
                <w:szCs w:val="18"/>
                <w:lang w:val="en-GB"/>
              </w:rPr>
              <w:t xml:space="preserve">the </w:t>
            </w:r>
            <w:r w:rsidRPr="00666B27">
              <w:rPr>
                <w:rFonts w:ascii="Arial Narrow" w:hAnsi="Arial Narrow"/>
                <w:noProof/>
                <w:sz w:val="18"/>
                <w:szCs w:val="18"/>
                <w:lang w:val="en-GB"/>
              </w:rPr>
              <w:t>beginning</w:t>
            </w:r>
            <w:r w:rsidRPr="00666B27">
              <w:rPr>
                <w:rFonts w:ascii="Arial Narrow" w:hAnsi="Arial Narrow"/>
                <w:sz w:val="18"/>
                <w:szCs w:val="18"/>
                <w:lang w:val="en-GB"/>
              </w:rPr>
              <w:t xml:space="preserve"> and final year of </w:t>
            </w:r>
            <w:r w:rsidR="00E236DA" w:rsidRPr="00666B27">
              <w:rPr>
                <w:rFonts w:ascii="Arial Narrow" w:hAnsi="Arial Narrow"/>
                <w:sz w:val="18"/>
                <w:szCs w:val="18"/>
                <w:lang w:val="en-GB"/>
              </w:rPr>
              <w:t xml:space="preserve">the </w:t>
            </w:r>
            <w:r w:rsidR="00E236DA" w:rsidRPr="00666B27">
              <w:rPr>
                <w:rFonts w:ascii="Arial Narrow" w:hAnsi="Arial Narrow"/>
                <w:noProof/>
                <w:sz w:val="18"/>
                <w:szCs w:val="18"/>
                <w:lang w:val="en-GB"/>
              </w:rPr>
              <w:t>P</w:t>
            </w:r>
            <w:r w:rsidRPr="00666B27">
              <w:rPr>
                <w:rFonts w:ascii="Arial Narrow" w:hAnsi="Arial Narrow"/>
                <w:noProof/>
                <w:sz w:val="18"/>
                <w:szCs w:val="18"/>
                <w:lang w:val="en-GB"/>
              </w:rPr>
              <w:t>roject</w:t>
            </w:r>
            <w:r w:rsidRPr="00666B27">
              <w:rPr>
                <w:rFonts w:ascii="Arial Narrow" w:hAnsi="Arial Narrow"/>
                <w:sz w:val="18"/>
                <w:szCs w:val="18"/>
                <w:lang w:val="en-GB"/>
              </w:rPr>
              <w:t xml:space="preserve"> linked with the overall market survey (Indicator 5).</w:t>
            </w:r>
            <w:r w:rsidRPr="00666B27">
              <w:rPr>
                <w:lang w:val="en-GB"/>
              </w:rPr>
              <w:t xml:space="preserve"> </w:t>
            </w:r>
            <w:r w:rsidRPr="00666B27">
              <w:rPr>
                <w:rFonts w:ascii="Arial Narrow" w:hAnsi="Arial Narrow"/>
                <w:i/>
                <w:sz w:val="18"/>
                <w:szCs w:val="18"/>
                <w:lang w:val="en-GB"/>
              </w:rPr>
              <w:t>Surveys will contain data on both the gender of the respondent</w:t>
            </w:r>
          </w:p>
          <w:p w:rsidR="002D4B05" w:rsidRPr="00666B27" w:rsidRDefault="002D4B05" w:rsidP="00B05735">
            <w:pPr>
              <w:spacing w:after="0"/>
              <w:jc w:val="left"/>
              <w:rPr>
                <w:rFonts w:ascii="Arial Narrow" w:hAnsi="Arial Narrow"/>
                <w:sz w:val="18"/>
                <w:szCs w:val="18"/>
                <w:lang w:val="en-GB"/>
              </w:rPr>
            </w:pPr>
          </w:p>
          <w:p w:rsidR="002D4B05" w:rsidRPr="00666B27" w:rsidRDefault="002D4B05" w:rsidP="00B05735">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Assumption/risks: </w:t>
            </w:r>
            <w:r w:rsidRPr="00666B27">
              <w:rPr>
                <w:rFonts w:ascii="Arial Narrow" w:hAnsi="Arial Narrow"/>
                <w:sz w:val="18"/>
                <w:szCs w:val="18"/>
                <w:lang w:val="en-GB"/>
              </w:rPr>
              <w:t>strong involvement of retailers and distributors (lighting) and manufacturers (luminaires, transformers) in information and campaigning. Retail staff can explain lighting labels to consumers</w:t>
            </w:r>
          </w:p>
        </w:tc>
      </w:tr>
      <w:tr w:rsidR="002D4B05" w:rsidRPr="0057545E" w:rsidTr="00F737AD">
        <w:trPr>
          <w:trHeight w:val="765"/>
        </w:trPr>
        <w:tc>
          <w:tcPr>
            <w:tcW w:w="1951" w:type="dxa"/>
            <w:vMerge/>
            <w:shd w:val="clear" w:color="auto" w:fill="E2EFD9"/>
          </w:tcPr>
          <w:p w:rsidR="002D4B05" w:rsidRPr="00666B27" w:rsidRDefault="002D4B05" w:rsidP="002D4B05">
            <w:pPr>
              <w:spacing w:after="0"/>
              <w:jc w:val="left"/>
              <w:rPr>
                <w:rFonts w:ascii="Arial Narrow" w:hAnsi="Arial Narrow"/>
                <w:b/>
                <w:bCs/>
                <w:sz w:val="18"/>
                <w:szCs w:val="18"/>
                <w:lang w:val="en-GB"/>
              </w:rPr>
            </w:pPr>
          </w:p>
        </w:tc>
        <w:tc>
          <w:tcPr>
            <w:tcW w:w="1985" w:type="dxa"/>
          </w:tcPr>
          <w:p w:rsidR="002D4B05" w:rsidRPr="00666B27" w:rsidRDefault="002D4B05" w:rsidP="00B05735">
            <w:pPr>
              <w:numPr>
                <w:ilvl w:val="0"/>
                <w:numId w:val="36"/>
              </w:numPr>
              <w:tabs>
                <w:tab w:val="left" w:pos="227"/>
              </w:tabs>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ab/>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high-efficiency distribution transformers in production (newly added transformers)</w:t>
            </w:r>
          </w:p>
        </w:tc>
        <w:tc>
          <w:tcPr>
            <w:tcW w:w="2409"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Only a few larger companies can produce high-efficiency transformers. Performance data are not available</w:t>
            </w:r>
          </w:p>
        </w:tc>
        <w:tc>
          <w:tcPr>
            <w:tcW w:w="2268"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No target defined </w:t>
            </w:r>
          </w:p>
        </w:tc>
        <w:tc>
          <w:tcPr>
            <w:tcW w:w="2722" w:type="dxa"/>
          </w:tcPr>
          <w:p w:rsidR="002D4B05" w:rsidRPr="00666B27" w:rsidRDefault="002D4B05" w:rsidP="00B05735">
            <w:pPr>
              <w:spacing w:after="0"/>
              <w:jc w:val="left"/>
              <w:rPr>
                <w:rFonts w:ascii="Arial Narrow" w:hAnsi="Arial Narrow"/>
                <w:bCs/>
                <w:sz w:val="18"/>
                <w:szCs w:val="18"/>
                <w:lang w:val="en-GB"/>
              </w:rPr>
            </w:pPr>
            <w:r w:rsidRPr="00666B27">
              <w:rPr>
                <w:rFonts w:ascii="Arial Narrow" w:hAnsi="Arial Narrow"/>
                <w:bCs/>
                <w:sz w:val="18"/>
                <w:szCs w:val="18"/>
                <w:lang w:val="en-GB"/>
              </w:rPr>
              <w:t>90% of annually added new transformers (21,000 out of 22,500 in 2023) are high-efficient (comply with new MEPS)</w:t>
            </w:r>
          </w:p>
        </w:tc>
        <w:tc>
          <w:tcPr>
            <w:tcW w:w="2807" w:type="dxa"/>
          </w:tcPr>
          <w:p w:rsidR="002D4B05" w:rsidRPr="00666B27" w:rsidRDefault="002D4B05" w:rsidP="00B05735">
            <w:pPr>
              <w:spacing w:after="0"/>
              <w:jc w:val="left"/>
              <w:rPr>
                <w:rFonts w:ascii="Arial Narrow" w:hAnsi="Arial Narrow"/>
                <w:sz w:val="18"/>
                <w:szCs w:val="18"/>
                <w:lang w:val="en-GB"/>
              </w:rPr>
            </w:pPr>
            <w:r w:rsidRPr="00666B27">
              <w:rPr>
                <w:rFonts w:ascii="Arial Narrow" w:hAnsi="Arial Narrow"/>
                <w:sz w:val="18"/>
                <w:szCs w:val="18"/>
                <w:lang w:val="en-GB"/>
              </w:rPr>
              <w:t>Manufacturers survey (linked with market assessments, Indicator 5)</w:t>
            </w:r>
          </w:p>
          <w:p w:rsidR="002D4B05" w:rsidRPr="00666B27" w:rsidRDefault="002D4B05" w:rsidP="00B05735">
            <w:pPr>
              <w:spacing w:after="0"/>
              <w:jc w:val="left"/>
              <w:rPr>
                <w:rFonts w:ascii="Arial Narrow" w:hAnsi="Arial Narrow"/>
                <w:i/>
                <w:sz w:val="18"/>
                <w:szCs w:val="18"/>
                <w:lang w:val="en-GB"/>
              </w:rPr>
            </w:pPr>
          </w:p>
          <w:p w:rsidR="002D4B05" w:rsidRPr="00666B27" w:rsidRDefault="002D4B05" w:rsidP="00B05735">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Assumptions/risk; </w:t>
            </w:r>
            <w:r w:rsidRPr="00666B27">
              <w:rPr>
                <w:rFonts w:ascii="Arial Narrow" w:hAnsi="Arial Narrow"/>
                <w:sz w:val="18"/>
                <w:szCs w:val="18"/>
                <w:lang w:val="en-GB"/>
              </w:rPr>
              <w:t>involvement of transformer manufacturers and willingness to upgrade their production lines</w:t>
            </w:r>
            <w:r w:rsidRPr="00666B27">
              <w:rPr>
                <w:lang w:val="en-GB"/>
              </w:rPr>
              <w:t xml:space="preserve"> </w:t>
            </w:r>
            <w:r w:rsidRPr="00666B27">
              <w:rPr>
                <w:rFonts w:ascii="Arial Narrow" w:hAnsi="Arial Narrow"/>
                <w:sz w:val="18"/>
                <w:szCs w:val="18"/>
                <w:lang w:val="en-GB"/>
              </w:rPr>
              <w:t>Assumption/risks: Eskom contracts will stipulate % share of transformers using vegetable oil and municipal distributors will follow suit</w:t>
            </w:r>
          </w:p>
        </w:tc>
      </w:tr>
      <w:tr w:rsidR="002D4B05" w:rsidRPr="0057545E" w:rsidTr="00F737AD">
        <w:trPr>
          <w:trHeight w:val="765"/>
        </w:trPr>
        <w:tc>
          <w:tcPr>
            <w:tcW w:w="1951" w:type="dxa"/>
            <w:vMerge/>
            <w:shd w:val="clear" w:color="auto" w:fill="E2EFD9"/>
          </w:tcPr>
          <w:p w:rsidR="002D4B05" w:rsidRPr="00666B27" w:rsidRDefault="002D4B05" w:rsidP="002D4B05">
            <w:pPr>
              <w:spacing w:after="0"/>
              <w:jc w:val="left"/>
              <w:rPr>
                <w:rFonts w:ascii="Arial Narrow" w:hAnsi="Arial Narrow"/>
                <w:b/>
                <w:bCs/>
                <w:sz w:val="18"/>
                <w:szCs w:val="18"/>
                <w:lang w:val="en-GB"/>
              </w:rPr>
            </w:pPr>
          </w:p>
        </w:tc>
        <w:tc>
          <w:tcPr>
            <w:tcW w:w="1985" w:type="dxa"/>
          </w:tcPr>
          <w:p w:rsidR="002D4B05" w:rsidRPr="00666B27" w:rsidRDefault="006870E5" w:rsidP="002D4B05">
            <w:pPr>
              <w:numPr>
                <w:ilvl w:val="0"/>
                <w:numId w:val="36"/>
              </w:numPr>
              <w:tabs>
                <w:tab w:val="left" w:pos="227"/>
              </w:tabs>
              <w:spacing w:after="0"/>
              <w:ind w:left="369" w:hanging="369"/>
              <w:jc w:val="left"/>
              <w:rPr>
                <w:rFonts w:ascii="Arial Narrow" w:hAnsi="Arial Narrow"/>
                <w:bCs/>
                <w:sz w:val="18"/>
                <w:szCs w:val="18"/>
                <w:lang w:val="en-GB"/>
              </w:rPr>
            </w:pPr>
            <w:r>
              <w:rPr>
                <w:rFonts w:ascii="Arial Narrow" w:hAnsi="Arial Narrow"/>
                <w:bCs/>
                <w:sz w:val="18"/>
                <w:szCs w:val="18"/>
                <w:lang w:val="en-GB"/>
              </w:rPr>
              <w:tab/>
            </w:r>
            <w:r w:rsidR="002D4B05" w:rsidRPr="00666B27">
              <w:rPr>
                <w:rFonts w:ascii="Arial Narrow" w:hAnsi="Arial Narrow"/>
                <w:bCs/>
                <w:sz w:val="18"/>
                <w:szCs w:val="18"/>
                <w:lang w:val="en-GB"/>
              </w:rPr>
              <w:t xml:space="preserve">Number of stakeholders (companies, municipalities), trained by the Project in new requirements of MEPS, </w:t>
            </w:r>
            <w:r w:rsidR="002D4B05" w:rsidRPr="00666B27">
              <w:rPr>
                <w:rFonts w:ascii="Arial Narrow" w:hAnsi="Arial Narrow"/>
                <w:bCs/>
                <w:noProof/>
                <w:sz w:val="18"/>
                <w:szCs w:val="18"/>
                <w:lang w:val="en-GB"/>
              </w:rPr>
              <w:t>labelling</w:t>
            </w:r>
            <w:r w:rsidR="002D4B05" w:rsidRPr="00666B27">
              <w:rPr>
                <w:rFonts w:ascii="Arial Narrow" w:hAnsi="Arial Narrow"/>
                <w:bCs/>
                <w:sz w:val="18"/>
                <w:szCs w:val="18"/>
                <w:lang w:val="en-GB"/>
              </w:rPr>
              <w:t xml:space="preserve"> programs, local production, environmental management </w:t>
            </w:r>
            <w:r w:rsidR="002D4B05" w:rsidRPr="00666B27">
              <w:rPr>
                <w:rFonts w:ascii="Arial Narrow" w:hAnsi="Arial Narrow"/>
                <w:bCs/>
                <w:noProof/>
                <w:sz w:val="18"/>
                <w:szCs w:val="18"/>
                <w:lang w:val="en-GB"/>
              </w:rPr>
              <w:t>and</w:t>
            </w:r>
            <w:r w:rsidR="002D4B05" w:rsidRPr="00666B27">
              <w:rPr>
                <w:rFonts w:ascii="Arial Narrow" w:hAnsi="Arial Narrow"/>
                <w:bCs/>
                <w:sz w:val="18"/>
                <w:szCs w:val="18"/>
                <w:lang w:val="en-GB"/>
              </w:rPr>
              <w:t xml:space="preserve"> associated regulations; Number of </w:t>
            </w:r>
            <w:proofErr w:type="gramStart"/>
            <w:r w:rsidR="002D4B05" w:rsidRPr="00666B27">
              <w:rPr>
                <w:rFonts w:ascii="Arial Narrow" w:hAnsi="Arial Narrow"/>
                <w:bCs/>
                <w:sz w:val="18"/>
                <w:szCs w:val="18"/>
                <w:lang w:val="en-GB"/>
              </w:rPr>
              <w:t>staff</w:t>
            </w:r>
            <w:proofErr w:type="gramEnd"/>
            <w:r w:rsidR="002D4B05" w:rsidRPr="00666B27">
              <w:rPr>
                <w:rFonts w:ascii="Arial Narrow" w:hAnsi="Arial Narrow"/>
                <w:bCs/>
                <w:sz w:val="18"/>
                <w:szCs w:val="18"/>
                <w:lang w:val="en-GB"/>
              </w:rPr>
              <w:t xml:space="preserve"> trained per stakeholder</w:t>
            </w:r>
          </w:p>
        </w:tc>
        <w:tc>
          <w:tcPr>
            <w:tcW w:w="2409"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Zero by default</w:t>
            </w:r>
          </w:p>
        </w:tc>
        <w:tc>
          <w:tcPr>
            <w:tcW w:w="2268"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Representatives of at least 20 entities trained</w:t>
            </w:r>
          </w:p>
        </w:tc>
        <w:tc>
          <w:tcPr>
            <w:tcW w:w="2722"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Representatives of at least 40 entities trained</w:t>
            </w:r>
          </w:p>
        </w:tc>
        <w:tc>
          <w:tcPr>
            <w:tcW w:w="2807" w:type="dxa"/>
          </w:tcPr>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Reports of training events (including participation numbers broken down per gender, participants’ response and satisfaction questionnaires). Training materials made available. Training impact assessment analysis</w:t>
            </w:r>
          </w:p>
          <w:p w:rsidR="002D4B05" w:rsidRPr="00666B27" w:rsidRDefault="002D4B05" w:rsidP="002D4B05">
            <w:pPr>
              <w:spacing w:after="0"/>
              <w:jc w:val="left"/>
              <w:rPr>
                <w:rFonts w:ascii="Arial Narrow" w:hAnsi="Arial Narrow"/>
                <w:sz w:val="18"/>
                <w:szCs w:val="18"/>
                <w:lang w:val="en-GB"/>
              </w:rPr>
            </w:pPr>
          </w:p>
          <w:p w:rsidR="002D4B05" w:rsidRDefault="002D4B05" w:rsidP="002D4B05">
            <w:pPr>
              <w:spacing w:after="0"/>
              <w:jc w:val="left"/>
              <w:rPr>
                <w:rFonts w:ascii="Arial Narrow" w:hAnsi="Arial Narrow"/>
                <w:sz w:val="18"/>
                <w:szCs w:val="18"/>
                <w:lang w:val="en-GB"/>
              </w:rPr>
            </w:pPr>
            <w:r w:rsidRPr="00666B27">
              <w:rPr>
                <w:rFonts w:ascii="Arial Narrow" w:hAnsi="Arial Narrow"/>
                <w:i/>
                <w:sz w:val="18"/>
                <w:szCs w:val="18"/>
                <w:lang w:val="en-GB"/>
              </w:rPr>
              <w:t>Assumptions/risks:</w:t>
            </w:r>
            <w:r w:rsidRPr="00666B27">
              <w:rPr>
                <w:rFonts w:ascii="Arial Narrow" w:hAnsi="Arial Narrow"/>
                <w:sz w:val="18"/>
                <w:szCs w:val="18"/>
                <w:lang w:val="en-GB"/>
              </w:rPr>
              <w:t xml:space="preserve"> Strong cooperation between private and public institution on </w:t>
            </w:r>
            <w:r w:rsidRPr="00666B27">
              <w:rPr>
                <w:rFonts w:ascii="Arial Narrow" w:hAnsi="Arial Narrow"/>
                <w:noProof/>
                <w:sz w:val="18"/>
                <w:szCs w:val="18"/>
                <w:lang w:val="en-GB"/>
              </w:rPr>
              <w:t>trainings</w:t>
            </w:r>
            <w:r w:rsidRPr="00666B27">
              <w:rPr>
                <w:rFonts w:ascii="Arial Narrow" w:hAnsi="Arial Narrow"/>
                <w:sz w:val="18"/>
                <w:szCs w:val="18"/>
                <w:lang w:val="en-GB"/>
              </w:rPr>
              <w:t xml:space="preserve"> and sharing experiences and lessons </w:t>
            </w:r>
            <w:r w:rsidRPr="00666B27">
              <w:rPr>
                <w:rFonts w:ascii="Arial Narrow" w:hAnsi="Arial Narrow"/>
                <w:noProof/>
                <w:sz w:val="18"/>
                <w:szCs w:val="18"/>
                <w:lang w:val="en-GB"/>
              </w:rPr>
              <w:t>learnt</w:t>
            </w:r>
            <w:r w:rsidRPr="00666B27">
              <w:rPr>
                <w:rFonts w:ascii="Arial Narrow" w:hAnsi="Arial Narrow"/>
                <w:sz w:val="18"/>
                <w:szCs w:val="18"/>
                <w:lang w:val="en-GB"/>
              </w:rPr>
              <w:t>. Some training could be directly offered by the project, while other training could be offered internally by companies, institutions, municipalities to their own employees, with the project’s support.</w:t>
            </w:r>
          </w:p>
          <w:p w:rsidR="00BB1E93" w:rsidRDefault="00BB1E93" w:rsidP="002D4B05">
            <w:pPr>
              <w:spacing w:after="0"/>
              <w:jc w:val="left"/>
              <w:rPr>
                <w:rFonts w:ascii="Arial Narrow" w:hAnsi="Arial Narrow"/>
                <w:sz w:val="18"/>
                <w:szCs w:val="18"/>
                <w:lang w:val="en-GB"/>
              </w:rPr>
            </w:pPr>
          </w:p>
          <w:p w:rsidR="00BB1E93" w:rsidRDefault="00BB1E93" w:rsidP="002D4B05">
            <w:pPr>
              <w:spacing w:after="0"/>
              <w:jc w:val="left"/>
              <w:rPr>
                <w:rFonts w:ascii="Arial Narrow" w:hAnsi="Arial Narrow"/>
                <w:sz w:val="18"/>
                <w:szCs w:val="18"/>
                <w:lang w:val="en-GB"/>
              </w:rPr>
            </w:pPr>
          </w:p>
          <w:p w:rsidR="00BB1E93" w:rsidRPr="00666B27" w:rsidRDefault="00BB1E93" w:rsidP="002D4B05">
            <w:pPr>
              <w:spacing w:after="0"/>
              <w:jc w:val="left"/>
              <w:rPr>
                <w:rFonts w:ascii="Arial Narrow" w:hAnsi="Arial Narrow"/>
                <w:sz w:val="18"/>
                <w:szCs w:val="18"/>
                <w:lang w:val="en-GB"/>
              </w:rPr>
            </w:pPr>
          </w:p>
        </w:tc>
      </w:tr>
      <w:tr w:rsidR="002D4B05" w:rsidRPr="0057545E" w:rsidTr="00F737AD">
        <w:trPr>
          <w:trHeight w:val="765"/>
        </w:trPr>
        <w:tc>
          <w:tcPr>
            <w:tcW w:w="1951" w:type="dxa"/>
            <w:vMerge w:val="restart"/>
            <w:shd w:val="clear" w:color="auto" w:fill="D9E2F3"/>
          </w:tcPr>
          <w:p w:rsidR="002D4B05" w:rsidRDefault="002D4B05" w:rsidP="002D4B05">
            <w:pPr>
              <w:spacing w:after="0"/>
              <w:jc w:val="left"/>
              <w:rPr>
                <w:rFonts w:ascii="Arial Narrow" w:hAnsi="Arial Narrow"/>
                <w:b/>
                <w:bCs/>
                <w:sz w:val="18"/>
                <w:szCs w:val="18"/>
                <w:lang w:val="en-GB"/>
              </w:rPr>
            </w:pPr>
            <w:r w:rsidRPr="0057545E">
              <w:rPr>
                <w:rFonts w:ascii="Arial Narrow" w:hAnsi="Arial Narrow"/>
                <w:b/>
                <w:bCs/>
                <w:sz w:val="18"/>
                <w:szCs w:val="18"/>
                <w:lang w:val="en-GB"/>
              </w:rPr>
              <w:lastRenderedPageBreak/>
              <w:t>Outcome 3</w:t>
            </w:r>
          </w:p>
          <w:p w:rsidR="006870E5" w:rsidRPr="006A68A3" w:rsidRDefault="006870E5" w:rsidP="002D4B05">
            <w:pPr>
              <w:spacing w:after="0"/>
              <w:jc w:val="left"/>
              <w:rPr>
                <w:rFonts w:ascii="Arial Narrow" w:hAnsi="Arial Narrow"/>
                <w:bCs/>
                <w:sz w:val="18"/>
                <w:szCs w:val="18"/>
                <w:lang w:val="en-GB"/>
              </w:rPr>
            </w:pPr>
            <w:r w:rsidRPr="006A68A3">
              <w:rPr>
                <w:rFonts w:ascii="Arial Narrow" w:hAnsi="Arial Narrow"/>
                <w:bCs/>
                <w:sz w:val="18"/>
                <w:szCs w:val="18"/>
                <w:lang w:val="en-GB"/>
              </w:rPr>
              <w:t>Financial support programmes designed and operational</w:t>
            </w:r>
          </w:p>
        </w:tc>
        <w:tc>
          <w:tcPr>
            <w:tcW w:w="1985" w:type="dxa"/>
          </w:tcPr>
          <w:p w:rsidR="002D4B05" w:rsidRPr="00353542" w:rsidRDefault="002D4B05" w:rsidP="006A68A3">
            <w:pPr>
              <w:tabs>
                <w:tab w:val="left" w:pos="368"/>
              </w:tabs>
              <w:spacing w:after="0"/>
              <w:jc w:val="left"/>
              <w:rPr>
                <w:rFonts w:ascii="Arial Narrow" w:hAnsi="Arial Narrow"/>
                <w:bCs/>
                <w:sz w:val="18"/>
                <w:szCs w:val="18"/>
                <w:lang w:val="en-GB"/>
              </w:rPr>
            </w:pPr>
          </w:p>
        </w:tc>
        <w:tc>
          <w:tcPr>
            <w:tcW w:w="2409" w:type="dxa"/>
          </w:tcPr>
          <w:p w:rsidR="002D4B05" w:rsidRPr="003B7D62" w:rsidRDefault="002D4B05" w:rsidP="002D4B05">
            <w:pPr>
              <w:spacing w:after="0"/>
              <w:jc w:val="left"/>
              <w:rPr>
                <w:rFonts w:ascii="Arial Narrow" w:hAnsi="Arial Narrow"/>
                <w:bCs/>
                <w:sz w:val="18"/>
                <w:szCs w:val="18"/>
                <w:lang w:val="en-GB"/>
              </w:rPr>
            </w:pPr>
          </w:p>
        </w:tc>
        <w:tc>
          <w:tcPr>
            <w:tcW w:w="2268" w:type="dxa"/>
          </w:tcPr>
          <w:p w:rsidR="002D4B05" w:rsidRPr="004722F0" w:rsidRDefault="002D4B05" w:rsidP="002D4B05">
            <w:pPr>
              <w:spacing w:after="0"/>
              <w:jc w:val="left"/>
              <w:rPr>
                <w:rFonts w:ascii="Arial Narrow" w:hAnsi="Arial Narrow"/>
                <w:bCs/>
                <w:sz w:val="18"/>
                <w:szCs w:val="18"/>
                <w:lang w:val="en-GB"/>
              </w:rPr>
            </w:pPr>
          </w:p>
        </w:tc>
        <w:tc>
          <w:tcPr>
            <w:tcW w:w="2722" w:type="dxa"/>
          </w:tcPr>
          <w:p w:rsidR="002D4B05" w:rsidRPr="00666B27" w:rsidRDefault="002D4B05" w:rsidP="002D4B05">
            <w:pPr>
              <w:spacing w:after="0"/>
              <w:jc w:val="left"/>
              <w:rPr>
                <w:rFonts w:ascii="Arial Narrow" w:hAnsi="Arial Narrow"/>
                <w:bCs/>
                <w:sz w:val="18"/>
                <w:szCs w:val="18"/>
                <w:lang w:val="en-GB"/>
              </w:rPr>
            </w:pPr>
          </w:p>
        </w:tc>
        <w:tc>
          <w:tcPr>
            <w:tcW w:w="2807" w:type="dxa"/>
          </w:tcPr>
          <w:p w:rsidR="002D4B05" w:rsidRPr="00666B27" w:rsidRDefault="002D4B05" w:rsidP="002D4B05">
            <w:pPr>
              <w:spacing w:after="0"/>
              <w:jc w:val="left"/>
              <w:rPr>
                <w:rFonts w:ascii="Arial Narrow" w:hAnsi="Arial Narrow"/>
                <w:sz w:val="18"/>
                <w:szCs w:val="18"/>
                <w:lang w:val="en-GB"/>
              </w:rPr>
            </w:pPr>
          </w:p>
        </w:tc>
      </w:tr>
      <w:tr w:rsidR="002D4B05" w:rsidRPr="0057545E" w:rsidTr="00F737AD">
        <w:trPr>
          <w:trHeight w:val="765"/>
        </w:trPr>
        <w:tc>
          <w:tcPr>
            <w:tcW w:w="1951" w:type="dxa"/>
            <w:vMerge/>
            <w:shd w:val="clear" w:color="auto" w:fill="D9E2F3"/>
          </w:tcPr>
          <w:p w:rsidR="002D4B05" w:rsidRPr="00666B27" w:rsidRDefault="002D4B05" w:rsidP="002D4B05">
            <w:pPr>
              <w:spacing w:after="0"/>
              <w:jc w:val="left"/>
              <w:rPr>
                <w:rFonts w:ascii="Arial Narrow" w:hAnsi="Arial Narrow"/>
                <w:b/>
                <w:bCs/>
                <w:sz w:val="18"/>
                <w:szCs w:val="18"/>
                <w:lang w:val="en-GB"/>
              </w:rPr>
            </w:pPr>
          </w:p>
        </w:tc>
        <w:tc>
          <w:tcPr>
            <w:tcW w:w="1985" w:type="dxa"/>
          </w:tcPr>
          <w:p w:rsidR="002D4B05" w:rsidRPr="00666B27" w:rsidRDefault="002D4B05" w:rsidP="006A68A3">
            <w:pPr>
              <w:numPr>
                <w:ilvl w:val="0"/>
                <w:numId w:val="36"/>
              </w:numPr>
              <w:tabs>
                <w:tab w:val="left" w:pos="368"/>
              </w:tabs>
              <w:spacing w:after="0"/>
              <w:ind w:left="346" w:hanging="346"/>
              <w:jc w:val="left"/>
              <w:rPr>
                <w:rFonts w:ascii="Arial Narrow" w:hAnsi="Arial Narrow"/>
                <w:bCs/>
                <w:sz w:val="18"/>
                <w:szCs w:val="18"/>
                <w:lang w:val="en-GB"/>
              </w:rPr>
            </w:pPr>
            <w:r w:rsidRPr="00666B27">
              <w:rPr>
                <w:rFonts w:ascii="Arial Narrow" w:hAnsi="Arial Narrow"/>
                <w:bCs/>
                <w:sz w:val="18"/>
                <w:szCs w:val="18"/>
                <w:lang w:val="en-GB"/>
              </w:rPr>
              <w:t xml:space="preserve">Number and amount of </w:t>
            </w:r>
            <w:r w:rsidR="00DB334A" w:rsidRPr="00666B27">
              <w:rPr>
                <w:rFonts w:ascii="Arial Narrow" w:hAnsi="Arial Narrow"/>
                <w:bCs/>
                <w:sz w:val="18"/>
                <w:szCs w:val="18"/>
                <w:lang w:val="en-GB"/>
              </w:rPr>
              <w:t>funding</w:t>
            </w:r>
            <w:r w:rsidRPr="00666B27">
              <w:rPr>
                <w:rFonts w:ascii="Arial Narrow" w:hAnsi="Arial Narrow"/>
                <w:bCs/>
                <w:sz w:val="18"/>
                <w:szCs w:val="18"/>
                <w:lang w:val="en-GB"/>
              </w:rPr>
              <w:t xml:space="preserve"> provided by EEFI and matching co-funding</w:t>
            </w:r>
          </w:p>
        </w:tc>
        <w:tc>
          <w:tcPr>
            <w:tcW w:w="2409"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Zero by default</w:t>
            </w:r>
          </w:p>
        </w:tc>
        <w:tc>
          <w:tcPr>
            <w:tcW w:w="2268"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USD 2 million provided as GEF grant matching at least USD 10 million in co-financing (loans, guarantees) by development banks</w:t>
            </w:r>
            <w:r w:rsidR="00DB334A" w:rsidRPr="00666B27">
              <w:rPr>
                <w:rFonts w:ascii="Arial Narrow" w:hAnsi="Arial Narrow"/>
                <w:bCs/>
                <w:sz w:val="18"/>
                <w:szCs w:val="18"/>
                <w:lang w:val="en-GB"/>
              </w:rPr>
              <w:t>, commercial banks, or other co-financing sources</w:t>
            </w:r>
          </w:p>
        </w:tc>
        <w:tc>
          <w:tcPr>
            <w:tcW w:w="2722"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USD 4 million provided as GEF grant matching at least USD 20 million in co-financing (loans, guarantees) by development banks</w:t>
            </w:r>
            <w:r w:rsidR="00DB334A" w:rsidRPr="00666B27">
              <w:rPr>
                <w:rFonts w:ascii="Arial Narrow" w:hAnsi="Arial Narrow"/>
                <w:bCs/>
                <w:sz w:val="18"/>
                <w:szCs w:val="18"/>
                <w:lang w:val="en-GB"/>
              </w:rPr>
              <w:t>, commercial banks, or other co-financing sources.</w:t>
            </w:r>
          </w:p>
          <w:p w:rsidR="002D4B05" w:rsidRPr="00666B27" w:rsidRDefault="002D4B05" w:rsidP="002D4B05">
            <w:pPr>
              <w:spacing w:after="0"/>
              <w:jc w:val="left"/>
              <w:rPr>
                <w:rFonts w:ascii="Arial Narrow" w:hAnsi="Arial Narrow"/>
                <w:bCs/>
                <w:sz w:val="18"/>
                <w:szCs w:val="18"/>
                <w:lang w:val="en-GB"/>
              </w:rPr>
            </w:pPr>
          </w:p>
        </w:tc>
        <w:tc>
          <w:tcPr>
            <w:tcW w:w="2807" w:type="dxa"/>
          </w:tcPr>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 xml:space="preserve">Reports by the financing institution or development bank concerned. Other financial indicators will be added (number of loans or grants, type of beneficiaries, </w:t>
            </w:r>
            <w:r w:rsidR="00E236DA" w:rsidRPr="00666B27">
              <w:rPr>
                <w:rFonts w:ascii="Arial Narrow" w:hAnsi="Arial Narrow"/>
                <w:sz w:val="18"/>
                <w:szCs w:val="18"/>
                <w:lang w:val="en-GB"/>
              </w:rPr>
              <w:t xml:space="preserve">the </w:t>
            </w:r>
            <w:r w:rsidRPr="00666B27">
              <w:rPr>
                <w:rFonts w:ascii="Arial Narrow" w:hAnsi="Arial Narrow"/>
                <w:noProof/>
                <w:sz w:val="18"/>
                <w:szCs w:val="18"/>
                <w:lang w:val="en-GB"/>
              </w:rPr>
              <w:t>purpose</w:t>
            </w:r>
            <w:r w:rsidRPr="00666B27">
              <w:rPr>
                <w:rFonts w:ascii="Arial Narrow" w:hAnsi="Arial Narrow"/>
                <w:sz w:val="18"/>
                <w:szCs w:val="18"/>
                <w:lang w:val="en-GB"/>
              </w:rPr>
              <w:t xml:space="preserve"> of financial support) as well as technology supported (number of lamps installed number of </w:t>
            </w:r>
            <w:r w:rsidRPr="00666B27">
              <w:rPr>
                <w:rFonts w:ascii="Arial Narrow" w:hAnsi="Arial Narrow"/>
                <w:noProof/>
                <w:sz w:val="18"/>
                <w:szCs w:val="18"/>
                <w:lang w:val="en-GB"/>
              </w:rPr>
              <w:t>HE transformers</w:t>
            </w:r>
            <w:r w:rsidRPr="00666B27">
              <w:rPr>
                <w:rFonts w:ascii="Arial Narrow" w:hAnsi="Arial Narrow"/>
                <w:sz w:val="18"/>
                <w:szCs w:val="18"/>
                <w:lang w:val="en-GB"/>
              </w:rPr>
              <w:t xml:space="preserve"> installed)</w:t>
            </w:r>
          </w:p>
        </w:tc>
      </w:tr>
      <w:tr w:rsidR="002D4B05" w:rsidRPr="0057545E" w:rsidTr="00F737AD">
        <w:trPr>
          <w:trHeight w:val="765"/>
        </w:trPr>
        <w:tc>
          <w:tcPr>
            <w:tcW w:w="1951" w:type="dxa"/>
            <w:vMerge/>
            <w:shd w:val="clear" w:color="auto" w:fill="D9E2F3"/>
          </w:tcPr>
          <w:p w:rsidR="002D4B05" w:rsidRPr="00666B27" w:rsidRDefault="002D4B05" w:rsidP="002D4B05">
            <w:pPr>
              <w:spacing w:after="0"/>
              <w:jc w:val="left"/>
              <w:rPr>
                <w:rFonts w:ascii="Arial Narrow" w:hAnsi="Arial Narrow"/>
                <w:b/>
                <w:bCs/>
                <w:sz w:val="18"/>
                <w:szCs w:val="18"/>
                <w:lang w:val="en-GB"/>
              </w:rPr>
            </w:pPr>
          </w:p>
        </w:tc>
        <w:tc>
          <w:tcPr>
            <w:tcW w:w="1985" w:type="dxa"/>
          </w:tcPr>
          <w:p w:rsidR="002D4B05" w:rsidRPr="00666B27" w:rsidRDefault="002D4B05" w:rsidP="002D4B05">
            <w:pPr>
              <w:numPr>
                <w:ilvl w:val="0"/>
                <w:numId w:val="36"/>
              </w:numPr>
              <w:tabs>
                <w:tab w:val="left" w:pos="368"/>
              </w:tabs>
              <w:spacing w:after="0"/>
              <w:ind w:left="316" w:hanging="316"/>
              <w:jc w:val="left"/>
              <w:rPr>
                <w:rFonts w:ascii="Arial Narrow" w:hAnsi="Arial Narrow"/>
                <w:bCs/>
                <w:sz w:val="18"/>
                <w:szCs w:val="18"/>
                <w:lang w:val="en-GB"/>
              </w:rPr>
            </w:pPr>
            <w:r w:rsidRPr="00666B27">
              <w:rPr>
                <w:rFonts w:ascii="Arial Narrow" w:hAnsi="Arial Narrow"/>
                <w:bCs/>
                <w:i/>
                <w:sz w:val="18"/>
                <w:szCs w:val="18"/>
                <w:lang w:val="en-GB"/>
              </w:rPr>
              <w:t xml:space="preserve">Vulnerable groups and women access </w:t>
            </w:r>
            <w:r w:rsidRPr="00666B27">
              <w:rPr>
                <w:rFonts w:ascii="Arial Narrow" w:hAnsi="Arial Narrow"/>
                <w:bCs/>
                <w:i/>
                <w:noProof/>
                <w:sz w:val="18"/>
                <w:szCs w:val="18"/>
                <w:lang w:val="en-GB"/>
              </w:rPr>
              <w:t>loan</w:t>
            </w:r>
            <w:r w:rsidRPr="00666B27">
              <w:rPr>
                <w:rFonts w:ascii="Arial Narrow" w:hAnsi="Arial Narrow"/>
                <w:bCs/>
                <w:i/>
                <w:sz w:val="18"/>
                <w:szCs w:val="18"/>
                <w:lang w:val="en-GB"/>
              </w:rPr>
              <w:t xml:space="preserve"> finance to start participating in projects as shown by the number of </w:t>
            </w:r>
            <w:r w:rsidRPr="00666B27">
              <w:rPr>
                <w:rFonts w:ascii="Arial Narrow" w:hAnsi="Arial Narrow"/>
                <w:bCs/>
                <w:i/>
                <w:noProof/>
                <w:sz w:val="18"/>
                <w:szCs w:val="18"/>
                <w:lang w:val="en-GB"/>
              </w:rPr>
              <w:t>Women</w:t>
            </w:r>
            <w:r w:rsidR="00E236DA" w:rsidRPr="00666B27">
              <w:rPr>
                <w:rFonts w:ascii="Arial Narrow" w:hAnsi="Arial Narrow"/>
                <w:bCs/>
                <w:i/>
                <w:noProof/>
                <w:sz w:val="18"/>
                <w:szCs w:val="18"/>
                <w:lang w:val="en-GB"/>
              </w:rPr>
              <w:t>-</w:t>
            </w:r>
            <w:r w:rsidRPr="00666B27">
              <w:rPr>
                <w:rFonts w:ascii="Arial Narrow" w:hAnsi="Arial Narrow"/>
                <w:bCs/>
                <w:i/>
                <w:noProof/>
                <w:sz w:val="18"/>
                <w:szCs w:val="18"/>
                <w:lang w:val="en-GB"/>
              </w:rPr>
              <w:t>Owned</w:t>
            </w:r>
            <w:r w:rsidRPr="00666B27">
              <w:rPr>
                <w:rFonts w:ascii="Arial Narrow" w:hAnsi="Arial Narrow"/>
                <w:bCs/>
                <w:i/>
                <w:sz w:val="18"/>
                <w:szCs w:val="18"/>
                <w:lang w:val="en-GB"/>
              </w:rPr>
              <w:t xml:space="preserve"> Businesses benefiting and participating in the implementation of the project</w:t>
            </w:r>
            <w:r w:rsidRPr="00666B27">
              <w:rPr>
                <w:rFonts w:ascii="Arial Narrow" w:hAnsi="Arial Narrow"/>
                <w:bCs/>
                <w:sz w:val="18"/>
                <w:szCs w:val="18"/>
                <w:lang w:val="en-GB"/>
              </w:rPr>
              <w:t xml:space="preserve">.  </w:t>
            </w:r>
          </w:p>
        </w:tc>
        <w:tc>
          <w:tcPr>
            <w:tcW w:w="2409"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Very few women participate in projects especially in the energy sector</w:t>
            </w:r>
            <w:r w:rsidR="00FF4957">
              <w:rPr>
                <w:rFonts w:ascii="Arial Narrow" w:hAnsi="Arial Narrow"/>
                <w:bCs/>
                <w:sz w:val="18"/>
                <w:szCs w:val="18"/>
                <w:lang w:val="en-GB"/>
              </w:rPr>
              <w:t xml:space="preserve"> (see section in the </w:t>
            </w:r>
            <w:proofErr w:type="spellStart"/>
            <w:r w:rsidR="00FF4957">
              <w:rPr>
                <w:rFonts w:ascii="Arial Narrow" w:hAnsi="Arial Narrow"/>
                <w:bCs/>
                <w:sz w:val="18"/>
                <w:szCs w:val="18"/>
                <w:lang w:val="en-GB"/>
              </w:rPr>
              <w:t>ProDoc</w:t>
            </w:r>
            <w:proofErr w:type="spellEnd"/>
            <w:r w:rsidR="00FF4957">
              <w:rPr>
                <w:rFonts w:ascii="Arial Narrow" w:hAnsi="Arial Narrow"/>
                <w:bCs/>
                <w:sz w:val="18"/>
                <w:szCs w:val="18"/>
                <w:lang w:val="en-GB"/>
              </w:rPr>
              <w:t xml:space="preserve"> on gender)</w:t>
            </w:r>
            <w:r w:rsidRPr="00666B27">
              <w:rPr>
                <w:rFonts w:ascii="Arial Narrow" w:hAnsi="Arial Narrow"/>
                <w:bCs/>
                <w:sz w:val="18"/>
                <w:szCs w:val="18"/>
                <w:lang w:val="en-GB"/>
              </w:rPr>
              <w:t>.</w:t>
            </w:r>
          </w:p>
        </w:tc>
        <w:tc>
          <w:tcPr>
            <w:tcW w:w="2268"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Initially, an increase of (20%) of women and vulnerable groups access finance and participate in the implementation of energy </w:t>
            </w:r>
            <w:r w:rsidRPr="00666B27">
              <w:rPr>
                <w:rFonts w:ascii="Arial Narrow" w:hAnsi="Arial Narrow"/>
                <w:bCs/>
                <w:noProof/>
                <w:sz w:val="18"/>
                <w:szCs w:val="18"/>
                <w:lang w:val="en-GB"/>
              </w:rPr>
              <w:t>efficien</w:t>
            </w:r>
            <w:r w:rsidR="00E236DA" w:rsidRPr="00666B27">
              <w:rPr>
                <w:rFonts w:ascii="Arial Narrow" w:hAnsi="Arial Narrow"/>
                <w:bCs/>
                <w:noProof/>
                <w:sz w:val="18"/>
                <w:szCs w:val="18"/>
                <w:lang w:val="en-GB"/>
              </w:rPr>
              <w:t>t</w:t>
            </w:r>
            <w:r w:rsidRPr="00666B27">
              <w:rPr>
                <w:rFonts w:ascii="Arial Narrow" w:hAnsi="Arial Narrow"/>
                <w:bCs/>
                <w:sz w:val="18"/>
                <w:szCs w:val="18"/>
                <w:lang w:val="en-GB"/>
              </w:rPr>
              <w:t xml:space="preserve"> lighting and equipment</w:t>
            </w:r>
          </w:p>
        </w:tc>
        <w:tc>
          <w:tcPr>
            <w:tcW w:w="2722"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Increase in 50% participation of vulnerable groups including women access loans and participate meaningfully in projects achieving representation that is on par with their male counterparts.</w:t>
            </w:r>
          </w:p>
        </w:tc>
        <w:tc>
          <w:tcPr>
            <w:tcW w:w="2807" w:type="dxa"/>
          </w:tcPr>
          <w:p w:rsidR="002D4B05" w:rsidRPr="00666B27" w:rsidRDefault="002D4B05" w:rsidP="002D4B05">
            <w:pPr>
              <w:spacing w:after="0"/>
              <w:jc w:val="left"/>
              <w:rPr>
                <w:rFonts w:ascii="Arial Narrow" w:hAnsi="Arial Narrow"/>
                <w:i/>
                <w:sz w:val="18"/>
                <w:szCs w:val="18"/>
                <w:lang w:val="en-GB"/>
              </w:rPr>
            </w:pPr>
            <w:r w:rsidRPr="00666B27">
              <w:rPr>
                <w:rFonts w:ascii="Arial Narrow" w:hAnsi="Arial Narrow"/>
                <w:sz w:val="18"/>
                <w:szCs w:val="18"/>
                <w:lang w:val="en-GB"/>
              </w:rPr>
              <w:t>Data is collected from the time the policy facilitating funding of WOBs is implemented.  Close monitoring is ensured through surveys in order to detect any side barriers cropping up so that they are addressed promptly</w:t>
            </w:r>
            <w:r w:rsidRPr="00666B27">
              <w:rPr>
                <w:rFonts w:ascii="Arial Narrow" w:hAnsi="Arial Narrow"/>
                <w:i/>
                <w:sz w:val="18"/>
                <w:szCs w:val="18"/>
                <w:lang w:val="en-GB"/>
              </w:rPr>
              <w:t>.</w:t>
            </w:r>
          </w:p>
        </w:tc>
      </w:tr>
      <w:tr w:rsidR="002D4B05" w:rsidRPr="0057545E" w:rsidTr="00F737AD">
        <w:trPr>
          <w:trHeight w:val="765"/>
        </w:trPr>
        <w:tc>
          <w:tcPr>
            <w:tcW w:w="1951" w:type="dxa"/>
            <w:vMerge w:val="restart"/>
            <w:shd w:val="clear" w:color="auto" w:fill="DBDBDB"/>
          </w:tcPr>
          <w:p w:rsidR="002D4B05" w:rsidRPr="00353542" w:rsidRDefault="002D4B05" w:rsidP="002D4B05">
            <w:pPr>
              <w:spacing w:after="0"/>
              <w:jc w:val="left"/>
              <w:rPr>
                <w:rFonts w:ascii="Arial Narrow" w:hAnsi="Arial Narrow"/>
                <w:b/>
                <w:bCs/>
                <w:sz w:val="18"/>
                <w:szCs w:val="18"/>
                <w:lang w:val="en-GB"/>
              </w:rPr>
            </w:pPr>
            <w:r w:rsidRPr="0057545E">
              <w:rPr>
                <w:rFonts w:ascii="Arial Narrow" w:hAnsi="Arial Narrow"/>
                <w:b/>
                <w:bCs/>
                <w:sz w:val="18"/>
                <w:szCs w:val="18"/>
                <w:lang w:val="en-GB"/>
              </w:rPr>
              <w:t>Outcome 4</w:t>
            </w:r>
          </w:p>
          <w:p w:rsidR="002D4B05" w:rsidRPr="003B7D62" w:rsidRDefault="002D4B05" w:rsidP="002D4B05">
            <w:pPr>
              <w:spacing w:after="0"/>
              <w:jc w:val="left"/>
              <w:rPr>
                <w:rFonts w:ascii="Arial Narrow" w:hAnsi="Arial Narrow"/>
                <w:bCs/>
                <w:sz w:val="18"/>
                <w:szCs w:val="18"/>
                <w:lang w:val="en-GB"/>
              </w:rPr>
            </w:pPr>
          </w:p>
          <w:p w:rsidR="002D4B05" w:rsidRPr="00666B27" w:rsidRDefault="002D4B05" w:rsidP="002D4B05">
            <w:pPr>
              <w:spacing w:after="0"/>
              <w:jc w:val="left"/>
              <w:rPr>
                <w:rFonts w:ascii="Arial Narrow" w:hAnsi="Arial Narrow"/>
                <w:bCs/>
                <w:sz w:val="18"/>
                <w:szCs w:val="18"/>
                <w:lang w:val="en-GB"/>
              </w:rPr>
            </w:pPr>
            <w:r w:rsidRPr="004722F0">
              <w:rPr>
                <w:rFonts w:ascii="Arial Narrow" w:hAnsi="Arial Narrow"/>
                <w:bCs/>
                <w:sz w:val="18"/>
                <w:szCs w:val="18"/>
                <w:lang w:val="en-GB"/>
              </w:rPr>
              <w:t>Environmentally sound management and waste disposal practices</w:t>
            </w:r>
          </w:p>
        </w:tc>
        <w:tc>
          <w:tcPr>
            <w:tcW w:w="1985" w:type="dxa"/>
          </w:tcPr>
          <w:p w:rsidR="002D4B05" w:rsidRPr="00666B27" w:rsidRDefault="002D4B05" w:rsidP="002D4B05">
            <w:pPr>
              <w:numPr>
                <w:ilvl w:val="0"/>
                <w:numId w:val="36"/>
              </w:numPr>
              <w:spacing w:after="0"/>
              <w:ind w:left="369" w:hanging="369"/>
              <w:jc w:val="left"/>
              <w:rPr>
                <w:rFonts w:ascii="Arial Narrow" w:hAnsi="Arial Narrow"/>
                <w:bCs/>
                <w:sz w:val="18"/>
                <w:szCs w:val="18"/>
                <w:lang w:val="en-GB"/>
              </w:rPr>
            </w:pPr>
            <w:r w:rsidRPr="00666B27">
              <w:rPr>
                <w:rFonts w:ascii="Arial Narrow" w:hAnsi="Arial Narrow"/>
                <w:bCs/>
                <w:sz w:val="18"/>
                <w:szCs w:val="18"/>
                <w:lang w:val="en-GB"/>
              </w:rPr>
              <w:t>Completed assessments o</w:t>
            </w:r>
            <w:r w:rsidR="00E236DA" w:rsidRPr="00666B27">
              <w:rPr>
                <w:rFonts w:ascii="Arial Narrow" w:hAnsi="Arial Narrow"/>
                <w:bCs/>
                <w:sz w:val="18"/>
                <w:szCs w:val="18"/>
                <w:lang w:val="en-GB"/>
              </w:rPr>
              <w:t>f</w:t>
            </w:r>
            <w:r w:rsidRPr="00666B27">
              <w:rPr>
                <w:rFonts w:ascii="Arial Narrow" w:hAnsi="Arial Narrow"/>
                <w:bCs/>
                <w:sz w:val="18"/>
                <w:szCs w:val="18"/>
                <w:lang w:val="en-GB"/>
              </w:rPr>
              <w:t xml:space="preserve"> </w:t>
            </w:r>
            <w:r w:rsidRPr="00666B27">
              <w:rPr>
                <w:rFonts w:ascii="Arial Narrow" w:hAnsi="Arial Narrow"/>
                <w:bCs/>
                <w:noProof/>
                <w:sz w:val="18"/>
                <w:szCs w:val="18"/>
                <w:lang w:val="en-GB"/>
              </w:rPr>
              <w:t>lamp</w:t>
            </w:r>
            <w:r w:rsidRPr="00666B27">
              <w:rPr>
                <w:rFonts w:ascii="Arial Narrow" w:hAnsi="Arial Narrow"/>
                <w:bCs/>
                <w:sz w:val="18"/>
                <w:szCs w:val="18"/>
                <w:lang w:val="en-GB"/>
              </w:rPr>
              <w:t xml:space="preserve"> (CFL) disposal and recycling and on the potential of using vegetable oil in transformers</w:t>
            </w:r>
          </w:p>
        </w:tc>
        <w:tc>
          <w:tcPr>
            <w:tcW w:w="2409"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No integrated national-level assessment on lamp recycling. No national-level assessment o</w:t>
            </w:r>
            <w:r w:rsidR="00E236DA" w:rsidRPr="00666B27">
              <w:rPr>
                <w:rFonts w:ascii="Arial Narrow" w:hAnsi="Arial Narrow"/>
                <w:bCs/>
                <w:sz w:val="18"/>
                <w:szCs w:val="18"/>
                <w:lang w:val="en-GB"/>
              </w:rPr>
              <w:t>f</w:t>
            </w:r>
            <w:r w:rsidRPr="00666B27">
              <w:rPr>
                <w:rFonts w:ascii="Arial Narrow" w:hAnsi="Arial Narrow"/>
                <w:bCs/>
                <w:sz w:val="18"/>
                <w:szCs w:val="18"/>
                <w:lang w:val="en-GB"/>
              </w:rPr>
              <w:t xml:space="preserve"> </w:t>
            </w:r>
            <w:r w:rsidRPr="00666B27">
              <w:rPr>
                <w:rFonts w:ascii="Arial Narrow" w:hAnsi="Arial Narrow"/>
                <w:bCs/>
                <w:noProof/>
                <w:sz w:val="18"/>
                <w:szCs w:val="18"/>
                <w:lang w:val="en-GB"/>
              </w:rPr>
              <w:t>use</w:t>
            </w:r>
            <w:r w:rsidRPr="00666B27">
              <w:rPr>
                <w:rFonts w:ascii="Arial Narrow" w:hAnsi="Arial Narrow"/>
                <w:bCs/>
                <w:sz w:val="18"/>
                <w:szCs w:val="18"/>
                <w:lang w:val="en-GB"/>
              </w:rPr>
              <w:t xml:space="preserve"> of vegetable oil</w:t>
            </w:r>
          </w:p>
        </w:tc>
        <w:tc>
          <w:tcPr>
            <w:tcW w:w="2268"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Two assessments with policy recommendations o</w:t>
            </w:r>
            <w:r w:rsidR="00E236DA" w:rsidRPr="00666B27">
              <w:rPr>
                <w:rFonts w:ascii="Arial Narrow" w:hAnsi="Arial Narrow"/>
                <w:bCs/>
                <w:sz w:val="18"/>
                <w:szCs w:val="18"/>
                <w:lang w:val="en-GB"/>
              </w:rPr>
              <w:t>f</w:t>
            </w:r>
            <w:r w:rsidRPr="00666B27">
              <w:rPr>
                <w:rFonts w:ascii="Arial Narrow" w:hAnsi="Arial Narrow"/>
                <w:bCs/>
                <w:sz w:val="18"/>
                <w:szCs w:val="18"/>
                <w:lang w:val="en-GB"/>
              </w:rPr>
              <w:t xml:space="preserve"> 1) lamp recycling and mercury recovery; 2) use of vegetable oil in transformers</w:t>
            </w:r>
          </w:p>
        </w:tc>
        <w:tc>
          <w:tcPr>
            <w:tcW w:w="2722"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Idem.</w:t>
            </w:r>
          </w:p>
        </w:tc>
        <w:tc>
          <w:tcPr>
            <w:tcW w:w="2807" w:type="dxa"/>
          </w:tcPr>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Assessment study reports</w:t>
            </w:r>
          </w:p>
          <w:p w:rsidR="002D4B05" w:rsidRPr="00666B27" w:rsidRDefault="002D4B05" w:rsidP="002D4B05">
            <w:pPr>
              <w:spacing w:after="0"/>
              <w:jc w:val="left"/>
              <w:rPr>
                <w:rFonts w:ascii="Arial Narrow" w:hAnsi="Arial Narrow"/>
                <w:sz w:val="18"/>
                <w:szCs w:val="18"/>
                <w:lang w:val="en-GB"/>
              </w:rPr>
            </w:pPr>
          </w:p>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Assumption/risks:</w:t>
            </w:r>
          </w:p>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 xml:space="preserve"> Retailers, municipalities recycling companies as wells distribution manufacturers are willing to cooperate in data collection and questionnaire surveys</w:t>
            </w:r>
          </w:p>
        </w:tc>
      </w:tr>
      <w:tr w:rsidR="002D4B05" w:rsidRPr="0057545E" w:rsidTr="00F737AD">
        <w:trPr>
          <w:trHeight w:val="765"/>
        </w:trPr>
        <w:tc>
          <w:tcPr>
            <w:tcW w:w="1951" w:type="dxa"/>
            <w:vMerge/>
            <w:shd w:val="clear" w:color="auto" w:fill="DBDBDB"/>
          </w:tcPr>
          <w:p w:rsidR="002D4B05" w:rsidRPr="00666B27" w:rsidRDefault="002D4B05" w:rsidP="002D4B05">
            <w:pPr>
              <w:spacing w:after="0"/>
              <w:jc w:val="left"/>
              <w:rPr>
                <w:rFonts w:ascii="Arial Narrow" w:hAnsi="Arial Narrow"/>
                <w:b/>
                <w:bCs/>
                <w:sz w:val="18"/>
                <w:szCs w:val="18"/>
                <w:lang w:val="en-GB"/>
              </w:rPr>
            </w:pPr>
          </w:p>
        </w:tc>
        <w:tc>
          <w:tcPr>
            <w:tcW w:w="1985" w:type="dxa"/>
          </w:tcPr>
          <w:p w:rsidR="002D4B05" w:rsidRPr="00666B27" w:rsidRDefault="002D4B05" w:rsidP="002D4B05">
            <w:pPr>
              <w:numPr>
                <w:ilvl w:val="0"/>
                <w:numId w:val="36"/>
              </w:numPr>
              <w:spacing w:after="0"/>
              <w:ind w:left="369" w:hanging="369"/>
              <w:jc w:val="left"/>
              <w:rPr>
                <w:rFonts w:ascii="Arial Narrow" w:hAnsi="Arial Narrow"/>
                <w:bCs/>
                <w:sz w:val="18"/>
                <w:szCs w:val="18"/>
                <w:lang w:val="en-GB"/>
              </w:rPr>
            </w:pP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domestically-produced distribution transformers using vegetable oil</w:t>
            </w:r>
          </w:p>
        </w:tc>
        <w:tc>
          <w:tcPr>
            <w:tcW w:w="2409"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Distribution transformers use mineral oil for insulation</w:t>
            </w:r>
          </w:p>
        </w:tc>
        <w:tc>
          <w:tcPr>
            <w:tcW w:w="2268"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5% of transformers use vegetable (ester) oil</w:t>
            </w:r>
          </w:p>
        </w:tc>
        <w:tc>
          <w:tcPr>
            <w:tcW w:w="2722" w:type="dxa"/>
          </w:tcPr>
          <w:p w:rsidR="002D4B05" w:rsidRPr="00666B27" w:rsidRDefault="002D4B05" w:rsidP="002D4B05">
            <w:pPr>
              <w:spacing w:after="0"/>
              <w:jc w:val="left"/>
              <w:rPr>
                <w:rFonts w:ascii="Arial Narrow" w:hAnsi="Arial Narrow"/>
                <w:bCs/>
                <w:sz w:val="18"/>
                <w:szCs w:val="18"/>
                <w:lang w:val="en-GB"/>
              </w:rPr>
            </w:pPr>
            <w:r w:rsidRPr="00666B27">
              <w:rPr>
                <w:rFonts w:ascii="Arial Narrow" w:hAnsi="Arial Narrow"/>
                <w:bCs/>
                <w:sz w:val="18"/>
                <w:szCs w:val="18"/>
                <w:lang w:val="en-GB"/>
              </w:rPr>
              <w:t>20% of transformers use vegetable oil</w:t>
            </w:r>
          </w:p>
        </w:tc>
        <w:tc>
          <w:tcPr>
            <w:tcW w:w="2807" w:type="dxa"/>
          </w:tcPr>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sz w:val="18"/>
                <w:szCs w:val="18"/>
                <w:lang w:val="en-GB"/>
              </w:rPr>
              <w:t>Report by Eskom and municipalities, NERSA</w:t>
            </w:r>
          </w:p>
          <w:p w:rsidR="002D4B05" w:rsidRPr="00666B27" w:rsidRDefault="002D4B05" w:rsidP="002D4B05">
            <w:pPr>
              <w:spacing w:after="0"/>
              <w:jc w:val="left"/>
              <w:rPr>
                <w:rFonts w:ascii="Arial Narrow" w:hAnsi="Arial Narrow"/>
                <w:sz w:val="18"/>
                <w:szCs w:val="18"/>
                <w:lang w:val="en-GB"/>
              </w:rPr>
            </w:pPr>
          </w:p>
          <w:p w:rsidR="002D4B05" w:rsidRPr="00666B27" w:rsidRDefault="002D4B05" w:rsidP="002D4B05">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Assumption/risks: </w:t>
            </w:r>
            <w:r w:rsidRPr="00666B27">
              <w:rPr>
                <w:rFonts w:ascii="Arial Narrow" w:hAnsi="Arial Narrow"/>
                <w:sz w:val="18"/>
                <w:szCs w:val="18"/>
                <w:lang w:val="en-GB"/>
              </w:rPr>
              <w:t>Eskom</w:t>
            </w:r>
            <w:r w:rsidR="00885110">
              <w:rPr>
                <w:rFonts w:ascii="Arial Narrow" w:hAnsi="Arial Narrow"/>
                <w:sz w:val="18"/>
                <w:szCs w:val="18"/>
                <w:lang w:val="en-GB"/>
              </w:rPr>
              <w:t xml:space="preserve"> (and municipal)</w:t>
            </w:r>
            <w:r w:rsidRPr="00666B27">
              <w:rPr>
                <w:rFonts w:ascii="Arial Narrow" w:hAnsi="Arial Narrow"/>
                <w:sz w:val="18"/>
                <w:szCs w:val="18"/>
                <w:lang w:val="en-GB"/>
              </w:rPr>
              <w:t xml:space="preserve"> contracts will stipulate </w:t>
            </w:r>
            <w:r w:rsidRPr="00666B27">
              <w:rPr>
                <w:rFonts w:ascii="Arial Narrow" w:hAnsi="Arial Narrow"/>
                <w:noProof/>
                <w:sz w:val="18"/>
                <w:szCs w:val="18"/>
                <w:lang w:val="en-GB"/>
              </w:rPr>
              <w:t>%</w:t>
            </w:r>
            <w:r w:rsidRPr="00666B27">
              <w:rPr>
                <w:rFonts w:ascii="Arial Narrow" w:hAnsi="Arial Narrow"/>
                <w:sz w:val="18"/>
                <w:szCs w:val="18"/>
                <w:lang w:val="en-GB"/>
              </w:rPr>
              <w:t xml:space="preserve"> share of transformers using vegetable oil and municipal distributors will follow suit</w:t>
            </w:r>
          </w:p>
        </w:tc>
      </w:tr>
    </w:tbl>
    <w:p w:rsidR="0053408E" w:rsidRPr="0057545E" w:rsidRDefault="0053408E" w:rsidP="003B2A79">
      <w:pPr>
        <w:rPr>
          <w:lang w:val="en-GB"/>
        </w:rPr>
      </w:pPr>
    </w:p>
    <w:p w:rsidR="0081384D" w:rsidRPr="003B7D62" w:rsidRDefault="0081384D" w:rsidP="003B2A79">
      <w:pPr>
        <w:rPr>
          <w:lang w:val="en-GB"/>
        </w:rPr>
      </w:pPr>
      <w:r w:rsidRPr="00353542">
        <w:rPr>
          <w:lang w:val="en-GB"/>
        </w:rPr>
        <w:t>Monitoring and evaluation are also a key part of the project but are not named as a numbered component as such.  M&amp;E does not have any indicators or targets of its own in this framework, but the framework itself represents the project’s M&amp;E tasks throughou</w:t>
      </w:r>
      <w:r w:rsidRPr="003B7D62">
        <w:rPr>
          <w:lang w:val="en-GB"/>
        </w:rPr>
        <w:t xml:space="preserve">t.   Please see the following section of this Project Document for more details.  </w:t>
      </w:r>
    </w:p>
    <w:p w:rsidR="0081384D" w:rsidRPr="00666B27" w:rsidRDefault="0081384D" w:rsidP="003B2A79">
      <w:pPr>
        <w:rPr>
          <w:lang w:val="en-GB"/>
        </w:rPr>
        <w:sectPr w:rsidR="0081384D" w:rsidRPr="00666B27" w:rsidSect="007B535B">
          <w:pgSz w:w="15840" w:h="12240" w:orient="landscape" w:code="1"/>
          <w:pgMar w:top="1134" w:right="1440" w:bottom="1134" w:left="1134" w:header="720" w:footer="432" w:gutter="0"/>
          <w:cols w:space="708"/>
          <w:docGrid w:linePitch="360"/>
        </w:sectPr>
      </w:pPr>
    </w:p>
    <w:p w:rsidR="005A03BB" w:rsidRPr="00666B27" w:rsidRDefault="005A03BB" w:rsidP="005A03BB">
      <w:pPr>
        <w:rPr>
          <w:lang w:val="en-GB"/>
        </w:rPr>
      </w:pPr>
      <w:bookmarkStart w:id="149" w:name="_Toc207800914"/>
      <w:bookmarkStart w:id="150" w:name="_Toc407785522"/>
      <w:bookmarkEnd w:id="137"/>
    </w:p>
    <w:p w:rsidR="0053408E" w:rsidRPr="00666B27" w:rsidRDefault="0053408E" w:rsidP="001E1DBB">
      <w:pPr>
        <w:pStyle w:val="Heading1"/>
        <w:spacing w:before="0"/>
        <w:ind w:left="567" w:hanging="567"/>
        <w:rPr>
          <w:rFonts w:ascii="Arial" w:hAnsi="Arial"/>
        </w:rPr>
      </w:pPr>
      <w:bookmarkStart w:id="151" w:name="_Toc497848310"/>
      <w:bookmarkStart w:id="152" w:name="_Toc340769"/>
      <w:r w:rsidRPr="00666B27">
        <w:rPr>
          <w:rFonts w:ascii="Arial" w:hAnsi="Arial"/>
        </w:rPr>
        <w:t>Monitoring and Evaluation (M&amp;E) Plan</w:t>
      </w:r>
      <w:bookmarkEnd w:id="151"/>
      <w:bookmarkEnd w:id="152"/>
    </w:p>
    <w:p w:rsidR="00AF3C5A" w:rsidRPr="00666B27" w:rsidRDefault="00AF3C5A" w:rsidP="00E336E5">
      <w:pPr>
        <w:spacing w:after="0"/>
        <w:jc w:val="left"/>
        <w:rPr>
          <w:rFonts w:cs="Calibri"/>
          <w:szCs w:val="20"/>
          <w:lang w:val="en-GB"/>
        </w:rPr>
      </w:pPr>
    </w:p>
    <w:p w:rsidR="00E0026F" w:rsidRPr="00666B27" w:rsidRDefault="00E0026F" w:rsidP="00E336E5">
      <w:pPr>
        <w:spacing w:after="0"/>
        <w:jc w:val="left"/>
        <w:rPr>
          <w:rFonts w:cs="Calibri"/>
          <w:szCs w:val="20"/>
          <w:lang w:val="en-GB"/>
        </w:rPr>
      </w:pPr>
    </w:p>
    <w:p w:rsidR="002A0032" w:rsidRPr="00666B27" w:rsidRDefault="00780107" w:rsidP="00780107">
      <w:pPr>
        <w:spacing w:after="0"/>
        <w:rPr>
          <w:rFonts w:cs="Calibri"/>
          <w:szCs w:val="20"/>
          <w:lang w:val="en-GB"/>
        </w:rPr>
      </w:pPr>
      <w:r w:rsidRPr="00666B27">
        <w:rPr>
          <w:rFonts w:cs="Calibri"/>
          <w:szCs w:val="20"/>
          <w:lang w:val="en-GB"/>
        </w:rPr>
        <w:t xml:space="preserve">The project results will be monitored annually and evaluated periodically during project implementation to ensure the project effectively achieves these results. </w:t>
      </w:r>
      <w:r w:rsidR="002A0032" w:rsidRPr="00666B27">
        <w:rPr>
          <w:rFonts w:cs="Calibri"/>
          <w:szCs w:val="20"/>
          <w:lang w:val="en-GB"/>
        </w:rPr>
        <w:t xml:space="preserve">The </w:t>
      </w:r>
      <w:r w:rsidR="002A0032" w:rsidRPr="00666B27">
        <w:rPr>
          <w:rFonts w:cs="Calibri"/>
          <w:b/>
          <w:szCs w:val="20"/>
          <w:lang w:val="en-GB"/>
        </w:rPr>
        <w:t>Project Results Framework</w:t>
      </w:r>
      <w:r w:rsidR="002A0032" w:rsidRPr="00666B27">
        <w:rPr>
          <w:rFonts w:cs="Calibri"/>
          <w:szCs w:val="20"/>
          <w:lang w:val="en-GB"/>
        </w:rPr>
        <w:t xml:space="preserve"> (presented in the previous Section 5) includes </w:t>
      </w:r>
      <w:r w:rsidR="002A0032" w:rsidRPr="00666B27">
        <w:rPr>
          <w:rFonts w:cs="Calibri"/>
          <w:i/>
          <w:szCs w:val="20"/>
          <w:lang w:val="en-GB"/>
        </w:rPr>
        <w:t>SMART indicators</w:t>
      </w:r>
      <w:r w:rsidR="002A0032" w:rsidRPr="00666B27">
        <w:rPr>
          <w:rFonts w:cs="Calibri"/>
          <w:szCs w:val="20"/>
          <w:lang w:val="en-GB"/>
        </w:rPr>
        <w:t xml:space="preserve"> for each expected outcome as well as end-of-project targets. These indicators along with the key deliverables and benchmarks included in will be the main tools for assessing project implementation progress and whether project results are being achieved.</w:t>
      </w:r>
    </w:p>
    <w:p w:rsidR="002A0032" w:rsidRPr="00666B27" w:rsidRDefault="002A0032" w:rsidP="00780107">
      <w:pPr>
        <w:spacing w:after="0"/>
        <w:rPr>
          <w:rFonts w:cs="Calibri"/>
          <w:szCs w:val="20"/>
          <w:lang w:val="en-GB"/>
        </w:rPr>
      </w:pPr>
    </w:p>
    <w:p w:rsidR="00780107" w:rsidRPr="00666B27" w:rsidRDefault="00780107" w:rsidP="00780107">
      <w:pPr>
        <w:spacing w:after="0"/>
        <w:rPr>
          <w:rFonts w:cs="Calibri"/>
          <w:szCs w:val="20"/>
          <w:lang w:val="en-GB"/>
        </w:rPr>
      </w:pPr>
      <w:r w:rsidRPr="00666B27">
        <w:rPr>
          <w:rFonts w:cs="Calibri"/>
          <w:szCs w:val="20"/>
          <w:lang w:val="en-GB"/>
        </w:rPr>
        <w:t>Supported by</w:t>
      </w:r>
      <w:r w:rsidRPr="00666B27">
        <w:rPr>
          <w:rFonts w:cs="Calibri"/>
          <w:i/>
          <w:szCs w:val="20"/>
          <w:lang w:val="en-GB"/>
        </w:rPr>
        <w:t xml:space="preserve"> Component Four: Knowledge Management and M&amp;E,</w:t>
      </w:r>
      <w:r w:rsidRPr="00666B27">
        <w:rPr>
          <w:rFonts w:cs="Calibri"/>
          <w:szCs w:val="20"/>
          <w:lang w:val="en-GB"/>
        </w:rPr>
        <w:t xml:space="preserve"> the project monitoring and evaluation plan will also facilitate learning and ensure </w:t>
      </w:r>
      <w:r w:rsidRPr="00666B27">
        <w:rPr>
          <w:rFonts w:cs="Calibri"/>
          <w:b/>
          <w:szCs w:val="20"/>
          <w:lang w:val="en-GB"/>
        </w:rPr>
        <w:t>knowledge</w:t>
      </w:r>
      <w:r w:rsidRPr="00666B27">
        <w:rPr>
          <w:rFonts w:cs="Calibri"/>
          <w:szCs w:val="20"/>
          <w:lang w:val="en-GB"/>
        </w:rPr>
        <w:t xml:space="preserve"> is shared and widely disseminated to support the scaling up and replication of project results.</w:t>
      </w:r>
      <w:r w:rsidR="002A0032" w:rsidRPr="00666B27">
        <w:rPr>
          <w:lang w:val="en-GB"/>
        </w:rPr>
        <w:t xml:space="preserve"> Also, w</w:t>
      </w:r>
      <w:r w:rsidR="002A0032" w:rsidRPr="00666B27">
        <w:rPr>
          <w:rFonts w:cs="Calibri"/>
          <w:szCs w:val="20"/>
          <w:lang w:val="en-GB"/>
        </w:rPr>
        <w:t>ithin the other three substantive the GEF-financed project will promote effective management of knowledge (s</w:t>
      </w:r>
      <w:r w:rsidR="00954544" w:rsidRPr="00666B27">
        <w:rPr>
          <w:rFonts w:cs="Calibri"/>
          <w:szCs w:val="20"/>
          <w:lang w:val="en-GB"/>
        </w:rPr>
        <w:t>ee Section 3.1)</w:t>
      </w:r>
    </w:p>
    <w:p w:rsidR="002A0032" w:rsidRPr="00666B27" w:rsidRDefault="002A0032" w:rsidP="00780107">
      <w:pPr>
        <w:spacing w:after="0"/>
        <w:rPr>
          <w:rFonts w:cs="Calibri"/>
          <w:szCs w:val="20"/>
          <w:lang w:val="en-GB"/>
        </w:rPr>
      </w:pPr>
    </w:p>
    <w:p w:rsidR="002A0032" w:rsidRPr="004722F0" w:rsidRDefault="002A0032" w:rsidP="00780107">
      <w:pPr>
        <w:spacing w:after="0"/>
        <w:rPr>
          <w:rFonts w:cs="Calibri"/>
          <w:szCs w:val="20"/>
          <w:lang w:val="en-GB"/>
        </w:rPr>
      </w:pPr>
      <w:r w:rsidRPr="00666B27">
        <w:rPr>
          <w:rFonts w:cs="Calibri"/>
          <w:szCs w:val="20"/>
          <w:lang w:val="en-GB"/>
        </w:rPr>
        <w:t>The project will comply with DBSA, and UNDP standard monitoring, reporting and evaluation procedures. Mandatory GEF-specific M&amp;E requirements (</w:t>
      </w:r>
      <w:r w:rsidR="009617F8" w:rsidRPr="00666B27">
        <w:rPr>
          <w:rFonts w:cs="Calibri"/>
          <w:szCs w:val="20"/>
          <w:lang w:val="en-GB"/>
        </w:rPr>
        <w:t xml:space="preserve">summarized in </w:t>
      </w:r>
      <w:r w:rsidR="00FA046F" w:rsidRPr="00353542">
        <w:rPr>
          <w:rFonts w:cs="Calibri"/>
          <w:color w:val="0070C0"/>
          <w:szCs w:val="20"/>
          <w:highlight w:val="yellow"/>
          <w:lang w:val="en-GB"/>
        </w:rPr>
        <w:fldChar w:fldCharType="begin"/>
      </w:r>
      <w:r w:rsidR="00FA046F" w:rsidRPr="00666B27">
        <w:rPr>
          <w:rFonts w:cs="Calibri"/>
          <w:color w:val="0070C0"/>
          <w:szCs w:val="20"/>
          <w:lang w:val="en-GB"/>
        </w:rPr>
        <w:instrText xml:space="preserve"> REF _Ref496468069 \h </w:instrText>
      </w:r>
      <w:r w:rsidR="00FA046F" w:rsidRPr="00666B27">
        <w:rPr>
          <w:rFonts w:cs="Calibri"/>
          <w:color w:val="0070C0"/>
          <w:szCs w:val="20"/>
          <w:highlight w:val="yellow"/>
          <w:lang w:val="en-GB"/>
        </w:rPr>
        <w:instrText xml:space="preserve"> \* MERGEFORMAT </w:instrText>
      </w:r>
      <w:r w:rsidR="00FA046F" w:rsidRPr="00353542">
        <w:rPr>
          <w:rFonts w:cs="Calibri"/>
          <w:color w:val="0070C0"/>
          <w:szCs w:val="20"/>
          <w:highlight w:val="yellow"/>
          <w:lang w:val="en-GB"/>
        </w:rPr>
      </w:r>
      <w:r w:rsidR="00FA046F" w:rsidRPr="00353542">
        <w:rPr>
          <w:rFonts w:cs="Calibri"/>
          <w:color w:val="0070C0"/>
          <w:szCs w:val="20"/>
          <w:highlight w:val="yellow"/>
          <w:lang w:val="en-GB"/>
        </w:rPr>
        <w:fldChar w:fldCharType="separate"/>
      </w:r>
      <w:r w:rsidR="00BB1E93" w:rsidRPr="00BB1E93">
        <w:rPr>
          <w:rFonts w:cs="Calibri"/>
          <w:color w:val="0070C0"/>
          <w:szCs w:val="20"/>
          <w:lang w:val="en-GB"/>
        </w:rPr>
        <w:t xml:space="preserve">Box </w:t>
      </w:r>
      <w:r w:rsidR="00BB1E93" w:rsidRPr="00BB1E93">
        <w:rPr>
          <w:rFonts w:cs="Calibri"/>
          <w:noProof/>
          <w:color w:val="0070C0"/>
          <w:szCs w:val="20"/>
          <w:lang w:val="en-GB"/>
        </w:rPr>
        <w:t>12</w:t>
      </w:r>
      <w:r w:rsidR="00FA046F" w:rsidRPr="00353542">
        <w:rPr>
          <w:rFonts w:cs="Calibri"/>
          <w:color w:val="0070C0"/>
          <w:szCs w:val="20"/>
          <w:highlight w:val="yellow"/>
          <w:lang w:val="en-GB"/>
        </w:rPr>
        <w:fldChar w:fldCharType="end"/>
      </w:r>
      <w:r w:rsidR="00FA046F" w:rsidRPr="0057545E">
        <w:rPr>
          <w:rFonts w:cs="Calibri"/>
          <w:szCs w:val="20"/>
          <w:lang w:val="en-GB"/>
        </w:rPr>
        <w:t xml:space="preserve"> </w:t>
      </w:r>
      <w:r w:rsidR="009617F8" w:rsidRPr="00353542">
        <w:rPr>
          <w:rFonts w:cs="Calibri"/>
          <w:szCs w:val="20"/>
          <w:lang w:val="en-GB"/>
        </w:rPr>
        <w:t xml:space="preserve">and outlined below) </w:t>
      </w:r>
      <w:r w:rsidRPr="00353542">
        <w:rPr>
          <w:rFonts w:cs="Calibri"/>
          <w:szCs w:val="20"/>
          <w:lang w:val="en-GB"/>
        </w:rPr>
        <w:t xml:space="preserve">will be undertaken in accordance with the  </w:t>
      </w:r>
      <w:hyperlink r:id="rId74" w:history="1">
        <w:r w:rsidRPr="00666B27">
          <w:rPr>
            <w:rFonts w:cs="Calibri"/>
            <w:color w:val="0000FF"/>
            <w:szCs w:val="20"/>
            <w:u w:val="single"/>
            <w:lang w:val="en-GB"/>
          </w:rPr>
          <w:t>GEF M&amp;E policy</w:t>
        </w:r>
      </w:hyperlink>
      <w:r w:rsidRPr="0057545E">
        <w:rPr>
          <w:rFonts w:cs="Calibri"/>
          <w:szCs w:val="20"/>
          <w:lang w:val="en-GB"/>
        </w:rPr>
        <w:t xml:space="preserve"> and other relevant GEF policies. Also, proje</w:t>
      </w:r>
      <w:r w:rsidRPr="00353542">
        <w:rPr>
          <w:rFonts w:cs="Calibri"/>
          <w:szCs w:val="20"/>
          <w:lang w:val="en-GB"/>
        </w:rPr>
        <w:t xml:space="preserve">ct-level monitoring and evaluation will be undertaken in compliance with UNDP requirements as outlined in the </w:t>
      </w:r>
      <w:hyperlink r:id="rId75" w:history="1">
        <w:r w:rsidRPr="00666B27">
          <w:rPr>
            <w:rFonts w:cs="Calibri"/>
            <w:color w:val="0000FF"/>
            <w:szCs w:val="20"/>
            <w:u w:val="single"/>
            <w:lang w:val="en-GB"/>
          </w:rPr>
          <w:t>UNDP POPP</w:t>
        </w:r>
      </w:hyperlink>
      <w:r w:rsidRPr="0057545E">
        <w:rPr>
          <w:rFonts w:cs="Calibri"/>
          <w:color w:val="0000FF"/>
          <w:szCs w:val="20"/>
          <w:u w:val="single"/>
          <w:lang w:val="en-GB"/>
        </w:rPr>
        <w:t xml:space="preserve"> </w:t>
      </w:r>
      <w:r w:rsidRPr="00353542">
        <w:rPr>
          <w:rFonts w:cs="Calibri"/>
          <w:szCs w:val="20"/>
          <w:lang w:val="en-GB"/>
        </w:rPr>
        <w:t xml:space="preserve">and </w:t>
      </w:r>
      <w:hyperlink r:id="rId76" w:history="1">
        <w:r w:rsidRPr="00666B27">
          <w:rPr>
            <w:rFonts w:cs="Calibri"/>
            <w:color w:val="0000FF"/>
            <w:szCs w:val="20"/>
            <w:u w:val="single"/>
            <w:lang w:val="en-GB"/>
          </w:rPr>
          <w:t>UNDP Evaluation Policy</w:t>
        </w:r>
      </w:hyperlink>
      <w:r w:rsidRPr="0057545E">
        <w:rPr>
          <w:rFonts w:cs="Calibri"/>
          <w:color w:val="0000FF"/>
          <w:szCs w:val="20"/>
          <w:u w:val="single"/>
          <w:lang w:val="en-GB"/>
        </w:rPr>
        <w:t xml:space="preserve">. </w:t>
      </w:r>
      <w:r w:rsidR="008E1EE1" w:rsidRPr="00353542">
        <w:rPr>
          <w:rFonts w:cs="Calibri"/>
          <w:szCs w:val="20"/>
          <w:lang w:val="en-GB"/>
        </w:rPr>
        <w:t>In addition to these mandatory UNDP and GEF M&amp;E requirements, other M&amp;E activities deemed necessary to supp</w:t>
      </w:r>
      <w:r w:rsidR="008E1EE1" w:rsidRPr="003B7D62">
        <w:rPr>
          <w:rFonts w:cs="Calibri"/>
          <w:szCs w:val="20"/>
          <w:lang w:val="en-GB"/>
        </w:rPr>
        <w:t>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w:t>
      </w:r>
    </w:p>
    <w:p w:rsidR="002A0032" w:rsidRPr="00666B27" w:rsidRDefault="002A0032" w:rsidP="00780107">
      <w:pPr>
        <w:spacing w:after="0"/>
        <w:rPr>
          <w:rFonts w:cs="Calibri"/>
          <w:szCs w:val="20"/>
          <w:lang w:val="en-GB"/>
        </w:rPr>
      </w:pPr>
    </w:p>
    <w:p w:rsidR="002A0032" w:rsidRPr="00666B27" w:rsidRDefault="002A0032" w:rsidP="00780107">
      <w:pPr>
        <w:spacing w:after="0"/>
        <w:rPr>
          <w:rFonts w:cs="Calibri"/>
          <w:szCs w:val="20"/>
          <w:lang w:val="en-GB"/>
        </w:rPr>
      </w:pPr>
      <w:r w:rsidRPr="00666B27">
        <w:rPr>
          <w:rFonts w:cs="Calibri"/>
          <w:szCs w:val="20"/>
          <w:lang w:val="en-GB"/>
        </w:rPr>
        <w:t xml:space="preserve">The </w:t>
      </w:r>
      <w:r w:rsidRPr="00666B27">
        <w:rPr>
          <w:rFonts w:cs="Calibri"/>
          <w:b/>
          <w:szCs w:val="20"/>
          <w:lang w:val="en-GB"/>
        </w:rPr>
        <w:t>M&amp;E plan</w:t>
      </w:r>
      <w:r w:rsidRPr="00666B27">
        <w:rPr>
          <w:rFonts w:cs="Calibri"/>
          <w:szCs w:val="20"/>
          <w:lang w:val="en-GB"/>
        </w:rPr>
        <w:t xml:space="preserve"> will be reviewed and revised as necessary during the project inception workshop to ensure project stakeholders understand their roles and responsibilities vis-à-vis project monitoring and evaluation. Indicators and their means of verification may also be fine-tuned at the inception workshop. General project monitoring is the responsibility of the Project Management </w:t>
      </w:r>
      <w:proofErr w:type="gramStart"/>
      <w:r w:rsidRPr="00666B27">
        <w:rPr>
          <w:rFonts w:cs="Calibri"/>
          <w:szCs w:val="20"/>
          <w:lang w:val="en-GB"/>
        </w:rPr>
        <w:t>Unit</w:t>
      </w:r>
      <w:proofErr w:type="gramEnd"/>
      <w:r w:rsidRPr="00666B27">
        <w:rPr>
          <w:rFonts w:cs="Calibri"/>
          <w:szCs w:val="20"/>
          <w:lang w:val="en-GB"/>
        </w:rPr>
        <w:t xml:space="preserve"> but other project partners will have responsibilities to collect specific information to track the indicators. It is the responsibility of the Project Manager to inform DBSA and UN</w:t>
      </w:r>
      <w:r w:rsidR="007B2F39">
        <w:rPr>
          <w:rFonts w:cs="Calibri"/>
          <w:szCs w:val="20"/>
          <w:lang w:val="en-GB"/>
        </w:rPr>
        <w:t>D</w:t>
      </w:r>
      <w:r w:rsidRPr="00666B27">
        <w:rPr>
          <w:rFonts w:cs="Calibri"/>
          <w:szCs w:val="20"/>
          <w:lang w:val="en-GB"/>
        </w:rPr>
        <w:t>P of any delays or difficulties faced during implementation so that the appropriate support or corrective measures can be adopted in a timely fashion.</w:t>
      </w:r>
    </w:p>
    <w:p w:rsidR="002A0032" w:rsidRPr="00666B27" w:rsidRDefault="002A0032" w:rsidP="00780107">
      <w:pPr>
        <w:spacing w:after="0"/>
        <w:rPr>
          <w:rFonts w:cs="Calibri"/>
          <w:szCs w:val="20"/>
          <w:lang w:val="en-GB"/>
        </w:rPr>
      </w:pPr>
    </w:p>
    <w:p w:rsidR="008E1EE1" w:rsidRPr="00666B27" w:rsidRDefault="008E1EE1" w:rsidP="008E1EE1">
      <w:pPr>
        <w:spacing w:after="120"/>
        <w:rPr>
          <w:rFonts w:cs="Calibri"/>
          <w:b/>
          <w:szCs w:val="20"/>
          <w:lang w:val="en-GB"/>
        </w:rPr>
      </w:pPr>
      <w:r w:rsidRPr="00666B27">
        <w:rPr>
          <w:rFonts w:cs="Calibri"/>
          <w:b/>
          <w:szCs w:val="20"/>
          <w:lang w:val="en-GB"/>
        </w:rPr>
        <w:t>M&amp;E oversight and monitoring responsibilities:</w:t>
      </w:r>
    </w:p>
    <w:p w:rsidR="008E1EE1" w:rsidRPr="00666B27" w:rsidRDefault="008E1EE1" w:rsidP="008E1EE1">
      <w:pPr>
        <w:spacing w:after="0"/>
        <w:rPr>
          <w:rFonts w:cs="Calibri"/>
          <w:szCs w:val="20"/>
          <w:lang w:val="en-GB"/>
        </w:rPr>
      </w:pPr>
      <w:r w:rsidRPr="00666B27">
        <w:rPr>
          <w:rFonts w:cs="Calibri"/>
          <w:szCs w:val="20"/>
          <w:u w:val="single"/>
          <w:lang w:val="en-GB"/>
        </w:rPr>
        <w:t>Project Manager</w:t>
      </w:r>
      <w:r w:rsidRPr="00666B27">
        <w:rPr>
          <w:rFonts w:cs="Calibri"/>
          <w:szCs w:val="20"/>
          <w:lang w:val="en-GB"/>
        </w:rPr>
        <w:t xml:space="preserve">:  The Project Manager is responsible for day-to-day project management and regular monitoring of project results and risks, including social and environmental risks. The Project Manager will ensure that all project staff </w:t>
      </w:r>
      <w:r w:rsidRPr="00666B27">
        <w:rPr>
          <w:rFonts w:cs="Calibri"/>
          <w:noProof/>
          <w:szCs w:val="20"/>
          <w:lang w:val="en-GB"/>
        </w:rPr>
        <w:t>maintain</w:t>
      </w:r>
      <w:r w:rsidR="00B719E5" w:rsidRPr="00666B27">
        <w:rPr>
          <w:rFonts w:cs="Calibri"/>
          <w:noProof/>
          <w:szCs w:val="20"/>
          <w:lang w:val="en-GB"/>
        </w:rPr>
        <w:t>s</w:t>
      </w:r>
      <w:r w:rsidRPr="00666B27">
        <w:rPr>
          <w:rFonts w:cs="Calibri"/>
          <w:szCs w:val="20"/>
          <w:lang w:val="en-GB"/>
        </w:rPr>
        <w:t xml:space="preserve"> a high level of transparency, responsibility </w:t>
      </w:r>
      <w:r w:rsidRPr="00666B27">
        <w:rPr>
          <w:rFonts w:cs="Calibri"/>
          <w:noProof/>
          <w:szCs w:val="20"/>
          <w:lang w:val="en-GB"/>
        </w:rPr>
        <w:t>and</w:t>
      </w:r>
      <w:r w:rsidRPr="00666B27">
        <w:rPr>
          <w:rFonts w:cs="Calibri"/>
          <w:szCs w:val="20"/>
          <w:lang w:val="en-GB"/>
        </w:rPr>
        <w:t xml:space="preserve"> accountability in M&amp;E and reporting of project results. The Project Manager will inform the </w:t>
      </w:r>
      <w:r w:rsidR="009A4CED" w:rsidRPr="00666B27">
        <w:rPr>
          <w:rFonts w:cs="Calibri"/>
          <w:szCs w:val="20"/>
          <w:lang w:val="en-GB"/>
        </w:rPr>
        <w:t xml:space="preserve">PSC (Project Steering Committee), </w:t>
      </w:r>
      <w:r w:rsidRPr="00666B27">
        <w:rPr>
          <w:rFonts w:cs="Calibri"/>
          <w:szCs w:val="20"/>
          <w:lang w:val="en-GB"/>
        </w:rPr>
        <w:t>the UNDP Country Office and the UNDP-GEF RTA</w:t>
      </w:r>
      <w:r w:rsidR="009A4CED" w:rsidRPr="00666B27">
        <w:rPr>
          <w:rFonts w:cs="Calibri"/>
          <w:szCs w:val="20"/>
          <w:lang w:val="en-GB"/>
        </w:rPr>
        <w:t xml:space="preserve">, and DBSA </w:t>
      </w:r>
      <w:r w:rsidRPr="00666B27">
        <w:rPr>
          <w:rFonts w:cs="Calibri"/>
          <w:szCs w:val="20"/>
          <w:lang w:val="en-GB"/>
        </w:rPr>
        <w:t xml:space="preserve">of any delays or difficulties as they arise during implementation so that appropriate support and corrective measures can be adopted. </w:t>
      </w:r>
    </w:p>
    <w:p w:rsidR="008E1EE1" w:rsidRPr="00666B27" w:rsidRDefault="008E1EE1" w:rsidP="008E1EE1">
      <w:pPr>
        <w:spacing w:after="0"/>
        <w:rPr>
          <w:rFonts w:cs="Calibri"/>
          <w:szCs w:val="20"/>
          <w:lang w:val="en-GB"/>
        </w:rPr>
      </w:pPr>
    </w:p>
    <w:p w:rsidR="008E1EE1" w:rsidRPr="00666B27" w:rsidRDefault="008E1EE1" w:rsidP="008E1EE1">
      <w:pPr>
        <w:spacing w:after="0"/>
        <w:rPr>
          <w:rFonts w:cs="Calibri"/>
          <w:szCs w:val="20"/>
          <w:lang w:val="en-GB"/>
        </w:rPr>
      </w:pPr>
      <w:r w:rsidRPr="00666B27">
        <w:rPr>
          <w:rFonts w:cs="Calibri"/>
          <w:szCs w:val="20"/>
          <w:lang w:val="en-GB"/>
        </w:rPr>
        <w:t xml:space="preserve">The Project Manager will develop Annual Work Plans based on the multi-year work plan included in Annex A, including a month-by-month projection of activities, as well as annual output targets. The Project Manager will ensure that the standard UNDP, DBSA,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Knowledge Management strategy etc.) occur on a regular basis.  </w:t>
      </w:r>
    </w:p>
    <w:p w:rsidR="008E1EE1" w:rsidRPr="00666B27" w:rsidRDefault="008E1EE1" w:rsidP="008E1EE1">
      <w:pPr>
        <w:spacing w:after="0"/>
        <w:rPr>
          <w:rFonts w:cs="Calibri"/>
          <w:szCs w:val="20"/>
          <w:lang w:val="en-GB"/>
        </w:rPr>
      </w:pPr>
    </w:p>
    <w:p w:rsidR="008E1EE1" w:rsidRPr="00666B27" w:rsidRDefault="008E1EE1" w:rsidP="008E1EE1">
      <w:pPr>
        <w:spacing w:after="0"/>
        <w:rPr>
          <w:rFonts w:cs="Calibri"/>
          <w:szCs w:val="20"/>
          <w:lang w:val="en-GB"/>
        </w:rPr>
      </w:pPr>
      <w:r w:rsidRPr="00666B27">
        <w:rPr>
          <w:rFonts w:cs="Calibri"/>
          <w:szCs w:val="20"/>
          <w:u w:val="single"/>
          <w:lang w:val="en-GB"/>
        </w:rPr>
        <w:t>Project Steering Committee</w:t>
      </w:r>
      <w:r w:rsidRPr="00666B27">
        <w:rPr>
          <w:rFonts w:cs="Calibri"/>
          <w:szCs w:val="20"/>
          <w:lang w:val="en-GB"/>
        </w:rPr>
        <w:t xml:space="preserve">: The Project Board will take corrective action as needed to ensure the project achieves the desired results. The PSC will hold project reviews to assess the performance of the project and appraise the Annual Work Plan for the following year. In the project’s final year, the Project Board will hold an end-of-project review to capture lessons learned and discuss opportunities for scaling up and to highlight project results and lessons learned with relevant audiences.  This final review meeting will also discuss the findings outlined in the project terminal evaluation report and the management response. Results of this review, as well as findings outlined in the project terminal evaluation report and the </w:t>
      </w:r>
      <w:r w:rsidRPr="00666B27">
        <w:rPr>
          <w:rFonts w:cs="Calibri"/>
          <w:szCs w:val="20"/>
          <w:lang w:val="en-GB"/>
        </w:rPr>
        <w:lastRenderedPageBreak/>
        <w:t>management response, will be presented at a closing workshop open to a broad variety of stakeholders from South Africa and from UNDP</w:t>
      </w:r>
      <w:r w:rsidR="009A4CED" w:rsidRPr="00666B27">
        <w:rPr>
          <w:rFonts w:cs="Calibri"/>
          <w:szCs w:val="20"/>
          <w:lang w:val="en-GB"/>
        </w:rPr>
        <w:t xml:space="preserve">, </w:t>
      </w:r>
      <w:r w:rsidRPr="00666B27">
        <w:rPr>
          <w:rFonts w:cs="Calibri"/>
          <w:szCs w:val="20"/>
          <w:lang w:val="en-GB"/>
        </w:rPr>
        <w:t xml:space="preserve">UNEP </w:t>
      </w:r>
      <w:r w:rsidR="009A4CED" w:rsidRPr="00666B27">
        <w:rPr>
          <w:rFonts w:cs="Calibri"/>
          <w:szCs w:val="20"/>
          <w:lang w:val="en-GB"/>
        </w:rPr>
        <w:t xml:space="preserve">or DBSA </w:t>
      </w:r>
      <w:r w:rsidRPr="00666B27">
        <w:rPr>
          <w:rFonts w:cs="Calibri"/>
          <w:szCs w:val="20"/>
          <w:lang w:val="en-GB"/>
        </w:rPr>
        <w:t>projects elsewhere in the region and/or as part of the global GEF-supported UNEP-U4E project “Leapfrogging markets to high efficiency products (appliances, including lighting, and electrical equipment)”.</w:t>
      </w:r>
    </w:p>
    <w:p w:rsidR="008E1EE1" w:rsidRPr="00666B27" w:rsidRDefault="008E1EE1" w:rsidP="008E1EE1">
      <w:pPr>
        <w:spacing w:after="0"/>
        <w:rPr>
          <w:rFonts w:cs="Calibri"/>
          <w:szCs w:val="20"/>
          <w:lang w:val="en-GB"/>
        </w:rPr>
      </w:pPr>
    </w:p>
    <w:p w:rsidR="008E1EE1" w:rsidRPr="00666B27" w:rsidRDefault="008E1EE1" w:rsidP="008E1EE1">
      <w:pPr>
        <w:spacing w:after="0"/>
        <w:rPr>
          <w:rFonts w:cs="Calibri"/>
          <w:szCs w:val="20"/>
          <w:lang w:val="en-GB"/>
        </w:rPr>
      </w:pPr>
      <w:r w:rsidRPr="00666B27">
        <w:rPr>
          <w:rFonts w:cs="Calibri"/>
          <w:szCs w:val="20"/>
          <w:u w:val="single"/>
          <w:lang w:val="en-GB"/>
        </w:rPr>
        <w:t>Project Implementing Partner</w:t>
      </w:r>
      <w:r w:rsidRPr="00666B27">
        <w:rPr>
          <w:rFonts w:cs="Calibri"/>
          <w:szCs w:val="20"/>
          <w:lang w:val="en-GB"/>
        </w:rPr>
        <w:t xml:space="preserve">:  The Implementing Partner is responsible for providing any and all required information and data necessary for timely, comprehensive and evidence-based project reporting, including results and financial data, as necessary and appropriate. The Implementing Partner will strive to ensure project-level M&amp;E is undertaken by national </w:t>
      </w:r>
      <w:proofErr w:type="gramStart"/>
      <w:r w:rsidRPr="00666B27">
        <w:rPr>
          <w:rFonts w:cs="Calibri"/>
          <w:noProof/>
          <w:szCs w:val="20"/>
          <w:lang w:val="en-GB"/>
        </w:rPr>
        <w:t>institutes,</w:t>
      </w:r>
      <w:r w:rsidRPr="00666B27">
        <w:rPr>
          <w:rFonts w:cs="Calibri"/>
          <w:szCs w:val="20"/>
          <w:lang w:val="en-GB"/>
        </w:rPr>
        <w:t xml:space="preserve"> and</w:t>
      </w:r>
      <w:proofErr w:type="gramEnd"/>
      <w:r w:rsidRPr="00666B27">
        <w:rPr>
          <w:rFonts w:cs="Calibri"/>
          <w:szCs w:val="20"/>
          <w:lang w:val="en-GB"/>
        </w:rPr>
        <w:t xml:space="preserve"> is aligned with national systems so that the data used by and generated by the project supports national systems. </w:t>
      </w:r>
    </w:p>
    <w:p w:rsidR="008E1EE1" w:rsidRPr="00666B27" w:rsidRDefault="008E1EE1" w:rsidP="008E1EE1">
      <w:pPr>
        <w:spacing w:after="0"/>
        <w:rPr>
          <w:rFonts w:cs="Calibri"/>
          <w:szCs w:val="20"/>
          <w:lang w:val="en-GB"/>
        </w:rPr>
      </w:pPr>
    </w:p>
    <w:p w:rsidR="00E0026F" w:rsidRPr="00666B27" w:rsidRDefault="008E1EE1" w:rsidP="00E0026F">
      <w:pPr>
        <w:spacing w:after="0"/>
        <w:rPr>
          <w:lang w:val="en-GB" w:eastAsia="en-GB"/>
        </w:rPr>
      </w:pPr>
      <w:r w:rsidRPr="00666B27">
        <w:rPr>
          <w:rFonts w:cs="Calibri"/>
          <w:szCs w:val="20"/>
          <w:u w:val="single"/>
          <w:lang w:val="en-GB"/>
        </w:rPr>
        <w:t>Implementing Agencies:</w:t>
      </w:r>
      <w:r w:rsidR="00D73107" w:rsidRPr="00666B27">
        <w:rPr>
          <w:rFonts w:cs="Calibri"/>
          <w:szCs w:val="20"/>
          <w:lang w:val="en-GB"/>
        </w:rPr>
        <w:t xml:space="preserve"> </w:t>
      </w:r>
      <w:r w:rsidRPr="00666B27">
        <w:rPr>
          <w:rFonts w:cs="Calibri"/>
          <w:szCs w:val="20"/>
          <w:lang w:val="en-GB"/>
        </w:rPr>
        <w:t>The UNDP Country Office</w:t>
      </w:r>
      <w:r w:rsidR="00D73107" w:rsidRPr="00666B27">
        <w:rPr>
          <w:rFonts w:cs="Calibri"/>
          <w:szCs w:val="20"/>
          <w:lang w:val="en-GB"/>
        </w:rPr>
        <w:t xml:space="preserve"> and DBSA</w:t>
      </w:r>
      <w:r w:rsidRPr="00666B27">
        <w:rPr>
          <w:rFonts w:cs="Calibri"/>
          <w:szCs w:val="20"/>
          <w:lang w:val="en-GB"/>
        </w:rPr>
        <w:t xml:space="preserve"> will support the Project Manager as needed, including through annual supervision missions. The annual supervision missions will take place according to the schedule outlined in the annual work plan. Supervision mission reports will be circulated to the project team and PSC within one month of the mission. The UNDP Country Office and DBSA will initiate and organize key GEF M&amp;E activities including the </w:t>
      </w:r>
      <w:r w:rsidRPr="00666B27">
        <w:rPr>
          <w:rFonts w:cs="Calibri"/>
          <w:i/>
          <w:szCs w:val="20"/>
          <w:lang w:val="en-GB"/>
        </w:rPr>
        <w:t>annual GEF PIR</w:t>
      </w:r>
      <w:r w:rsidRPr="00666B27">
        <w:rPr>
          <w:rFonts w:cs="Calibri"/>
          <w:szCs w:val="20"/>
          <w:lang w:val="en-GB"/>
        </w:rPr>
        <w:t xml:space="preserve">, the </w:t>
      </w:r>
      <w:r w:rsidRPr="00666B27">
        <w:rPr>
          <w:rFonts w:cs="Calibri"/>
          <w:i/>
          <w:szCs w:val="20"/>
          <w:lang w:val="en-GB"/>
        </w:rPr>
        <w:t>independent mid-term review</w:t>
      </w:r>
      <w:r w:rsidRPr="00666B27">
        <w:rPr>
          <w:rFonts w:cs="Calibri"/>
          <w:szCs w:val="20"/>
          <w:lang w:val="en-GB"/>
        </w:rPr>
        <w:t xml:space="preserve"> and the </w:t>
      </w:r>
      <w:r w:rsidRPr="00666B27">
        <w:rPr>
          <w:rFonts w:cs="Calibri"/>
          <w:i/>
          <w:szCs w:val="20"/>
          <w:lang w:val="en-GB"/>
        </w:rPr>
        <w:t>independent terminal evaluation</w:t>
      </w:r>
      <w:r w:rsidRPr="00666B27">
        <w:rPr>
          <w:rFonts w:cs="Calibri"/>
          <w:szCs w:val="20"/>
          <w:lang w:val="en-GB"/>
        </w:rPr>
        <w:t xml:space="preserve">. The </w:t>
      </w:r>
      <w:r w:rsidR="00E0026F" w:rsidRPr="00666B27">
        <w:rPr>
          <w:lang w:val="en-GB" w:eastAsia="en-GB"/>
        </w:rPr>
        <w:t>UNDP Country Office will also ensure that the standard UNDP and GEF M&amp;E requirements are fulfilled to the highest quality in cooperation with DBSA, the other GEF Implementing Agency</w:t>
      </w:r>
    </w:p>
    <w:p w:rsidR="00E0026F" w:rsidRPr="00666B27" w:rsidRDefault="00E0026F" w:rsidP="00E0026F">
      <w:pPr>
        <w:spacing w:after="0"/>
        <w:rPr>
          <w:lang w:val="en-GB" w:eastAsia="en-GB"/>
        </w:rPr>
      </w:pPr>
    </w:p>
    <w:p w:rsidR="008E1EE1" w:rsidRPr="00666B27" w:rsidRDefault="008E1EE1" w:rsidP="00E0026F">
      <w:pPr>
        <w:spacing w:after="0"/>
        <w:rPr>
          <w:b/>
          <w:lang w:val="en-GB" w:eastAsia="en-GB"/>
        </w:rPr>
      </w:pPr>
      <w:r w:rsidRPr="00666B27">
        <w:rPr>
          <w:b/>
          <w:lang w:val="en-GB" w:eastAsia="en-GB"/>
        </w:rPr>
        <w:t>Role of UNDP Country Office and Regional Service Centre</w:t>
      </w:r>
      <w:r w:rsidR="009617F8" w:rsidRPr="00666B27">
        <w:rPr>
          <w:b/>
          <w:lang w:val="en-GB" w:eastAsia="en-GB"/>
        </w:rPr>
        <w:t>:</w:t>
      </w:r>
    </w:p>
    <w:p w:rsidR="008E1EE1" w:rsidRPr="00666B27" w:rsidRDefault="008E1EE1" w:rsidP="00E0026F">
      <w:pPr>
        <w:spacing w:after="0"/>
        <w:rPr>
          <w:lang w:val="en-GB" w:eastAsia="en-GB"/>
        </w:rPr>
      </w:pPr>
    </w:p>
    <w:p w:rsidR="00E0026F" w:rsidRPr="00666B27" w:rsidRDefault="00E0026F" w:rsidP="00E0026F">
      <w:pPr>
        <w:spacing w:after="0"/>
        <w:rPr>
          <w:lang w:val="en-GB" w:eastAsia="en-GB"/>
        </w:rPr>
      </w:pPr>
      <w:r w:rsidRPr="00666B27">
        <w:rPr>
          <w:lang w:val="en-GB" w:eastAsia="en-GB"/>
        </w:rPr>
        <w:t>The</w:t>
      </w:r>
      <w:r w:rsidRPr="00666B27">
        <w:rPr>
          <w:u w:val="single"/>
          <w:lang w:val="en-GB" w:eastAsia="en-GB"/>
        </w:rPr>
        <w:t xml:space="preserve"> UNDP Country Office </w:t>
      </w:r>
      <w:r w:rsidRPr="00666B27">
        <w:rPr>
          <w:lang w:val="en-GB" w:eastAsia="en-GB"/>
        </w:rPr>
        <w:t xml:space="preserve">is responsible for complying with all UNDP project-level M&amp;E requirements as outlined in the </w:t>
      </w:r>
      <w:hyperlink r:id="rId77" w:history="1">
        <w:r w:rsidRPr="00666B27">
          <w:rPr>
            <w:rStyle w:val="Hyperlink"/>
            <w:rFonts w:cs="Calibri"/>
            <w:szCs w:val="20"/>
            <w:lang w:val="en-GB"/>
          </w:rPr>
          <w:t>UNDP POPP</w:t>
        </w:r>
      </w:hyperlink>
      <w:r w:rsidRPr="0057545E">
        <w:rPr>
          <w:rStyle w:val="Hyperlink"/>
          <w:rFonts w:cs="Calibri"/>
          <w:szCs w:val="20"/>
          <w:lang w:val="en-GB"/>
        </w:rPr>
        <w:t>.</w:t>
      </w:r>
      <w:r w:rsidRPr="00353542">
        <w:rPr>
          <w:lang w:val="en-GB" w:eastAsia="en-GB"/>
        </w:rPr>
        <w:t xml:space="preserve"> This includes ensuring</w:t>
      </w:r>
      <w:r w:rsidRPr="003B7D62">
        <w:rPr>
          <w:lang w:val="en-GB" w:eastAsia="en-GB"/>
        </w:rPr>
        <w:t xml:space="preserve"> the UNDP Quality Assurance Assessment during implementation is undertaken annually; that annual targets at the output level are developed, and monitored and reported using UNDP corporate systems; the regular updating of the ATLAS risk log; and, the updati</w:t>
      </w:r>
      <w:r w:rsidRPr="004722F0">
        <w:rPr>
          <w:lang w:val="en-GB" w:eastAsia="en-GB"/>
        </w:rPr>
        <w:t>n</w:t>
      </w:r>
      <w:r w:rsidRPr="00666B27">
        <w:rPr>
          <w:lang w:val="en-GB" w:eastAsia="en-GB"/>
        </w:rPr>
        <w:t xml:space="preserve">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The UNDP Country Office will retain all M&amp;E records for this project for up to seven years after project financial closure to support ex-post evaluations undertaken by the UNDP Independent Evaluation Office (IEO) and/or the GEF Independent Evaluation Office (IEO).  </w:t>
      </w:r>
    </w:p>
    <w:p w:rsidR="00E0026F" w:rsidRPr="00666B27" w:rsidRDefault="00E0026F" w:rsidP="00E0026F">
      <w:pPr>
        <w:spacing w:after="0"/>
        <w:rPr>
          <w:lang w:val="en-GB" w:eastAsia="en-GB"/>
        </w:rPr>
      </w:pPr>
    </w:p>
    <w:p w:rsidR="00E0026F" w:rsidRPr="00666B27" w:rsidRDefault="00E0026F" w:rsidP="0075690B">
      <w:pPr>
        <w:spacing w:after="0"/>
        <w:rPr>
          <w:lang w:val="en-GB" w:eastAsia="en-GB"/>
        </w:rPr>
      </w:pPr>
      <w:r w:rsidRPr="00666B27">
        <w:rPr>
          <w:lang w:val="en-GB" w:eastAsia="en-GB"/>
        </w:rPr>
        <w:t xml:space="preserve">Additional M&amp;E and implementation quality assurance and troubleshooting support will be provided by the </w:t>
      </w:r>
      <w:r w:rsidRPr="00666B27">
        <w:rPr>
          <w:u w:val="single"/>
          <w:lang w:val="en-GB" w:eastAsia="en-GB"/>
        </w:rPr>
        <w:t>UNDP-GEF unit</w:t>
      </w:r>
      <w:r w:rsidRPr="00666B27">
        <w:rPr>
          <w:lang w:val="en-GB" w:eastAsia="en-GB"/>
        </w:rPr>
        <w:t xml:space="preserve">, i.e. the Regional Technical Advisor (based at the Regional Service Centre for Africa in Addis </w:t>
      </w:r>
      <w:r w:rsidR="009617F8" w:rsidRPr="00666B27">
        <w:rPr>
          <w:lang w:val="en-GB" w:eastAsia="en-GB"/>
        </w:rPr>
        <w:t>Ababa</w:t>
      </w:r>
      <w:r w:rsidRPr="00666B27">
        <w:rPr>
          <w:lang w:val="en-GB" w:eastAsia="en-GB"/>
        </w:rPr>
        <w:t xml:space="preserve">) and the UNDP-GEF Directorate (at Headquarters, New York) as needed.  </w:t>
      </w:r>
    </w:p>
    <w:p w:rsidR="00E0026F" w:rsidRPr="00666B27" w:rsidRDefault="00E0026F" w:rsidP="0075690B">
      <w:pPr>
        <w:spacing w:after="0"/>
        <w:rPr>
          <w:lang w:val="en-GB" w:eastAsia="en-GB"/>
        </w:rPr>
      </w:pPr>
    </w:p>
    <w:p w:rsidR="0053408E" w:rsidRPr="00666B27" w:rsidRDefault="0053408E" w:rsidP="0075690B">
      <w:pPr>
        <w:spacing w:after="0"/>
        <w:rPr>
          <w:rFonts w:cs="Calibri"/>
          <w:b/>
          <w:szCs w:val="20"/>
          <w:lang w:val="en-GB"/>
        </w:rPr>
      </w:pPr>
      <w:r w:rsidRPr="00666B27">
        <w:rPr>
          <w:rFonts w:cs="Calibri"/>
          <w:b/>
          <w:szCs w:val="20"/>
          <w:lang w:val="en-GB"/>
        </w:rPr>
        <w:t>GEF monitoring and reporting requirements:</w:t>
      </w:r>
    </w:p>
    <w:p w:rsidR="006A6A9E" w:rsidRPr="00666B27" w:rsidRDefault="006A6A9E" w:rsidP="0075690B">
      <w:pPr>
        <w:spacing w:after="0"/>
        <w:rPr>
          <w:rFonts w:cs="Calibri"/>
          <w:szCs w:val="20"/>
          <w:u w:val="single"/>
          <w:lang w:val="en-GB"/>
        </w:rPr>
      </w:pPr>
    </w:p>
    <w:p w:rsidR="004440C2" w:rsidRPr="00666B27" w:rsidRDefault="0053408E" w:rsidP="0075690B">
      <w:pPr>
        <w:spacing w:after="0"/>
        <w:rPr>
          <w:rFonts w:cs="Calibri"/>
          <w:szCs w:val="20"/>
          <w:lang w:val="en-GB"/>
        </w:rPr>
      </w:pPr>
      <w:r w:rsidRPr="00666B27">
        <w:rPr>
          <w:rFonts w:cs="Calibri"/>
          <w:szCs w:val="20"/>
          <w:u w:val="single"/>
          <w:lang w:val="en-GB"/>
        </w:rPr>
        <w:t>Inception Workshop</w:t>
      </w:r>
      <w:r w:rsidR="005A5CD9" w:rsidRPr="00666B27">
        <w:rPr>
          <w:rFonts w:cs="Calibri"/>
          <w:szCs w:val="20"/>
          <w:u w:val="single"/>
          <w:lang w:val="en-GB"/>
        </w:rPr>
        <w:t xml:space="preserve"> and Report</w:t>
      </w:r>
      <w:r w:rsidRPr="00666B27">
        <w:rPr>
          <w:rFonts w:cs="Calibri"/>
          <w:szCs w:val="20"/>
          <w:lang w:val="en-GB"/>
        </w:rPr>
        <w:t xml:space="preserve">:  A project inception workshop will be held </w:t>
      </w:r>
      <w:r w:rsidR="00CE2AA6" w:rsidRPr="00666B27">
        <w:rPr>
          <w:rFonts w:cs="Calibri"/>
          <w:szCs w:val="20"/>
          <w:lang w:val="en-GB"/>
        </w:rPr>
        <w:t xml:space="preserve">within two months </w:t>
      </w:r>
      <w:r w:rsidRPr="00666B27">
        <w:rPr>
          <w:rFonts w:cs="Calibri"/>
          <w:szCs w:val="20"/>
          <w:lang w:val="en-GB"/>
        </w:rPr>
        <w:t>after the project document has been signed by all relevant parties to</w:t>
      </w:r>
      <w:r w:rsidR="004440C2" w:rsidRPr="00666B27">
        <w:rPr>
          <w:rFonts w:cs="Calibri"/>
          <w:szCs w:val="20"/>
          <w:lang w:val="en-GB"/>
        </w:rPr>
        <w:t>, amongst others</w:t>
      </w:r>
      <w:r w:rsidRPr="00666B27">
        <w:rPr>
          <w:rFonts w:cs="Calibri"/>
          <w:szCs w:val="20"/>
          <w:lang w:val="en-GB"/>
        </w:rPr>
        <w:t xml:space="preserve">:  </w:t>
      </w:r>
    </w:p>
    <w:p w:rsidR="004440C2" w:rsidRPr="00666B27" w:rsidRDefault="0053408E" w:rsidP="0075690B">
      <w:pPr>
        <w:tabs>
          <w:tab w:val="left" w:pos="284"/>
        </w:tabs>
        <w:spacing w:after="0"/>
        <w:ind w:left="284" w:hanging="284"/>
        <w:rPr>
          <w:rFonts w:cs="Calibri"/>
          <w:szCs w:val="20"/>
          <w:lang w:val="en-GB"/>
        </w:rPr>
      </w:pPr>
      <w:r w:rsidRPr="00666B27">
        <w:rPr>
          <w:rFonts w:cs="Calibri"/>
          <w:szCs w:val="20"/>
          <w:lang w:val="en-GB"/>
        </w:rPr>
        <w:t xml:space="preserve">a) </w:t>
      </w:r>
      <w:r w:rsidR="009617F8" w:rsidRPr="00666B27">
        <w:rPr>
          <w:rFonts w:cs="Calibri"/>
          <w:szCs w:val="20"/>
          <w:lang w:val="en-GB"/>
        </w:rPr>
        <w:tab/>
      </w:r>
      <w:r w:rsidR="004440C2" w:rsidRPr="00666B27">
        <w:rPr>
          <w:rFonts w:cs="Calibri"/>
          <w:szCs w:val="20"/>
          <w:lang w:val="en-GB"/>
        </w:rPr>
        <w:t>R</w:t>
      </w:r>
      <w:r w:rsidRPr="00666B27">
        <w:rPr>
          <w:rFonts w:cs="Calibri"/>
          <w:szCs w:val="20"/>
          <w:lang w:val="en-GB"/>
        </w:rPr>
        <w:t>e-orient project stakeholders to the project strategy and discuss any changes in the overall context that influence project</w:t>
      </w:r>
      <w:r w:rsidR="009A0D83" w:rsidRPr="00666B27">
        <w:rPr>
          <w:rFonts w:cs="Calibri"/>
          <w:szCs w:val="20"/>
          <w:lang w:val="en-GB"/>
        </w:rPr>
        <w:t xml:space="preserve"> strategy and</w:t>
      </w:r>
      <w:r w:rsidRPr="00666B27">
        <w:rPr>
          <w:rFonts w:cs="Calibri"/>
          <w:szCs w:val="20"/>
          <w:lang w:val="en-GB"/>
        </w:rPr>
        <w:t xml:space="preserve"> implementation; </w:t>
      </w:r>
    </w:p>
    <w:p w:rsidR="004440C2" w:rsidRPr="00666B27" w:rsidRDefault="004440C2" w:rsidP="0075690B">
      <w:pPr>
        <w:tabs>
          <w:tab w:val="left" w:pos="284"/>
        </w:tabs>
        <w:spacing w:after="0"/>
        <w:ind w:left="284" w:hanging="284"/>
        <w:rPr>
          <w:rFonts w:cs="Calibri"/>
          <w:szCs w:val="20"/>
          <w:lang w:val="en-GB"/>
        </w:rPr>
      </w:pPr>
      <w:r w:rsidRPr="00666B27">
        <w:rPr>
          <w:rFonts w:cs="Calibri"/>
          <w:szCs w:val="20"/>
          <w:lang w:val="en-GB"/>
        </w:rPr>
        <w:t xml:space="preserve">b) </w:t>
      </w:r>
      <w:r w:rsidR="009617F8" w:rsidRPr="00666B27">
        <w:rPr>
          <w:rFonts w:cs="Calibri"/>
          <w:szCs w:val="20"/>
          <w:lang w:val="en-GB"/>
        </w:rPr>
        <w:tab/>
      </w:r>
      <w:r w:rsidRPr="00666B27">
        <w:rPr>
          <w:rFonts w:cs="Calibri"/>
          <w:szCs w:val="20"/>
          <w:lang w:val="en-GB"/>
        </w:rPr>
        <w:t>D</w:t>
      </w:r>
      <w:r w:rsidR="0053408E" w:rsidRPr="00666B27">
        <w:rPr>
          <w:rFonts w:cs="Calibri"/>
          <w:szCs w:val="20"/>
          <w:lang w:val="en-GB"/>
        </w:rPr>
        <w:t xml:space="preserve">iscuss the roles and responsibilities of the project team, including reporting and communication lines and conflict resolution mechanisms; </w:t>
      </w:r>
    </w:p>
    <w:p w:rsidR="004440C2" w:rsidRPr="00666B27" w:rsidRDefault="004440C2" w:rsidP="0075690B">
      <w:pPr>
        <w:tabs>
          <w:tab w:val="left" w:pos="284"/>
        </w:tabs>
        <w:spacing w:after="0"/>
        <w:ind w:left="284" w:hanging="284"/>
        <w:rPr>
          <w:rFonts w:cs="Calibri"/>
          <w:szCs w:val="20"/>
          <w:lang w:val="en-GB"/>
        </w:rPr>
      </w:pPr>
      <w:r w:rsidRPr="00666B27">
        <w:rPr>
          <w:rFonts w:cs="Calibri"/>
          <w:szCs w:val="20"/>
          <w:lang w:val="en-GB"/>
        </w:rPr>
        <w:t xml:space="preserve">c) </w:t>
      </w:r>
      <w:r w:rsidR="009617F8" w:rsidRPr="00666B27">
        <w:rPr>
          <w:rFonts w:cs="Calibri"/>
          <w:szCs w:val="20"/>
          <w:lang w:val="en-GB"/>
        </w:rPr>
        <w:tab/>
      </w:r>
      <w:r w:rsidRPr="00666B27">
        <w:rPr>
          <w:rFonts w:cs="Calibri"/>
          <w:szCs w:val="20"/>
          <w:lang w:val="en-GB"/>
        </w:rPr>
        <w:t>R</w:t>
      </w:r>
      <w:r w:rsidR="0053408E" w:rsidRPr="00666B27">
        <w:rPr>
          <w:rFonts w:cs="Calibri"/>
          <w:szCs w:val="20"/>
          <w:lang w:val="en-GB"/>
        </w:rPr>
        <w:t>eview the results framework and</w:t>
      </w:r>
      <w:r w:rsidR="00CE2AA6" w:rsidRPr="00666B27">
        <w:rPr>
          <w:rFonts w:cs="Calibri"/>
          <w:szCs w:val="20"/>
          <w:lang w:val="en-GB"/>
        </w:rPr>
        <w:t xml:space="preserve"> finalize the indicators, means of verification and monitoring plan</w:t>
      </w:r>
      <w:r w:rsidRPr="00666B27">
        <w:rPr>
          <w:rFonts w:cs="Calibri"/>
          <w:szCs w:val="20"/>
          <w:lang w:val="en-GB"/>
        </w:rPr>
        <w:t>;</w:t>
      </w:r>
      <w:r w:rsidR="0053408E" w:rsidRPr="00666B27">
        <w:rPr>
          <w:rFonts w:cs="Calibri"/>
          <w:szCs w:val="20"/>
          <w:lang w:val="en-GB"/>
        </w:rPr>
        <w:t xml:space="preserve"> </w:t>
      </w:r>
    </w:p>
    <w:p w:rsidR="004440C2" w:rsidRPr="00666B27" w:rsidRDefault="00CE2AA6" w:rsidP="0075690B">
      <w:pPr>
        <w:tabs>
          <w:tab w:val="left" w:pos="284"/>
        </w:tabs>
        <w:spacing w:after="0"/>
        <w:ind w:left="284" w:hanging="284"/>
        <w:rPr>
          <w:rFonts w:cs="Calibri"/>
          <w:szCs w:val="20"/>
          <w:lang w:val="en-GB"/>
        </w:rPr>
      </w:pPr>
      <w:r w:rsidRPr="00666B27">
        <w:rPr>
          <w:rFonts w:cs="Calibri"/>
          <w:szCs w:val="20"/>
          <w:lang w:val="en-GB"/>
        </w:rPr>
        <w:t xml:space="preserve">d) </w:t>
      </w:r>
      <w:r w:rsidR="009617F8" w:rsidRPr="00666B27">
        <w:rPr>
          <w:rFonts w:cs="Calibri"/>
          <w:szCs w:val="20"/>
          <w:lang w:val="en-GB"/>
        </w:rPr>
        <w:tab/>
      </w:r>
      <w:r w:rsidR="004440C2" w:rsidRPr="00666B27">
        <w:rPr>
          <w:rFonts w:cs="Calibri"/>
          <w:szCs w:val="20"/>
          <w:lang w:val="en-GB"/>
        </w:rPr>
        <w:t>D</w:t>
      </w:r>
      <w:r w:rsidR="0053408E" w:rsidRPr="00666B27">
        <w:rPr>
          <w:rFonts w:cs="Calibri"/>
          <w:szCs w:val="20"/>
          <w:lang w:val="en-GB"/>
        </w:rPr>
        <w:t xml:space="preserve">iscuss reporting, monitoring </w:t>
      </w:r>
      <w:r w:rsidR="0053408E" w:rsidRPr="00666B27">
        <w:rPr>
          <w:rFonts w:cs="Calibri"/>
          <w:noProof/>
          <w:szCs w:val="20"/>
          <w:lang w:val="en-GB"/>
        </w:rPr>
        <w:t>and</w:t>
      </w:r>
      <w:r w:rsidR="0053408E" w:rsidRPr="00666B27">
        <w:rPr>
          <w:rFonts w:cs="Calibri"/>
          <w:szCs w:val="20"/>
          <w:lang w:val="en-GB"/>
        </w:rPr>
        <w:t xml:space="preserve"> evaluation roles and responsibilities and finalize the M&amp;E </w:t>
      </w:r>
      <w:r w:rsidRPr="00666B27">
        <w:rPr>
          <w:rFonts w:cs="Calibri"/>
          <w:szCs w:val="20"/>
          <w:lang w:val="en-GB"/>
        </w:rPr>
        <w:t>budget</w:t>
      </w:r>
      <w:r w:rsidR="0053408E" w:rsidRPr="00666B27">
        <w:rPr>
          <w:rFonts w:cs="Calibri"/>
          <w:szCs w:val="20"/>
          <w:lang w:val="en-GB"/>
        </w:rPr>
        <w:t xml:space="preserve">; </w:t>
      </w:r>
      <w:r w:rsidR="009A0D83" w:rsidRPr="00666B27">
        <w:rPr>
          <w:rFonts w:cs="Calibri"/>
          <w:noProof/>
          <w:szCs w:val="20"/>
          <w:lang w:val="en-GB"/>
        </w:rPr>
        <w:t>identify</w:t>
      </w:r>
      <w:r w:rsidR="009A0D83" w:rsidRPr="00666B27">
        <w:rPr>
          <w:rFonts w:cs="Calibri"/>
          <w:szCs w:val="20"/>
          <w:lang w:val="en-GB"/>
        </w:rPr>
        <w:t xml:space="preserve"> national/regional institutes to be involved in project-level M&amp;E; discuss the role of the GEF OFP in M&amp;E;</w:t>
      </w:r>
    </w:p>
    <w:p w:rsidR="00E45EC4" w:rsidRPr="00666B27" w:rsidRDefault="00E45EC4" w:rsidP="0075690B">
      <w:pPr>
        <w:tabs>
          <w:tab w:val="left" w:pos="284"/>
        </w:tabs>
        <w:spacing w:after="0"/>
        <w:ind w:left="284" w:hanging="284"/>
        <w:rPr>
          <w:rFonts w:cs="Calibri"/>
          <w:szCs w:val="20"/>
          <w:lang w:val="en-GB"/>
        </w:rPr>
      </w:pPr>
      <w:r w:rsidRPr="00666B27">
        <w:rPr>
          <w:rFonts w:cs="Calibri"/>
          <w:szCs w:val="20"/>
          <w:lang w:val="en-GB"/>
        </w:rPr>
        <w:t xml:space="preserve">e) </w:t>
      </w:r>
      <w:r w:rsidR="009617F8" w:rsidRPr="00666B27">
        <w:rPr>
          <w:rFonts w:cs="Calibri"/>
          <w:szCs w:val="20"/>
          <w:lang w:val="en-GB"/>
        </w:rPr>
        <w:tab/>
      </w:r>
      <w:r w:rsidRPr="00666B27">
        <w:rPr>
          <w:rFonts w:cs="Calibri"/>
          <w:szCs w:val="20"/>
          <w:lang w:val="en-GB"/>
        </w:rPr>
        <w:t xml:space="preserve">Update and review responsibilities for monitoring the various project plans and strategies, including the risk log; </w:t>
      </w:r>
      <w:r w:rsidR="00BE6F2A" w:rsidRPr="00666B27">
        <w:rPr>
          <w:rFonts w:cs="Calibri"/>
          <w:szCs w:val="20"/>
          <w:lang w:val="en-GB"/>
        </w:rPr>
        <w:t xml:space="preserve">SESP, </w:t>
      </w:r>
      <w:r w:rsidRPr="00666B27">
        <w:rPr>
          <w:rFonts w:cs="Calibri"/>
          <w:szCs w:val="20"/>
          <w:lang w:val="en-GB"/>
        </w:rPr>
        <w:t xml:space="preserve">Environmental and Social Management Plan and other safeguard </w:t>
      </w:r>
      <w:r w:rsidR="00C24F2A" w:rsidRPr="00666B27">
        <w:rPr>
          <w:rFonts w:cs="Calibri"/>
          <w:szCs w:val="20"/>
          <w:lang w:val="en-GB"/>
        </w:rPr>
        <w:t>requirements</w:t>
      </w:r>
      <w:r w:rsidR="00090CD1" w:rsidRPr="00666B27">
        <w:rPr>
          <w:rFonts w:cs="Calibri"/>
          <w:szCs w:val="20"/>
          <w:lang w:val="en-GB"/>
        </w:rPr>
        <w:t xml:space="preserve">; </w:t>
      </w:r>
      <w:r w:rsidR="00BE6F2A" w:rsidRPr="00666B27">
        <w:rPr>
          <w:rFonts w:cs="Calibri"/>
          <w:szCs w:val="20"/>
          <w:lang w:val="en-GB"/>
        </w:rPr>
        <w:t xml:space="preserve">project grievance </w:t>
      </w:r>
      <w:r w:rsidR="00090CD1" w:rsidRPr="00666B27">
        <w:rPr>
          <w:rFonts w:cs="Calibri"/>
          <w:szCs w:val="20"/>
          <w:lang w:val="en-GB"/>
        </w:rPr>
        <w:t>mechanisms</w:t>
      </w:r>
      <w:r w:rsidRPr="00666B27">
        <w:rPr>
          <w:rFonts w:cs="Calibri"/>
          <w:szCs w:val="20"/>
          <w:lang w:val="en-GB"/>
        </w:rPr>
        <w:t>; the gender strategy</w:t>
      </w:r>
      <w:r w:rsidR="00162DAA" w:rsidRPr="00666B27">
        <w:rPr>
          <w:rFonts w:cs="Calibri"/>
          <w:szCs w:val="20"/>
          <w:lang w:val="en-GB"/>
        </w:rPr>
        <w:t>;</w:t>
      </w:r>
      <w:r w:rsidRPr="00666B27">
        <w:rPr>
          <w:rFonts w:cs="Calibri"/>
          <w:szCs w:val="20"/>
          <w:lang w:val="en-GB"/>
        </w:rPr>
        <w:t xml:space="preserve"> the knowledge management strategy</w:t>
      </w:r>
      <w:r w:rsidR="00162DAA" w:rsidRPr="00666B27">
        <w:rPr>
          <w:rFonts w:cs="Calibri"/>
          <w:szCs w:val="20"/>
          <w:lang w:val="en-GB"/>
        </w:rPr>
        <w:t>,</w:t>
      </w:r>
      <w:r w:rsidRPr="00666B27">
        <w:rPr>
          <w:rFonts w:cs="Calibri"/>
          <w:szCs w:val="20"/>
          <w:lang w:val="en-GB"/>
        </w:rPr>
        <w:t xml:space="preserve"> and other relevant strategies; </w:t>
      </w:r>
    </w:p>
    <w:p w:rsidR="004440C2" w:rsidRPr="00666B27" w:rsidRDefault="00E45EC4" w:rsidP="0075690B">
      <w:pPr>
        <w:tabs>
          <w:tab w:val="left" w:pos="284"/>
        </w:tabs>
        <w:spacing w:after="0"/>
        <w:ind w:left="284" w:hanging="284"/>
        <w:rPr>
          <w:rFonts w:cs="Calibri"/>
          <w:szCs w:val="20"/>
          <w:lang w:val="en-GB"/>
        </w:rPr>
      </w:pPr>
      <w:r w:rsidRPr="00666B27">
        <w:rPr>
          <w:rFonts w:cs="Calibri"/>
          <w:szCs w:val="20"/>
          <w:lang w:val="en-GB"/>
        </w:rPr>
        <w:t>f</w:t>
      </w:r>
      <w:r w:rsidR="0053408E" w:rsidRPr="00666B27">
        <w:rPr>
          <w:rFonts w:cs="Calibri"/>
          <w:szCs w:val="20"/>
          <w:lang w:val="en-GB"/>
        </w:rPr>
        <w:t>)</w:t>
      </w:r>
      <w:r w:rsidR="009617F8" w:rsidRPr="00666B27">
        <w:rPr>
          <w:rFonts w:cs="Calibri"/>
          <w:szCs w:val="20"/>
          <w:lang w:val="en-GB"/>
        </w:rPr>
        <w:tab/>
      </w:r>
      <w:r w:rsidR="004440C2" w:rsidRPr="00666B27">
        <w:rPr>
          <w:rFonts w:cs="Calibri"/>
          <w:szCs w:val="20"/>
          <w:lang w:val="en-GB"/>
        </w:rPr>
        <w:t>R</w:t>
      </w:r>
      <w:r w:rsidR="0053408E" w:rsidRPr="00666B27">
        <w:rPr>
          <w:rFonts w:cs="Calibri"/>
          <w:szCs w:val="20"/>
          <w:lang w:val="en-GB"/>
        </w:rPr>
        <w:t xml:space="preserve">eview financial reporting procedures and mandatory requirements, and agree on the arrangements for the annual audit; </w:t>
      </w:r>
      <w:r w:rsidR="004440C2" w:rsidRPr="00666B27">
        <w:rPr>
          <w:rFonts w:cs="Calibri"/>
          <w:szCs w:val="20"/>
          <w:lang w:val="en-GB"/>
        </w:rPr>
        <w:t>and</w:t>
      </w:r>
    </w:p>
    <w:p w:rsidR="004440C2" w:rsidRPr="00666B27" w:rsidRDefault="00E45EC4" w:rsidP="0075690B">
      <w:pPr>
        <w:tabs>
          <w:tab w:val="left" w:pos="284"/>
        </w:tabs>
        <w:spacing w:after="0"/>
        <w:ind w:left="284" w:hanging="284"/>
        <w:rPr>
          <w:rFonts w:cs="Calibri"/>
          <w:szCs w:val="20"/>
          <w:lang w:val="en-GB"/>
        </w:rPr>
      </w:pPr>
      <w:r w:rsidRPr="00666B27">
        <w:rPr>
          <w:rFonts w:cs="Calibri"/>
          <w:szCs w:val="20"/>
          <w:lang w:val="en-GB"/>
        </w:rPr>
        <w:t>g</w:t>
      </w:r>
      <w:r w:rsidR="004440C2" w:rsidRPr="00666B27">
        <w:rPr>
          <w:rFonts w:cs="Calibri"/>
          <w:szCs w:val="20"/>
          <w:lang w:val="en-GB"/>
        </w:rPr>
        <w:t>)</w:t>
      </w:r>
      <w:r w:rsidR="0053408E" w:rsidRPr="00666B27">
        <w:rPr>
          <w:rFonts w:cs="Calibri"/>
          <w:szCs w:val="20"/>
          <w:lang w:val="en-GB"/>
        </w:rPr>
        <w:t xml:space="preserve"> </w:t>
      </w:r>
      <w:r w:rsidR="009617F8" w:rsidRPr="00666B27">
        <w:rPr>
          <w:rFonts w:cs="Calibri"/>
          <w:szCs w:val="20"/>
          <w:lang w:val="en-GB"/>
        </w:rPr>
        <w:tab/>
      </w:r>
      <w:r w:rsidR="004440C2" w:rsidRPr="00666B27">
        <w:rPr>
          <w:rFonts w:cs="Calibri"/>
          <w:szCs w:val="20"/>
          <w:lang w:val="en-GB"/>
        </w:rPr>
        <w:t>P</w:t>
      </w:r>
      <w:r w:rsidR="0053408E" w:rsidRPr="00666B27">
        <w:rPr>
          <w:rFonts w:cs="Calibri"/>
          <w:szCs w:val="20"/>
          <w:lang w:val="en-GB"/>
        </w:rPr>
        <w:t xml:space="preserve">lan and schedule </w:t>
      </w:r>
      <w:r w:rsidR="009617F8" w:rsidRPr="00666B27">
        <w:rPr>
          <w:rFonts w:cs="Calibri"/>
          <w:szCs w:val="20"/>
          <w:lang w:val="en-GB"/>
        </w:rPr>
        <w:t>PSC meetings and finalize the first-</w:t>
      </w:r>
      <w:r w:rsidR="0053408E" w:rsidRPr="00666B27">
        <w:rPr>
          <w:rFonts w:cs="Calibri"/>
          <w:szCs w:val="20"/>
          <w:lang w:val="en-GB"/>
        </w:rPr>
        <w:t>year annual work plan</w:t>
      </w:r>
      <w:r w:rsidR="009617F8" w:rsidRPr="00666B27">
        <w:rPr>
          <w:rFonts w:cs="Calibri"/>
          <w:szCs w:val="20"/>
          <w:lang w:val="en-GB"/>
        </w:rPr>
        <w:t xml:space="preserve"> (</w:t>
      </w:r>
      <w:r w:rsidR="009617F8" w:rsidRPr="00666B27">
        <w:rPr>
          <w:rFonts w:cs="Calibri"/>
          <w:noProof/>
          <w:szCs w:val="20"/>
          <w:lang w:val="en-GB"/>
        </w:rPr>
        <w:t>FYAWP</w:t>
      </w:r>
      <w:r w:rsidR="009617F8" w:rsidRPr="00666B27">
        <w:rPr>
          <w:rFonts w:cs="Calibri"/>
          <w:szCs w:val="20"/>
          <w:lang w:val="en-GB"/>
        </w:rPr>
        <w:t>)</w:t>
      </w:r>
      <w:r w:rsidR="0053408E" w:rsidRPr="00666B27">
        <w:rPr>
          <w:rFonts w:cs="Calibri"/>
          <w:szCs w:val="20"/>
          <w:lang w:val="en-GB"/>
        </w:rPr>
        <w:t xml:space="preserve">.  </w:t>
      </w:r>
    </w:p>
    <w:p w:rsidR="00162DAA" w:rsidRPr="00666B27" w:rsidRDefault="00162DAA" w:rsidP="0075690B">
      <w:pPr>
        <w:spacing w:after="0"/>
        <w:rPr>
          <w:rFonts w:cs="Calibri"/>
          <w:szCs w:val="20"/>
          <w:lang w:val="en-GB"/>
        </w:rPr>
      </w:pPr>
    </w:p>
    <w:p w:rsidR="0053408E" w:rsidRPr="00666B27" w:rsidRDefault="0053408E" w:rsidP="0075690B">
      <w:pPr>
        <w:spacing w:after="0"/>
        <w:rPr>
          <w:rFonts w:cs="Calibri"/>
          <w:szCs w:val="20"/>
          <w:lang w:val="en-GB"/>
        </w:rPr>
      </w:pPr>
      <w:r w:rsidRPr="00666B27">
        <w:rPr>
          <w:rFonts w:cs="Calibri"/>
          <w:szCs w:val="20"/>
          <w:lang w:val="en-GB"/>
        </w:rPr>
        <w:lastRenderedPageBreak/>
        <w:t>The Project Manager will prepare the inception report no later than one month after the inception workshop. The inceptio</w:t>
      </w:r>
      <w:r w:rsidR="009617F8" w:rsidRPr="00666B27">
        <w:rPr>
          <w:rFonts w:cs="Calibri"/>
          <w:szCs w:val="20"/>
          <w:lang w:val="en-GB"/>
        </w:rPr>
        <w:t xml:space="preserve">n report will be cleared by DBSA, </w:t>
      </w:r>
      <w:r w:rsidRPr="00666B27">
        <w:rPr>
          <w:rFonts w:cs="Calibri"/>
          <w:szCs w:val="20"/>
          <w:lang w:val="en-GB"/>
        </w:rPr>
        <w:t>UNDP</w:t>
      </w:r>
      <w:r w:rsidR="009617F8" w:rsidRPr="00666B27">
        <w:rPr>
          <w:rFonts w:cs="Calibri"/>
          <w:szCs w:val="20"/>
          <w:lang w:val="en-GB"/>
        </w:rPr>
        <w:t xml:space="preserve"> (</w:t>
      </w:r>
      <w:r w:rsidRPr="00666B27">
        <w:rPr>
          <w:rFonts w:cs="Calibri"/>
          <w:szCs w:val="20"/>
          <w:lang w:val="en-GB"/>
        </w:rPr>
        <w:t>Country Office and the UNDP</w:t>
      </w:r>
      <w:r w:rsidR="009617F8" w:rsidRPr="00666B27">
        <w:rPr>
          <w:rFonts w:cs="Calibri"/>
          <w:szCs w:val="20"/>
          <w:lang w:val="en-GB"/>
        </w:rPr>
        <w:t>-GEF Regional Technical Adviser)</w:t>
      </w:r>
      <w:r w:rsidRPr="00666B27">
        <w:rPr>
          <w:rFonts w:cs="Calibri"/>
          <w:szCs w:val="20"/>
          <w:lang w:val="en-GB"/>
        </w:rPr>
        <w:t xml:space="preserve"> and will b</w:t>
      </w:r>
      <w:r w:rsidR="009617F8" w:rsidRPr="00666B27">
        <w:rPr>
          <w:rFonts w:cs="Calibri"/>
          <w:szCs w:val="20"/>
          <w:lang w:val="en-GB"/>
        </w:rPr>
        <w:t xml:space="preserve">e approved by the PSC. </w:t>
      </w:r>
      <w:r w:rsidRPr="00666B27">
        <w:rPr>
          <w:rFonts w:cs="Calibri"/>
          <w:szCs w:val="20"/>
          <w:lang w:val="en-GB"/>
        </w:rPr>
        <w:t xml:space="preserve"> </w:t>
      </w:r>
    </w:p>
    <w:p w:rsidR="0053408E" w:rsidRPr="00666B27" w:rsidRDefault="0053408E" w:rsidP="0075690B">
      <w:pPr>
        <w:autoSpaceDE w:val="0"/>
        <w:autoSpaceDN w:val="0"/>
        <w:adjustRightInd w:val="0"/>
        <w:spacing w:after="0"/>
        <w:rPr>
          <w:color w:val="000000"/>
          <w:szCs w:val="20"/>
          <w:lang w:val="en-GB"/>
        </w:rPr>
      </w:pPr>
    </w:p>
    <w:p w:rsidR="0053408E" w:rsidRPr="00666B27" w:rsidRDefault="0053408E" w:rsidP="0075690B">
      <w:pPr>
        <w:pStyle w:val="NormalWeb"/>
        <w:spacing w:before="0" w:beforeAutospacing="0" w:after="0" w:afterAutospacing="0"/>
        <w:rPr>
          <w:rFonts w:ascii="Calibri" w:hAnsi="Calibri" w:cs="Calibri"/>
          <w:sz w:val="20"/>
          <w:szCs w:val="20"/>
          <w:lang w:val="en-GB"/>
        </w:rPr>
      </w:pPr>
      <w:r w:rsidRPr="00666B27">
        <w:rPr>
          <w:rFonts w:ascii="Calibri" w:hAnsi="Calibri" w:cs="Calibri"/>
          <w:sz w:val="20"/>
          <w:szCs w:val="20"/>
          <w:u w:val="single"/>
          <w:lang w:val="en-GB"/>
        </w:rPr>
        <w:t>GEF Project Implementation Report (PIR</w:t>
      </w:r>
      <w:r w:rsidRPr="00666B27">
        <w:rPr>
          <w:rFonts w:ascii="Calibri" w:hAnsi="Calibri" w:cs="Calibri"/>
          <w:sz w:val="20"/>
          <w:szCs w:val="20"/>
          <w:lang w:val="en-GB"/>
        </w:rPr>
        <w:t xml:space="preserve">):  The Project Manager, </w:t>
      </w:r>
      <w:r w:rsidR="009617F8" w:rsidRPr="00666B27">
        <w:rPr>
          <w:rFonts w:ascii="Calibri" w:hAnsi="Calibri" w:cs="Calibri"/>
          <w:sz w:val="20"/>
          <w:szCs w:val="20"/>
          <w:lang w:val="en-GB"/>
        </w:rPr>
        <w:t>DBSA</w:t>
      </w:r>
      <w:r w:rsidR="00264BC5">
        <w:rPr>
          <w:rFonts w:ascii="Calibri" w:hAnsi="Calibri" w:cs="Calibri"/>
          <w:sz w:val="20"/>
          <w:szCs w:val="20"/>
          <w:lang w:val="en-GB"/>
        </w:rPr>
        <w:t xml:space="preserve"> and </w:t>
      </w:r>
      <w:r w:rsidRPr="00666B27">
        <w:rPr>
          <w:rFonts w:ascii="Calibri" w:hAnsi="Calibri" w:cs="Calibri"/>
          <w:sz w:val="20"/>
          <w:szCs w:val="20"/>
          <w:lang w:val="en-GB"/>
        </w:rPr>
        <w:t xml:space="preserve">UNDP </w:t>
      </w:r>
      <w:r w:rsidR="00264BC5">
        <w:rPr>
          <w:rFonts w:ascii="Calibri" w:hAnsi="Calibri" w:cs="Calibri"/>
          <w:sz w:val="20"/>
          <w:szCs w:val="20"/>
          <w:lang w:val="en-GB"/>
        </w:rPr>
        <w:t>(</w:t>
      </w:r>
      <w:r w:rsidRPr="00666B27">
        <w:rPr>
          <w:rFonts w:ascii="Calibri" w:hAnsi="Calibri" w:cs="Calibri"/>
          <w:sz w:val="20"/>
          <w:szCs w:val="20"/>
          <w:lang w:val="en-GB"/>
        </w:rPr>
        <w:t xml:space="preserve">Country </w:t>
      </w:r>
      <w:r w:rsidRPr="00666B27">
        <w:rPr>
          <w:rFonts w:ascii="Calibri" w:hAnsi="Calibri" w:cs="Calibri"/>
          <w:noProof/>
          <w:sz w:val="20"/>
          <w:szCs w:val="20"/>
          <w:lang w:val="en-GB"/>
        </w:rPr>
        <w:t>Office</w:t>
      </w:r>
      <w:r w:rsidRPr="00666B27">
        <w:rPr>
          <w:rFonts w:ascii="Calibri" w:hAnsi="Calibri" w:cs="Calibri"/>
          <w:sz w:val="20"/>
          <w:szCs w:val="20"/>
          <w:lang w:val="en-GB"/>
        </w:rPr>
        <w:t xml:space="preserve"> and the UNDP-GEF Regional Technical Advisor</w:t>
      </w:r>
      <w:r w:rsidR="00264BC5">
        <w:rPr>
          <w:rFonts w:ascii="Calibri" w:hAnsi="Calibri" w:cs="Calibri"/>
          <w:sz w:val="20"/>
          <w:szCs w:val="20"/>
          <w:lang w:val="en-GB"/>
        </w:rPr>
        <w:t>)</w:t>
      </w:r>
      <w:r w:rsidRPr="00666B27">
        <w:rPr>
          <w:rFonts w:ascii="Calibri" w:hAnsi="Calibri" w:cs="Calibri"/>
          <w:sz w:val="20"/>
          <w:szCs w:val="20"/>
          <w:lang w:val="en-GB"/>
        </w:rPr>
        <w:t xml:space="preserve"> will provide objective input to the annual GEF PIR covering the reporting period July (previous year) to June (current year) for each</w:t>
      </w:r>
      <w:r w:rsidR="009A0D83" w:rsidRPr="00666B27">
        <w:rPr>
          <w:rFonts w:ascii="Calibri" w:hAnsi="Calibri" w:cs="Calibri"/>
          <w:sz w:val="20"/>
          <w:szCs w:val="20"/>
          <w:lang w:val="en-GB"/>
        </w:rPr>
        <w:t xml:space="preserve"> year of project implementation. </w:t>
      </w:r>
      <w:r w:rsidRPr="00666B27">
        <w:rPr>
          <w:rFonts w:ascii="Calibri" w:hAnsi="Calibri" w:cs="Calibri"/>
          <w:sz w:val="20"/>
          <w:szCs w:val="20"/>
          <w:lang w:val="en-GB"/>
        </w:rPr>
        <w:t xml:space="preserve">The Project Manager will ensure that the indicators included in the project results framework are monitored annually </w:t>
      </w:r>
      <w:r w:rsidR="00C24F2A" w:rsidRPr="00666B27">
        <w:rPr>
          <w:rFonts w:ascii="Calibri" w:hAnsi="Calibri" w:cs="Calibri"/>
          <w:sz w:val="20"/>
          <w:szCs w:val="20"/>
          <w:lang w:val="en-GB"/>
        </w:rPr>
        <w:t>in advance of the PIR submission deadline so that progress can be reported i</w:t>
      </w:r>
      <w:r w:rsidR="00DC1BE4" w:rsidRPr="00666B27">
        <w:rPr>
          <w:rFonts w:ascii="Calibri" w:hAnsi="Calibri" w:cs="Calibri"/>
          <w:sz w:val="20"/>
          <w:szCs w:val="20"/>
          <w:lang w:val="en-GB"/>
        </w:rPr>
        <w:t>n the PIR</w:t>
      </w:r>
      <w:r w:rsidRPr="00666B27">
        <w:rPr>
          <w:rFonts w:ascii="Calibri" w:hAnsi="Calibri" w:cs="Calibri"/>
          <w:sz w:val="20"/>
          <w:szCs w:val="20"/>
          <w:lang w:val="en-GB"/>
        </w:rPr>
        <w:t xml:space="preserve">. </w:t>
      </w:r>
      <w:r w:rsidR="009B2545" w:rsidRPr="00666B27">
        <w:rPr>
          <w:rFonts w:ascii="Calibri" w:hAnsi="Calibri" w:cs="Calibri"/>
          <w:sz w:val="20"/>
          <w:szCs w:val="20"/>
          <w:lang w:val="en-GB"/>
        </w:rPr>
        <w:t xml:space="preserve">Any environmental and social risks and related management plans will be monitored regularly, and progress will be reported in the PIR. </w:t>
      </w:r>
      <w:r w:rsidR="0075690B" w:rsidRPr="00666B27">
        <w:rPr>
          <w:rFonts w:ascii="Calibri" w:hAnsi="Calibri" w:cs="Calibri"/>
          <w:sz w:val="20"/>
          <w:szCs w:val="20"/>
          <w:lang w:val="en-GB"/>
        </w:rPr>
        <w:t xml:space="preserve"> </w:t>
      </w:r>
      <w:r w:rsidRPr="00666B27">
        <w:rPr>
          <w:rFonts w:ascii="Calibri" w:hAnsi="Calibri" w:cs="Calibri"/>
          <w:sz w:val="20"/>
          <w:szCs w:val="20"/>
          <w:lang w:val="en-GB"/>
        </w:rPr>
        <w:t xml:space="preserve">The PIR submitted to the GEF </w:t>
      </w:r>
      <w:r w:rsidR="00C24F2A" w:rsidRPr="00666B27">
        <w:rPr>
          <w:rFonts w:ascii="Calibri" w:hAnsi="Calibri" w:cs="Calibri"/>
          <w:sz w:val="20"/>
          <w:szCs w:val="20"/>
          <w:lang w:val="en-GB"/>
        </w:rPr>
        <w:t xml:space="preserve">will be shared with the </w:t>
      </w:r>
      <w:r w:rsidRPr="00666B27">
        <w:rPr>
          <w:rFonts w:ascii="Calibri" w:hAnsi="Calibri" w:cs="Calibri"/>
          <w:sz w:val="20"/>
          <w:szCs w:val="20"/>
          <w:lang w:val="en-GB"/>
        </w:rPr>
        <w:t>P</w:t>
      </w:r>
      <w:r w:rsidR="009617F8" w:rsidRPr="00666B27">
        <w:rPr>
          <w:rFonts w:ascii="Calibri" w:hAnsi="Calibri" w:cs="Calibri"/>
          <w:sz w:val="20"/>
          <w:szCs w:val="20"/>
          <w:lang w:val="en-GB"/>
        </w:rPr>
        <w:t>SC</w:t>
      </w:r>
      <w:r w:rsidRPr="00666B27">
        <w:rPr>
          <w:rFonts w:ascii="Calibri" w:hAnsi="Calibri" w:cs="Calibri"/>
          <w:sz w:val="20"/>
          <w:szCs w:val="20"/>
          <w:lang w:val="en-GB"/>
        </w:rPr>
        <w:t xml:space="preserve">. </w:t>
      </w:r>
      <w:r w:rsidR="009617F8" w:rsidRPr="00666B27">
        <w:rPr>
          <w:rFonts w:ascii="Calibri" w:hAnsi="Calibri" w:cs="Calibri"/>
          <w:sz w:val="20"/>
          <w:szCs w:val="20"/>
          <w:lang w:val="en-GB"/>
        </w:rPr>
        <w:t>DBSA and t</w:t>
      </w:r>
      <w:r w:rsidRPr="00666B27">
        <w:rPr>
          <w:rFonts w:ascii="Calibri" w:hAnsi="Calibri" w:cs="Calibri"/>
          <w:sz w:val="20"/>
          <w:szCs w:val="20"/>
          <w:lang w:val="en-GB"/>
        </w:rPr>
        <w:t>he UNDP Country Office will coordinate the input of the GEF Operational Focal Point and other stakeholders to the PIR</w:t>
      </w:r>
      <w:r w:rsidR="00B13428" w:rsidRPr="00666B27">
        <w:rPr>
          <w:rFonts w:ascii="Calibri" w:hAnsi="Calibri" w:cs="Calibri"/>
          <w:sz w:val="20"/>
          <w:szCs w:val="20"/>
          <w:lang w:val="en-GB"/>
        </w:rPr>
        <w:t xml:space="preserve"> as appropriate</w:t>
      </w:r>
      <w:r w:rsidR="009A0D83" w:rsidRPr="00666B27">
        <w:rPr>
          <w:rFonts w:ascii="Calibri" w:hAnsi="Calibri" w:cs="Calibri"/>
          <w:sz w:val="20"/>
          <w:szCs w:val="20"/>
          <w:lang w:val="en-GB"/>
        </w:rPr>
        <w:t xml:space="preserve">. </w:t>
      </w:r>
      <w:r w:rsidRPr="00666B27">
        <w:rPr>
          <w:rFonts w:ascii="Calibri" w:hAnsi="Calibri" w:cs="Calibri"/>
          <w:sz w:val="20"/>
          <w:szCs w:val="20"/>
          <w:lang w:val="en-GB"/>
        </w:rPr>
        <w:t xml:space="preserve">The quality rating of the previous year’s PIR will be used to inform the preparation of the </w:t>
      </w:r>
      <w:r w:rsidR="00E114E5" w:rsidRPr="00666B27">
        <w:rPr>
          <w:rFonts w:ascii="Calibri" w:hAnsi="Calibri" w:cs="Calibri"/>
          <w:sz w:val="20"/>
          <w:szCs w:val="20"/>
          <w:lang w:val="en-GB"/>
        </w:rPr>
        <w:t>subsequent</w:t>
      </w:r>
      <w:r w:rsidRPr="00666B27">
        <w:rPr>
          <w:rFonts w:ascii="Calibri" w:hAnsi="Calibri" w:cs="Calibri"/>
          <w:sz w:val="20"/>
          <w:szCs w:val="20"/>
          <w:lang w:val="en-GB"/>
        </w:rPr>
        <w:t xml:space="preserve"> PIR.  </w:t>
      </w:r>
    </w:p>
    <w:p w:rsidR="001E6563" w:rsidRPr="00666B27" w:rsidRDefault="001E6563" w:rsidP="0075690B">
      <w:pPr>
        <w:pStyle w:val="NormalWeb"/>
        <w:spacing w:before="0" w:beforeAutospacing="0" w:after="0" w:afterAutospacing="0"/>
        <w:rPr>
          <w:rFonts w:ascii="Calibri" w:hAnsi="Calibri" w:cs="Calibri"/>
          <w:sz w:val="20"/>
          <w:szCs w:val="20"/>
          <w:u w:val="single"/>
          <w:lang w:val="en-GB"/>
        </w:rPr>
      </w:pPr>
    </w:p>
    <w:p w:rsidR="001E6563" w:rsidRPr="00666B27" w:rsidRDefault="001E6563" w:rsidP="0075690B">
      <w:pPr>
        <w:pStyle w:val="NormalWeb"/>
        <w:spacing w:before="0" w:beforeAutospacing="0" w:after="0" w:afterAutospacing="0"/>
        <w:rPr>
          <w:rFonts w:ascii="Calibri" w:hAnsi="Calibri" w:cs="Calibri"/>
          <w:sz w:val="20"/>
          <w:szCs w:val="20"/>
          <w:lang w:val="en-GB"/>
        </w:rPr>
      </w:pPr>
      <w:r w:rsidRPr="00666B27">
        <w:rPr>
          <w:rFonts w:ascii="Calibri" w:hAnsi="Calibri" w:cs="Calibri"/>
          <w:sz w:val="20"/>
          <w:szCs w:val="20"/>
          <w:u w:val="single"/>
          <w:lang w:val="en-GB"/>
        </w:rPr>
        <w:t>Lessons learned and knowledge generation</w:t>
      </w:r>
      <w:r w:rsidRPr="00666B27">
        <w:rPr>
          <w:rFonts w:ascii="Calibri" w:hAnsi="Calibri" w:cs="Calibri"/>
          <w:sz w:val="20"/>
          <w:szCs w:val="20"/>
          <w:lang w:val="en-GB"/>
        </w:rPr>
        <w:t>:  Results from the project will be disseminated within and beyond the project intervention area through existing informatio</w:t>
      </w:r>
      <w:r w:rsidR="00F21E1A" w:rsidRPr="00666B27">
        <w:rPr>
          <w:rFonts w:ascii="Calibri" w:hAnsi="Calibri" w:cs="Calibri"/>
          <w:sz w:val="20"/>
          <w:szCs w:val="20"/>
          <w:lang w:val="en-GB"/>
        </w:rPr>
        <w:t xml:space="preserve">n sharing networks and forums. </w:t>
      </w:r>
      <w:r w:rsidRPr="00666B27">
        <w:rPr>
          <w:rFonts w:ascii="Calibri" w:hAnsi="Calibri" w:cs="Calibri"/>
          <w:sz w:val="20"/>
          <w:szCs w:val="20"/>
          <w:lang w:val="en-GB"/>
        </w:rPr>
        <w:t>The project will identify and participate, as relevant and appropriate, in scientific, policy-based and/or any other networks, which may</w:t>
      </w:r>
      <w:r w:rsidR="0029674B" w:rsidRPr="00666B27">
        <w:rPr>
          <w:rFonts w:ascii="Calibri" w:hAnsi="Calibri" w:cs="Calibri"/>
          <w:sz w:val="20"/>
          <w:szCs w:val="20"/>
          <w:lang w:val="en-GB"/>
        </w:rPr>
        <w:t xml:space="preserve"> be of benefit to the project. </w:t>
      </w:r>
      <w:r w:rsidRPr="00666B27">
        <w:rPr>
          <w:rFonts w:ascii="Calibri" w:hAnsi="Calibri" w:cs="Calibri"/>
          <w:sz w:val="20"/>
          <w:szCs w:val="20"/>
          <w:lang w:val="en-GB"/>
        </w:rPr>
        <w:t xml:space="preserve">The project will identify, </w:t>
      </w:r>
      <w:r w:rsidRPr="00666B27">
        <w:rPr>
          <w:rFonts w:ascii="Calibri" w:hAnsi="Calibri" w:cs="Calibri"/>
          <w:noProof/>
          <w:sz w:val="20"/>
          <w:szCs w:val="20"/>
          <w:lang w:val="en-GB"/>
        </w:rPr>
        <w:t>analyse</w:t>
      </w:r>
      <w:r w:rsidRPr="00666B27">
        <w:rPr>
          <w:rFonts w:ascii="Calibri" w:hAnsi="Calibri" w:cs="Calibri"/>
          <w:sz w:val="20"/>
          <w:szCs w:val="20"/>
          <w:lang w:val="en-GB"/>
        </w:rPr>
        <w:t xml:space="preserve"> and share lessons learned that might be beneficial to the </w:t>
      </w:r>
      <w:r w:rsidR="003C290D" w:rsidRPr="00666B27">
        <w:rPr>
          <w:rFonts w:ascii="Calibri" w:hAnsi="Calibri" w:cs="Calibri"/>
          <w:sz w:val="20"/>
          <w:szCs w:val="20"/>
          <w:lang w:val="en-GB"/>
        </w:rPr>
        <w:t>design</w:t>
      </w:r>
      <w:r w:rsidRPr="00666B27">
        <w:rPr>
          <w:rFonts w:ascii="Calibri" w:hAnsi="Calibri" w:cs="Calibri"/>
          <w:sz w:val="20"/>
          <w:szCs w:val="20"/>
          <w:lang w:val="en-GB"/>
        </w:rPr>
        <w:t xml:space="preserve"> and implementation of similar projects</w:t>
      </w:r>
      <w:r w:rsidR="0029674B" w:rsidRPr="00666B27">
        <w:rPr>
          <w:rFonts w:ascii="Calibri" w:hAnsi="Calibri" w:cs="Calibri"/>
          <w:sz w:val="20"/>
          <w:szCs w:val="20"/>
          <w:lang w:val="en-GB"/>
        </w:rPr>
        <w:t xml:space="preserve"> and </w:t>
      </w:r>
      <w:r w:rsidR="00D31041" w:rsidRPr="00666B27">
        <w:rPr>
          <w:rFonts w:ascii="Calibri" w:hAnsi="Calibri" w:cs="Calibri"/>
          <w:sz w:val="20"/>
          <w:szCs w:val="20"/>
          <w:lang w:val="en-GB"/>
        </w:rPr>
        <w:t xml:space="preserve">disseminate </w:t>
      </w:r>
      <w:r w:rsidR="0029674B" w:rsidRPr="00666B27">
        <w:rPr>
          <w:rFonts w:ascii="Calibri" w:hAnsi="Calibri" w:cs="Calibri"/>
          <w:sz w:val="20"/>
          <w:szCs w:val="20"/>
          <w:lang w:val="en-GB"/>
        </w:rPr>
        <w:t>these lessons widely</w:t>
      </w:r>
      <w:r w:rsidRPr="00666B27">
        <w:rPr>
          <w:rFonts w:ascii="Calibri" w:hAnsi="Calibri" w:cs="Calibri"/>
          <w:sz w:val="20"/>
          <w:szCs w:val="20"/>
          <w:lang w:val="en-GB"/>
        </w:rPr>
        <w:t>. There will be</w:t>
      </w:r>
      <w:r w:rsidR="00D31041" w:rsidRPr="00666B27">
        <w:rPr>
          <w:rFonts w:ascii="Calibri" w:hAnsi="Calibri" w:cs="Calibri"/>
          <w:sz w:val="20"/>
          <w:szCs w:val="20"/>
          <w:lang w:val="en-GB"/>
        </w:rPr>
        <w:t xml:space="preserve"> continuous i</w:t>
      </w:r>
      <w:r w:rsidRPr="00666B27">
        <w:rPr>
          <w:rFonts w:ascii="Calibri" w:hAnsi="Calibri" w:cs="Calibri"/>
          <w:sz w:val="20"/>
          <w:szCs w:val="20"/>
          <w:lang w:val="en-GB"/>
        </w:rPr>
        <w:t xml:space="preserve">nformation </w:t>
      </w:r>
      <w:r w:rsidR="00D31041" w:rsidRPr="00666B27">
        <w:rPr>
          <w:rFonts w:ascii="Calibri" w:hAnsi="Calibri" w:cs="Calibri"/>
          <w:sz w:val="20"/>
          <w:szCs w:val="20"/>
          <w:lang w:val="en-GB"/>
        </w:rPr>
        <w:t xml:space="preserve">exchange </w:t>
      </w:r>
      <w:r w:rsidRPr="00666B27">
        <w:rPr>
          <w:rFonts w:ascii="Calibri" w:hAnsi="Calibri" w:cs="Calibri"/>
          <w:sz w:val="20"/>
          <w:szCs w:val="20"/>
          <w:lang w:val="en-GB"/>
        </w:rPr>
        <w:t>between this project and other projects</w:t>
      </w:r>
      <w:r w:rsidR="00E45EC4" w:rsidRPr="00666B27">
        <w:rPr>
          <w:rFonts w:ascii="Calibri" w:hAnsi="Calibri" w:cs="Calibri"/>
          <w:sz w:val="20"/>
          <w:szCs w:val="20"/>
          <w:lang w:val="en-GB"/>
        </w:rPr>
        <w:t xml:space="preserve"> </w:t>
      </w:r>
      <w:r w:rsidRPr="00666B27">
        <w:rPr>
          <w:rFonts w:ascii="Calibri" w:hAnsi="Calibri" w:cs="Calibri"/>
          <w:sz w:val="20"/>
          <w:szCs w:val="20"/>
          <w:lang w:val="en-GB"/>
        </w:rPr>
        <w:t>of similar focus in the same country, region and globally.</w:t>
      </w:r>
    </w:p>
    <w:p w:rsidR="001E6563" w:rsidRPr="00666B27" w:rsidRDefault="001E6563" w:rsidP="0075690B">
      <w:pPr>
        <w:pStyle w:val="NormalWeb"/>
        <w:spacing w:before="0" w:beforeAutospacing="0" w:after="0" w:afterAutospacing="0"/>
        <w:rPr>
          <w:rFonts w:ascii="Calibri" w:hAnsi="Calibri" w:cs="Calibri"/>
          <w:sz w:val="20"/>
          <w:szCs w:val="20"/>
          <w:u w:val="single"/>
          <w:lang w:val="en-GB"/>
        </w:rPr>
      </w:pPr>
    </w:p>
    <w:p w:rsidR="0027234E" w:rsidRPr="0003763F" w:rsidRDefault="0027234E" w:rsidP="0027234E">
      <w:pPr>
        <w:pStyle w:val="NormalWeb"/>
        <w:spacing w:before="0" w:beforeAutospacing="0" w:after="0" w:afterAutospacing="0"/>
        <w:rPr>
          <w:rFonts w:ascii="Calibri" w:hAnsi="Calibri" w:cs="Calibri"/>
          <w:sz w:val="20"/>
          <w:szCs w:val="20"/>
          <w:lang w:val="en-GB"/>
        </w:rPr>
      </w:pPr>
      <w:r w:rsidRPr="0003763F">
        <w:rPr>
          <w:rFonts w:ascii="Calibri" w:hAnsi="Calibri" w:cs="Calibri"/>
          <w:sz w:val="20"/>
          <w:szCs w:val="20"/>
          <w:u w:val="single"/>
          <w:lang w:val="en-GB"/>
        </w:rPr>
        <w:t>GEF</w:t>
      </w:r>
      <w:r>
        <w:rPr>
          <w:rFonts w:ascii="Calibri" w:hAnsi="Calibri" w:cs="Calibri"/>
          <w:sz w:val="20"/>
          <w:szCs w:val="20"/>
          <w:u w:val="single"/>
          <w:lang w:val="en-GB"/>
        </w:rPr>
        <w:t>-7</w:t>
      </w:r>
      <w:r w:rsidRPr="0003763F">
        <w:rPr>
          <w:rFonts w:ascii="Calibri" w:hAnsi="Calibri" w:cs="Calibri"/>
          <w:sz w:val="20"/>
          <w:szCs w:val="20"/>
          <w:u w:val="single"/>
          <w:lang w:val="en-GB"/>
        </w:rPr>
        <w:t xml:space="preserve"> Focal Area </w:t>
      </w:r>
      <w:r>
        <w:rPr>
          <w:rFonts w:ascii="Calibri" w:hAnsi="Calibri" w:cs="Calibri"/>
          <w:sz w:val="20"/>
          <w:szCs w:val="20"/>
          <w:u w:val="single"/>
          <w:lang w:val="en-GB"/>
        </w:rPr>
        <w:t>Core Indicators</w:t>
      </w:r>
      <w:r w:rsidRPr="0003763F">
        <w:rPr>
          <w:rFonts w:ascii="Calibri" w:hAnsi="Calibri" w:cs="Calibri"/>
          <w:sz w:val="20"/>
          <w:szCs w:val="20"/>
          <w:lang w:val="en-GB"/>
        </w:rPr>
        <w:t xml:space="preserve">:  </w:t>
      </w:r>
      <w:r>
        <w:rPr>
          <w:rFonts w:ascii="Calibri" w:hAnsi="Calibri" w:cs="Calibri"/>
          <w:sz w:val="20"/>
          <w:szCs w:val="20"/>
          <w:lang w:val="en-GB"/>
        </w:rPr>
        <w:t xml:space="preserve">A template is available that will be used to monitor global environmental benefits of </w:t>
      </w:r>
      <w:r w:rsidRPr="00352C6F">
        <w:rPr>
          <w:rFonts w:ascii="Calibri" w:hAnsi="Calibri" w:cs="Calibri"/>
          <w:noProof/>
          <w:sz w:val="20"/>
          <w:szCs w:val="20"/>
          <w:lang w:val="en-GB"/>
        </w:rPr>
        <w:t>RURED</w:t>
      </w:r>
      <w:r>
        <w:rPr>
          <w:rFonts w:ascii="Calibri" w:hAnsi="Calibri" w:cs="Calibri"/>
          <w:sz w:val="20"/>
          <w:szCs w:val="20"/>
          <w:lang w:val="en-GB"/>
        </w:rPr>
        <w:t xml:space="preserve">, at </w:t>
      </w:r>
      <w:r w:rsidRPr="00732BD8">
        <w:rPr>
          <w:rFonts w:ascii="Calibri" w:hAnsi="Calibri" w:cs="Calibri"/>
          <w:noProof/>
          <w:sz w:val="20"/>
          <w:szCs w:val="20"/>
          <w:lang w:val="en-GB"/>
        </w:rPr>
        <w:t>various</w:t>
      </w:r>
      <w:r>
        <w:rPr>
          <w:rFonts w:ascii="Calibri" w:hAnsi="Calibri" w:cs="Calibri"/>
          <w:sz w:val="20"/>
          <w:szCs w:val="20"/>
          <w:lang w:val="en-GB"/>
        </w:rPr>
        <w:t xml:space="preserve"> stages during the project cycle, at PIF, at CEO ER, at </w:t>
      </w:r>
      <w:r w:rsidRPr="00352C6F">
        <w:rPr>
          <w:rFonts w:ascii="Calibri" w:hAnsi="Calibri" w:cs="Calibri"/>
          <w:noProof/>
          <w:sz w:val="20"/>
          <w:szCs w:val="20"/>
          <w:lang w:val="en-GB"/>
        </w:rPr>
        <w:t>mid-term</w:t>
      </w:r>
      <w:r w:rsidRPr="00B57ABD">
        <w:rPr>
          <w:rFonts w:ascii="Calibri" w:hAnsi="Calibri" w:cs="Calibri"/>
          <w:sz w:val="20"/>
          <w:szCs w:val="20"/>
          <w:lang w:val="en-GB"/>
        </w:rPr>
        <w:t xml:space="preserve"> review (MTR) </w:t>
      </w:r>
      <w:r>
        <w:rPr>
          <w:rFonts w:ascii="Calibri" w:hAnsi="Calibri" w:cs="Calibri"/>
          <w:sz w:val="20"/>
          <w:szCs w:val="20"/>
          <w:lang w:val="en-GB"/>
        </w:rPr>
        <w:t xml:space="preserve">and </w:t>
      </w:r>
      <w:r w:rsidRPr="00B57ABD">
        <w:rPr>
          <w:rFonts w:ascii="Calibri" w:hAnsi="Calibri" w:cs="Calibri"/>
          <w:sz w:val="20"/>
          <w:szCs w:val="20"/>
          <w:lang w:val="en-GB"/>
        </w:rPr>
        <w:t>the terminal evaluation (TE</w:t>
      </w:r>
      <w:r>
        <w:rPr>
          <w:rFonts w:ascii="Calibri" w:hAnsi="Calibri" w:cs="Calibri"/>
          <w:sz w:val="20"/>
          <w:szCs w:val="20"/>
          <w:lang w:val="en-GB"/>
        </w:rPr>
        <w:t xml:space="preserve">). </w:t>
      </w:r>
      <w:r w:rsidRPr="0003763F">
        <w:rPr>
          <w:rFonts w:ascii="Calibri" w:hAnsi="Calibri" w:cs="Calibri"/>
          <w:i/>
          <w:sz w:val="20"/>
          <w:szCs w:val="20"/>
          <w:lang w:val="en-GB"/>
        </w:rPr>
        <w:t xml:space="preserve"> </w:t>
      </w:r>
      <w:r w:rsidRPr="0003763F">
        <w:rPr>
          <w:rFonts w:ascii="Calibri" w:hAnsi="Calibri" w:cs="Calibri"/>
          <w:sz w:val="20"/>
          <w:szCs w:val="20"/>
          <w:lang w:val="en-GB"/>
        </w:rPr>
        <w:t xml:space="preserve">The baseline/CEO Endorsement </w:t>
      </w:r>
      <w:r>
        <w:rPr>
          <w:rFonts w:ascii="Calibri" w:hAnsi="Calibri" w:cs="Calibri"/>
          <w:sz w:val="20"/>
          <w:szCs w:val="20"/>
          <w:lang w:val="en-GB"/>
        </w:rPr>
        <w:t xml:space="preserve">GEF-7 Focal Area Indicator template is included in </w:t>
      </w:r>
      <w:r w:rsidRPr="0003763F">
        <w:rPr>
          <w:rFonts w:ascii="Calibri" w:hAnsi="Calibri" w:cs="Calibri"/>
          <w:sz w:val="20"/>
          <w:szCs w:val="20"/>
          <w:lang w:val="en-GB"/>
        </w:rPr>
        <w:t xml:space="preserve">Annex </w:t>
      </w:r>
      <w:r>
        <w:rPr>
          <w:rFonts w:ascii="Calibri" w:hAnsi="Calibri" w:cs="Calibri"/>
          <w:sz w:val="20"/>
          <w:szCs w:val="20"/>
          <w:lang w:val="en-GB"/>
        </w:rPr>
        <w:t xml:space="preserve">G </w:t>
      </w:r>
      <w:r w:rsidRPr="0003763F">
        <w:rPr>
          <w:rFonts w:ascii="Calibri" w:hAnsi="Calibri" w:cs="Calibri"/>
          <w:sz w:val="20"/>
          <w:szCs w:val="20"/>
          <w:lang w:val="en-GB"/>
        </w:rPr>
        <w:t>to this project document</w:t>
      </w:r>
      <w:r>
        <w:rPr>
          <w:rFonts w:ascii="Calibri" w:hAnsi="Calibri" w:cs="Calibri"/>
          <w:sz w:val="20"/>
          <w:szCs w:val="20"/>
          <w:lang w:val="en-GB"/>
        </w:rPr>
        <w:t xml:space="preserve">. </w:t>
      </w:r>
      <w:r w:rsidRPr="0003763F">
        <w:rPr>
          <w:rFonts w:ascii="Calibri" w:hAnsi="Calibri" w:cs="Calibri"/>
          <w:sz w:val="20"/>
          <w:szCs w:val="20"/>
          <w:lang w:val="en-GB"/>
        </w:rPr>
        <w:t xml:space="preserve"> </w:t>
      </w:r>
      <w:r>
        <w:rPr>
          <w:rFonts w:ascii="Calibri" w:hAnsi="Calibri" w:cs="Calibri"/>
          <w:sz w:val="20"/>
          <w:szCs w:val="20"/>
          <w:lang w:val="en-GB"/>
        </w:rPr>
        <w:t>The template</w:t>
      </w:r>
      <w:r w:rsidRPr="0003763F">
        <w:rPr>
          <w:rFonts w:ascii="Calibri" w:hAnsi="Calibri" w:cs="Calibri"/>
          <w:sz w:val="20"/>
          <w:szCs w:val="20"/>
          <w:lang w:val="en-GB"/>
        </w:rPr>
        <w:t xml:space="preserve"> will be updated by the Project Manager/Team</w:t>
      </w:r>
      <w:r>
        <w:rPr>
          <w:rFonts w:ascii="Calibri" w:hAnsi="Calibri" w:cs="Calibri"/>
          <w:sz w:val="20"/>
          <w:szCs w:val="20"/>
          <w:lang w:val="en-GB"/>
        </w:rPr>
        <w:t>, i.e. should not be filled by the evaluation consultants hired to undertake the mid-term review (</w:t>
      </w:r>
      <w:r w:rsidRPr="009617F8">
        <w:rPr>
          <w:rFonts w:ascii="Calibri" w:hAnsi="Calibri" w:cs="Calibri"/>
          <w:sz w:val="20"/>
          <w:szCs w:val="20"/>
          <w:lang w:val="en-GB"/>
        </w:rPr>
        <w:t>MTR</w:t>
      </w:r>
      <w:r>
        <w:rPr>
          <w:rFonts w:ascii="Calibri" w:hAnsi="Calibri" w:cs="Calibri"/>
          <w:sz w:val="20"/>
          <w:szCs w:val="20"/>
          <w:lang w:val="en-GB"/>
        </w:rPr>
        <w:t>)</w:t>
      </w:r>
      <w:r w:rsidRPr="009617F8">
        <w:rPr>
          <w:rFonts w:ascii="Calibri" w:hAnsi="Calibri" w:cs="Calibri"/>
          <w:sz w:val="20"/>
          <w:szCs w:val="20"/>
          <w:lang w:val="en-GB"/>
        </w:rPr>
        <w:t xml:space="preserve"> </w:t>
      </w:r>
      <w:r>
        <w:rPr>
          <w:rFonts w:ascii="Calibri" w:hAnsi="Calibri" w:cs="Calibri"/>
          <w:sz w:val="20"/>
          <w:szCs w:val="20"/>
          <w:lang w:val="en-GB"/>
        </w:rPr>
        <w:t>or the terminal evaluation (TE</w:t>
      </w:r>
      <w:proofErr w:type="gramStart"/>
      <w:r>
        <w:rPr>
          <w:rFonts w:ascii="Calibri" w:hAnsi="Calibri" w:cs="Calibri"/>
          <w:sz w:val="20"/>
          <w:szCs w:val="20"/>
          <w:lang w:val="en-GB"/>
        </w:rPr>
        <w:t>), but</w:t>
      </w:r>
      <w:proofErr w:type="gramEnd"/>
      <w:r>
        <w:rPr>
          <w:rFonts w:ascii="Calibri" w:hAnsi="Calibri" w:cs="Calibri"/>
          <w:sz w:val="20"/>
          <w:szCs w:val="20"/>
          <w:lang w:val="en-GB"/>
        </w:rPr>
        <w:t xml:space="preserve"> </w:t>
      </w:r>
      <w:r w:rsidRPr="0003763F">
        <w:rPr>
          <w:rFonts w:ascii="Calibri" w:hAnsi="Calibri" w:cs="Calibri"/>
          <w:sz w:val="20"/>
          <w:szCs w:val="20"/>
          <w:lang w:val="en-GB"/>
        </w:rPr>
        <w:t xml:space="preserve">shared with </w:t>
      </w:r>
      <w:r>
        <w:rPr>
          <w:rFonts w:ascii="Calibri" w:hAnsi="Calibri" w:cs="Calibri"/>
          <w:sz w:val="20"/>
          <w:szCs w:val="20"/>
          <w:lang w:val="en-GB"/>
        </w:rPr>
        <w:t xml:space="preserve">the MTR and TE </w:t>
      </w:r>
      <w:r w:rsidRPr="0003763F">
        <w:rPr>
          <w:rFonts w:ascii="Calibri" w:hAnsi="Calibri" w:cs="Calibri"/>
          <w:sz w:val="20"/>
          <w:szCs w:val="20"/>
          <w:lang w:val="en-GB"/>
        </w:rPr>
        <w:t xml:space="preserve">consultants before the required </w:t>
      </w:r>
      <w:r w:rsidRPr="0003763F">
        <w:rPr>
          <w:rFonts w:ascii="Calibri" w:hAnsi="Calibri" w:cs="Calibri"/>
          <w:i/>
          <w:sz w:val="20"/>
          <w:szCs w:val="20"/>
          <w:lang w:val="en-GB"/>
        </w:rPr>
        <w:t>review/</w:t>
      </w:r>
      <w:r w:rsidRPr="0003763F">
        <w:rPr>
          <w:rFonts w:ascii="Calibri" w:hAnsi="Calibri" w:cs="Calibri"/>
          <w:sz w:val="20"/>
          <w:szCs w:val="20"/>
          <w:lang w:val="en-GB"/>
        </w:rPr>
        <w:t xml:space="preserve">evaluation missions take place. The updated </w:t>
      </w:r>
      <w:r>
        <w:rPr>
          <w:rFonts w:ascii="Calibri" w:hAnsi="Calibri" w:cs="Calibri"/>
          <w:sz w:val="20"/>
          <w:szCs w:val="20"/>
          <w:lang w:val="en-GB"/>
        </w:rPr>
        <w:t>GEF-7 Core Indicator template</w:t>
      </w:r>
      <w:r w:rsidRPr="0003763F">
        <w:rPr>
          <w:rFonts w:ascii="Calibri" w:hAnsi="Calibri" w:cs="Calibri"/>
          <w:sz w:val="20"/>
          <w:szCs w:val="20"/>
          <w:lang w:val="en-GB"/>
        </w:rPr>
        <w:t xml:space="preserve"> will be submitted to the GEF along with the completed </w:t>
      </w:r>
      <w:r w:rsidRPr="0003763F">
        <w:rPr>
          <w:rFonts w:ascii="Calibri" w:hAnsi="Calibri" w:cs="Calibri"/>
          <w:i/>
          <w:sz w:val="20"/>
          <w:szCs w:val="20"/>
          <w:lang w:val="en-GB"/>
        </w:rPr>
        <w:t>Mid-term Review report</w:t>
      </w:r>
      <w:r w:rsidRPr="0003763F">
        <w:rPr>
          <w:rFonts w:ascii="Calibri" w:hAnsi="Calibri" w:cs="Calibri"/>
          <w:sz w:val="20"/>
          <w:szCs w:val="20"/>
          <w:lang w:val="en-GB"/>
        </w:rPr>
        <w:t xml:space="preserve"> and</w:t>
      </w:r>
      <w:r w:rsidRPr="009617F8">
        <w:rPr>
          <w:rFonts w:ascii="Calibri" w:hAnsi="Calibri" w:cs="Calibri"/>
          <w:i/>
          <w:sz w:val="20"/>
          <w:szCs w:val="20"/>
          <w:lang w:val="en-GB"/>
        </w:rPr>
        <w:t xml:space="preserve"> </w:t>
      </w:r>
      <w:r w:rsidRPr="00CB7FC9">
        <w:rPr>
          <w:rFonts w:ascii="Calibri" w:hAnsi="Calibri" w:cs="Calibri"/>
          <w:i/>
          <w:noProof/>
          <w:sz w:val="20"/>
          <w:szCs w:val="20"/>
          <w:lang w:val="en-GB"/>
        </w:rPr>
        <w:t>Terminal</w:t>
      </w:r>
      <w:r w:rsidRPr="009617F8">
        <w:rPr>
          <w:rFonts w:ascii="Calibri" w:hAnsi="Calibri" w:cs="Calibri"/>
          <w:i/>
          <w:sz w:val="20"/>
          <w:szCs w:val="20"/>
          <w:lang w:val="en-GB"/>
        </w:rPr>
        <w:t xml:space="preserve"> Evaluation report.</w:t>
      </w:r>
    </w:p>
    <w:p w:rsidR="003E3ABA" w:rsidRPr="00666B27" w:rsidRDefault="003E3ABA" w:rsidP="0075690B">
      <w:pPr>
        <w:pStyle w:val="NormalWeb"/>
        <w:spacing w:before="0" w:beforeAutospacing="0" w:after="0" w:afterAutospacing="0"/>
        <w:rPr>
          <w:rFonts w:ascii="Calibri" w:hAnsi="Calibri" w:cs="Calibri"/>
          <w:sz w:val="20"/>
          <w:szCs w:val="20"/>
          <w:lang w:val="en-GB"/>
        </w:rPr>
      </w:pPr>
    </w:p>
    <w:p w:rsidR="003E3ABA" w:rsidRPr="00666B27" w:rsidRDefault="00B54BF6" w:rsidP="0075690B">
      <w:pPr>
        <w:spacing w:after="0"/>
        <w:rPr>
          <w:rFonts w:cs="Calibri"/>
          <w:szCs w:val="20"/>
          <w:lang w:val="en-GB"/>
        </w:rPr>
      </w:pPr>
      <w:r w:rsidRPr="00666B27">
        <w:rPr>
          <w:rFonts w:cs="Calibri"/>
          <w:i/>
          <w:szCs w:val="20"/>
          <w:u w:val="single"/>
          <w:lang w:val="en-GB"/>
        </w:rPr>
        <w:t xml:space="preserve">Independent </w:t>
      </w:r>
      <w:r w:rsidR="003E3ABA" w:rsidRPr="00666B27">
        <w:rPr>
          <w:rFonts w:cs="Calibri"/>
          <w:i/>
          <w:szCs w:val="20"/>
          <w:u w:val="single"/>
          <w:lang w:val="en-GB"/>
        </w:rPr>
        <w:t>Mid-term Review (MTR)</w:t>
      </w:r>
      <w:r w:rsidR="003E3ABA" w:rsidRPr="00666B27">
        <w:rPr>
          <w:rFonts w:cs="Calibri"/>
          <w:i/>
          <w:szCs w:val="20"/>
          <w:lang w:val="en-GB"/>
        </w:rPr>
        <w:t xml:space="preserve">:  </w:t>
      </w:r>
      <w:r w:rsidR="003E3ABA" w:rsidRPr="00666B27">
        <w:rPr>
          <w:rFonts w:cs="Calibri"/>
          <w:szCs w:val="20"/>
          <w:lang w:val="en-GB"/>
        </w:rPr>
        <w:t>An independent mid-term review process will begin after the second PIR has been submitted to the GEF, and the MTR report will be submitted to the GEF in the same year as the 3</w:t>
      </w:r>
      <w:r w:rsidR="003E3ABA" w:rsidRPr="00666B27">
        <w:rPr>
          <w:rFonts w:cs="Calibri"/>
          <w:szCs w:val="20"/>
          <w:vertAlign w:val="superscript"/>
          <w:lang w:val="en-GB"/>
        </w:rPr>
        <w:t>rd</w:t>
      </w:r>
      <w:r w:rsidR="00A04E6F" w:rsidRPr="00666B27">
        <w:rPr>
          <w:rFonts w:cs="Calibri"/>
          <w:szCs w:val="20"/>
          <w:lang w:val="en-GB"/>
        </w:rPr>
        <w:t xml:space="preserve"> PIR. </w:t>
      </w:r>
      <w:r w:rsidR="003E3ABA" w:rsidRPr="00666B27">
        <w:rPr>
          <w:rFonts w:cs="Calibri"/>
          <w:szCs w:val="20"/>
          <w:lang w:val="en-GB"/>
        </w:rPr>
        <w:t>The MTR findings and responses outlined in the management response will be incorporated as recommendations for enhanced implementation during the final h</w:t>
      </w:r>
      <w:r w:rsidR="00A04E6F" w:rsidRPr="00666B27">
        <w:rPr>
          <w:rFonts w:cs="Calibri"/>
          <w:szCs w:val="20"/>
          <w:lang w:val="en-GB"/>
        </w:rPr>
        <w:t xml:space="preserve">alf of the project’s duration. </w:t>
      </w:r>
      <w:r w:rsidR="003E3ABA" w:rsidRPr="00666B27">
        <w:rPr>
          <w:rFonts w:cs="Calibri"/>
          <w:szCs w:val="20"/>
          <w:lang w:val="en-GB"/>
        </w:rPr>
        <w:t>The terms of reference, the review process</w:t>
      </w:r>
      <w:r w:rsidR="00B719E5" w:rsidRPr="00666B27">
        <w:rPr>
          <w:rFonts w:cs="Calibri"/>
          <w:szCs w:val="20"/>
          <w:lang w:val="en-GB"/>
        </w:rPr>
        <w:t>,</w:t>
      </w:r>
      <w:r w:rsidR="003E3ABA" w:rsidRPr="00666B27">
        <w:rPr>
          <w:rFonts w:cs="Calibri"/>
          <w:szCs w:val="20"/>
          <w:lang w:val="en-GB"/>
        </w:rPr>
        <w:t xml:space="preserve"> </w:t>
      </w:r>
      <w:r w:rsidR="003E3ABA" w:rsidRPr="00666B27">
        <w:rPr>
          <w:rFonts w:cs="Calibri"/>
          <w:noProof/>
          <w:szCs w:val="20"/>
          <w:lang w:val="en-GB"/>
        </w:rPr>
        <w:t>and</w:t>
      </w:r>
      <w:r w:rsidR="003E3ABA" w:rsidRPr="00666B27">
        <w:rPr>
          <w:rFonts w:cs="Calibri"/>
          <w:szCs w:val="20"/>
          <w:lang w:val="en-GB"/>
        </w:rPr>
        <w:t xml:space="preserve"> the MTR report will follow guidance </w:t>
      </w:r>
      <w:r w:rsidRPr="00666B27">
        <w:rPr>
          <w:rFonts w:cs="Calibri"/>
          <w:szCs w:val="20"/>
          <w:lang w:val="en-GB"/>
        </w:rPr>
        <w:t>prepared by the UNDP IEO</w:t>
      </w:r>
      <w:r w:rsidR="00C0799D" w:rsidRPr="00666B27">
        <w:rPr>
          <w:rFonts w:cs="Calibri"/>
          <w:lang w:val="en-GB"/>
        </w:rPr>
        <w:t>, a</w:t>
      </w:r>
      <w:r w:rsidR="00C0799D" w:rsidRPr="00666B27">
        <w:rPr>
          <w:rFonts w:cs="Calibri"/>
          <w:szCs w:val="20"/>
          <w:lang w:val="en-GB"/>
        </w:rPr>
        <w:t xml:space="preserve">vailable on the UNDP Evaluation Resource </w:t>
      </w:r>
      <w:proofErr w:type="spellStart"/>
      <w:r w:rsidR="00C0799D" w:rsidRPr="00666B27">
        <w:rPr>
          <w:rFonts w:cs="Calibri"/>
          <w:szCs w:val="20"/>
          <w:lang w:val="en-GB"/>
        </w:rPr>
        <w:t>Center</w:t>
      </w:r>
      <w:proofErr w:type="spellEnd"/>
      <w:r w:rsidR="00C0799D" w:rsidRPr="00666B27">
        <w:rPr>
          <w:rStyle w:val="Hyperlink"/>
          <w:rFonts w:cs="Calibri"/>
          <w:szCs w:val="20"/>
          <w:u w:val="none"/>
          <w:lang w:val="en-GB"/>
        </w:rPr>
        <w:t xml:space="preserve"> (ERC)</w:t>
      </w:r>
      <w:r w:rsidR="00C0799D" w:rsidRPr="00666B27">
        <w:rPr>
          <w:lang w:val="en-GB"/>
        </w:rPr>
        <w:t>,</w:t>
      </w:r>
      <w:r w:rsidR="00C0799D" w:rsidRPr="00666B27">
        <w:rPr>
          <w:rFonts w:cs="Calibri"/>
          <w:szCs w:val="20"/>
          <w:lang w:val="en-GB"/>
        </w:rPr>
        <w:t xml:space="preserve"> </w:t>
      </w:r>
      <w:r w:rsidR="009617F8" w:rsidRPr="00666B27">
        <w:rPr>
          <w:rFonts w:cs="Calibri"/>
          <w:szCs w:val="20"/>
          <w:lang w:val="en-GB"/>
        </w:rPr>
        <w:t xml:space="preserve">and DBSA </w:t>
      </w:r>
      <w:r w:rsidRPr="00666B27">
        <w:rPr>
          <w:rFonts w:cs="Calibri"/>
          <w:szCs w:val="20"/>
          <w:lang w:val="en-GB"/>
        </w:rPr>
        <w:t>for GEF-financed projects</w:t>
      </w:r>
      <w:r w:rsidR="003E3ABA" w:rsidRPr="00666B27">
        <w:rPr>
          <w:rStyle w:val="Hyperlink"/>
          <w:rFonts w:cs="Calibri"/>
          <w:szCs w:val="20"/>
          <w:u w:val="none"/>
          <w:lang w:val="en-GB"/>
        </w:rPr>
        <w:t>.</w:t>
      </w:r>
      <w:r w:rsidR="003E3ABA" w:rsidRPr="00666B27">
        <w:rPr>
          <w:rFonts w:cs="Calibri"/>
          <w:szCs w:val="20"/>
          <w:lang w:val="en-GB"/>
        </w:rPr>
        <w:t xml:space="preserve"> </w:t>
      </w:r>
      <w:r w:rsidRPr="00666B27">
        <w:rPr>
          <w:lang w:val="en-GB"/>
        </w:rPr>
        <w:t xml:space="preserve">As noted in this guidance, the evaluation will be ‘independent, impartial and rigorous’. The consultants that will be hired to undertake the assignment will be independent </w:t>
      </w:r>
      <w:r w:rsidR="00B719E5" w:rsidRPr="00666B27">
        <w:rPr>
          <w:noProof/>
          <w:lang w:val="en-GB"/>
        </w:rPr>
        <w:t>of</w:t>
      </w:r>
      <w:r w:rsidRPr="00666B27">
        <w:rPr>
          <w:lang w:val="en-GB"/>
        </w:rPr>
        <w:t xml:space="preserve"> organizations that were involved in designing, executing or advising on the project to be evaluated. The GEF Operational</w:t>
      </w:r>
      <w:r w:rsidR="00A04E6F" w:rsidRPr="00666B27">
        <w:rPr>
          <w:lang w:val="en-GB"/>
        </w:rPr>
        <w:t xml:space="preserve"> Focal Point and other </w:t>
      </w:r>
      <w:r w:rsidRPr="00666B27">
        <w:rPr>
          <w:lang w:val="en-GB"/>
        </w:rPr>
        <w:t xml:space="preserve">stakeholders will be involved and consulted during the terminal evaluation process. </w:t>
      </w:r>
      <w:r w:rsidR="003E3ABA" w:rsidRPr="00666B27">
        <w:rPr>
          <w:rFonts w:cs="Calibri"/>
          <w:szCs w:val="20"/>
          <w:lang w:val="en-GB"/>
        </w:rPr>
        <w:t xml:space="preserve">Additional quality assurance support is available from the UNDP-GEF Directorate. The final MTR report will be available in English and will be cleared by </w:t>
      </w:r>
      <w:r w:rsidR="009617F8" w:rsidRPr="00666B27">
        <w:rPr>
          <w:rFonts w:cs="Calibri"/>
          <w:szCs w:val="20"/>
          <w:lang w:val="en-GB"/>
        </w:rPr>
        <w:t xml:space="preserve">DBSA, </w:t>
      </w:r>
      <w:r w:rsidR="003E3ABA" w:rsidRPr="00666B27">
        <w:rPr>
          <w:rFonts w:cs="Calibri"/>
          <w:szCs w:val="20"/>
          <w:lang w:val="en-GB"/>
        </w:rPr>
        <w:t>the UNDP Country Office</w:t>
      </w:r>
      <w:r w:rsidR="00B719E5" w:rsidRPr="00666B27">
        <w:rPr>
          <w:rFonts w:cs="Calibri"/>
          <w:szCs w:val="20"/>
          <w:lang w:val="en-GB"/>
        </w:rPr>
        <w:t>,</w:t>
      </w:r>
      <w:r w:rsidR="003E3ABA" w:rsidRPr="00666B27">
        <w:rPr>
          <w:rFonts w:cs="Calibri"/>
          <w:szCs w:val="20"/>
          <w:lang w:val="en-GB"/>
        </w:rPr>
        <w:t xml:space="preserve"> </w:t>
      </w:r>
      <w:r w:rsidR="003E3ABA" w:rsidRPr="00666B27">
        <w:rPr>
          <w:rFonts w:cs="Calibri"/>
          <w:noProof/>
          <w:szCs w:val="20"/>
          <w:lang w:val="en-GB"/>
        </w:rPr>
        <w:t>and</w:t>
      </w:r>
      <w:r w:rsidR="003E3ABA" w:rsidRPr="00666B27">
        <w:rPr>
          <w:rFonts w:cs="Calibri"/>
          <w:szCs w:val="20"/>
          <w:lang w:val="en-GB"/>
        </w:rPr>
        <w:t xml:space="preserve"> the UNDP-GEF Regional Technical Adviser, and approved by the </w:t>
      </w:r>
      <w:r w:rsidR="009617F8" w:rsidRPr="00666B27">
        <w:rPr>
          <w:rFonts w:cs="Calibri"/>
          <w:szCs w:val="20"/>
          <w:lang w:val="en-GB"/>
        </w:rPr>
        <w:t>PSC.</w:t>
      </w:r>
      <w:r w:rsidR="0075690B" w:rsidRPr="00666B27">
        <w:rPr>
          <w:rFonts w:cs="Calibri"/>
          <w:szCs w:val="20"/>
          <w:lang w:val="en-GB"/>
        </w:rPr>
        <w:t xml:space="preserve">  It is the responsibility of the DBSA and UNDP-GEF Technical Advisor to monitor whether the agreed recommendations are being implemented.</w:t>
      </w:r>
    </w:p>
    <w:p w:rsidR="00C0799D" w:rsidRPr="00666B27" w:rsidRDefault="00C0799D" w:rsidP="0075690B">
      <w:pPr>
        <w:spacing w:after="0"/>
        <w:rPr>
          <w:lang w:val="en-GB"/>
        </w:rPr>
      </w:pPr>
    </w:p>
    <w:p w:rsidR="00C0799D" w:rsidRPr="00666B27" w:rsidRDefault="00C0799D" w:rsidP="00C0799D">
      <w:pPr>
        <w:spacing w:after="0"/>
        <w:rPr>
          <w:rFonts w:cs="Calibri"/>
          <w:szCs w:val="20"/>
          <w:lang w:val="en-GB"/>
        </w:rPr>
      </w:pPr>
      <w:r w:rsidRPr="00666B27">
        <w:rPr>
          <w:rFonts w:cs="Calibri"/>
          <w:szCs w:val="20"/>
          <w:u w:val="single"/>
          <w:lang w:val="en-GB"/>
        </w:rPr>
        <w:t>Terminal Evaluation (TE)</w:t>
      </w:r>
      <w:r w:rsidRPr="00666B27">
        <w:rPr>
          <w:rFonts w:cs="Calibri"/>
          <w:szCs w:val="20"/>
          <w:lang w:val="en-GB"/>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w:t>
      </w:r>
      <w:r w:rsidRPr="00666B27">
        <w:rPr>
          <w:rFonts w:cs="Calibri"/>
          <w:noProof/>
          <w:szCs w:val="20"/>
          <w:lang w:val="en-GB"/>
        </w:rPr>
        <w:t>contract</w:t>
      </w:r>
      <w:r w:rsidRPr="00666B27">
        <w:rPr>
          <w:rFonts w:cs="Calibri"/>
          <w:szCs w:val="20"/>
          <w:lang w:val="en-GB"/>
        </w:rPr>
        <w:t xml:space="preserve"> until the TE report and management response </w:t>
      </w:r>
      <w:r w:rsidRPr="00666B27">
        <w:rPr>
          <w:rFonts w:cs="Calibri"/>
          <w:noProof/>
          <w:szCs w:val="20"/>
          <w:lang w:val="en-GB"/>
        </w:rPr>
        <w:t>have</w:t>
      </w:r>
      <w:r w:rsidRPr="00666B27">
        <w:rPr>
          <w:rFonts w:cs="Calibri"/>
          <w:szCs w:val="20"/>
          <w:lang w:val="en-GB"/>
        </w:rPr>
        <w:t xml:space="preserve"> been finalized.  TE report will be sent to project stakeholders for comments. Formal comments on the report will be shared in an open and transparent manner. The project performance will be assessed against standard evaluation criteria, looking at </w:t>
      </w:r>
      <w:r w:rsidR="00B719E5" w:rsidRPr="00666B27">
        <w:rPr>
          <w:rFonts w:cs="Calibri"/>
          <w:szCs w:val="20"/>
          <w:lang w:val="en-GB"/>
        </w:rPr>
        <w:t xml:space="preserve">the </w:t>
      </w:r>
      <w:r w:rsidRPr="00666B27">
        <w:rPr>
          <w:rFonts w:cs="Calibri"/>
          <w:noProof/>
          <w:szCs w:val="20"/>
          <w:lang w:val="en-GB"/>
        </w:rPr>
        <w:t>assessment</w:t>
      </w:r>
      <w:r w:rsidRPr="00666B27">
        <w:rPr>
          <w:rFonts w:cs="Calibri"/>
          <w:szCs w:val="20"/>
          <w:lang w:val="en-GB"/>
        </w:rPr>
        <w:t xml:space="preserve"> of project performance (in terms of relevance, effectiveness </w:t>
      </w:r>
      <w:r w:rsidRPr="00666B27">
        <w:rPr>
          <w:rFonts w:cs="Calibri"/>
          <w:noProof/>
          <w:szCs w:val="20"/>
          <w:lang w:val="en-GB"/>
        </w:rPr>
        <w:t>and</w:t>
      </w:r>
      <w:r w:rsidRPr="00666B27">
        <w:rPr>
          <w:rFonts w:cs="Calibri"/>
          <w:szCs w:val="20"/>
          <w:lang w:val="en-GB"/>
        </w:rPr>
        <w:t xml:space="preserve"> efficiency), and determine the likelihood of impact and sustainability.</w:t>
      </w:r>
      <w:r w:rsidRPr="00666B27">
        <w:rPr>
          <w:lang w:val="en-GB"/>
        </w:rPr>
        <w:t xml:space="preserve"> </w:t>
      </w:r>
      <w:r w:rsidRPr="00666B27">
        <w:rPr>
          <w:rFonts w:cs="Calibri"/>
          <w:szCs w:val="20"/>
          <w:lang w:val="en-GB"/>
        </w:rPr>
        <w:t>The final determination of project ratings will be made by the independent evaluator(s) when the report is finalized.</w:t>
      </w:r>
    </w:p>
    <w:p w:rsidR="00C0799D" w:rsidRPr="00666B27" w:rsidRDefault="003A2690" w:rsidP="00C0799D">
      <w:pPr>
        <w:rPr>
          <w:rFonts w:cs="Calibri"/>
          <w:szCs w:val="20"/>
          <w:lang w:val="en-GB"/>
        </w:rPr>
      </w:pPr>
      <w:r>
        <w:rPr>
          <w:noProof/>
        </w:rPr>
        <w:lastRenderedPageBreak/>
        <mc:AlternateContent>
          <mc:Choice Requires="wps">
            <w:drawing>
              <wp:anchor distT="107950" distB="107950" distL="114300" distR="114300" simplePos="0" relativeHeight="251615232" behindDoc="0" locked="0" layoutInCell="1" allowOverlap="1">
                <wp:simplePos x="0" y="0"/>
                <wp:positionH relativeFrom="page">
                  <wp:posOffset>640080</wp:posOffset>
                </wp:positionH>
                <wp:positionV relativeFrom="page">
                  <wp:posOffset>548640</wp:posOffset>
                </wp:positionV>
                <wp:extent cx="6532245" cy="6207760"/>
                <wp:effectExtent l="0" t="0" r="1905" b="2540"/>
                <wp:wrapTopAndBottom/>
                <wp:docPr id="60" name="Text Box 1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32245" cy="62077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40FEA" w:rsidRDefault="00540FEA" w:rsidP="00C0799D">
                            <w:pPr>
                              <w:rPr>
                                <w:rFonts w:ascii="Arial" w:hAnsi="Arial" w:cs="Arial"/>
                                <w:b/>
                                <w:color w:val="2E74B5"/>
                                <w:sz w:val="18"/>
                              </w:rPr>
                            </w:pPr>
                            <w:bookmarkStart w:id="153" w:name="_Ref496468069"/>
                            <w:bookmarkStart w:id="154" w:name="_Toc179836"/>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12</w:t>
                            </w:r>
                            <w:r w:rsidRPr="00A366F6">
                              <w:rPr>
                                <w:rFonts w:ascii="Arial" w:hAnsi="Arial" w:cs="Arial"/>
                                <w:b/>
                                <w:color w:val="2E74B5"/>
                                <w:sz w:val="18"/>
                              </w:rPr>
                              <w:fldChar w:fldCharType="end"/>
                            </w:r>
                            <w:bookmarkEnd w:id="153"/>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54"/>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4"/>
                              <w:gridCol w:w="1951"/>
                              <w:gridCol w:w="1404"/>
                              <w:gridCol w:w="1260"/>
                              <w:gridCol w:w="2310"/>
                            </w:tblGrid>
                            <w:tr w:rsidR="00540FEA" w:rsidRPr="0003763F" w:rsidTr="00625F44">
                              <w:trPr>
                                <w:tblHeader/>
                                <w:jc w:val="center"/>
                              </w:trPr>
                              <w:tc>
                                <w:tcPr>
                                  <w:tcW w:w="3064"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GEF M&amp;E requirements</w:t>
                                  </w:r>
                                </w:p>
                                <w:p w:rsidR="00540FEA" w:rsidRPr="00C0799D" w:rsidRDefault="00540FEA" w:rsidP="00552CBB">
                                  <w:pPr>
                                    <w:spacing w:after="0"/>
                                    <w:jc w:val="center"/>
                                    <w:rPr>
                                      <w:rFonts w:cs="Calibri"/>
                                      <w:b/>
                                      <w:sz w:val="18"/>
                                      <w:szCs w:val="18"/>
                                    </w:rPr>
                                  </w:pPr>
                                </w:p>
                              </w:tc>
                              <w:tc>
                                <w:tcPr>
                                  <w:tcW w:w="1951"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Primary responsibility</w:t>
                                  </w:r>
                                </w:p>
                              </w:tc>
                              <w:tc>
                                <w:tcPr>
                                  <w:tcW w:w="2664" w:type="dxa"/>
                                  <w:gridSpan w:val="2"/>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Indicative costs to be charged to the Project Budget  (US$)</w:t>
                                  </w:r>
                                </w:p>
                              </w:tc>
                              <w:tc>
                                <w:tcPr>
                                  <w:tcW w:w="2310"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Time frame</w:t>
                                  </w:r>
                                </w:p>
                              </w:tc>
                            </w:tr>
                            <w:tr w:rsidR="00540FEA" w:rsidRPr="0003763F" w:rsidTr="00625F44">
                              <w:trPr>
                                <w:tblHeader/>
                                <w:jc w:val="center"/>
                              </w:trPr>
                              <w:tc>
                                <w:tcPr>
                                  <w:tcW w:w="3064" w:type="dxa"/>
                                  <w:vMerge/>
                                  <w:shd w:val="clear" w:color="auto" w:fill="BFBFBF"/>
                                </w:tcPr>
                                <w:p w:rsidR="00540FEA" w:rsidRPr="00C0799D" w:rsidRDefault="00540FEA" w:rsidP="00552CBB">
                                  <w:pPr>
                                    <w:spacing w:after="0"/>
                                    <w:jc w:val="left"/>
                                    <w:rPr>
                                      <w:rFonts w:cs="Calibri"/>
                                      <w:b/>
                                      <w:sz w:val="18"/>
                                      <w:szCs w:val="18"/>
                                    </w:rPr>
                                  </w:pPr>
                                </w:p>
                              </w:tc>
                              <w:tc>
                                <w:tcPr>
                                  <w:tcW w:w="1951" w:type="dxa"/>
                                  <w:vMerge/>
                                  <w:shd w:val="clear" w:color="auto" w:fill="BFBFBF"/>
                                </w:tcPr>
                                <w:p w:rsidR="00540FEA" w:rsidRPr="00C0799D" w:rsidRDefault="00540FEA" w:rsidP="00552CBB">
                                  <w:pPr>
                                    <w:spacing w:after="0"/>
                                    <w:jc w:val="left"/>
                                    <w:rPr>
                                      <w:rFonts w:cs="Calibri"/>
                                      <w:b/>
                                      <w:sz w:val="18"/>
                                      <w:szCs w:val="18"/>
                                    </w:rPr>
                                  </w:pPr>
                                </w:p>
                              </w:tc>
                              <w:tc>
                                <w:tcPr>
                                  <w:tcW w:w="1404" w:type="dxa"/>
                                  <w:shd w:val="clear" w:color="auto" w:fill="BFBFBF"/>
                                </w:tcPr>
                                <w:p w:rsidR="00540FEA" w:rsidRPr="00C0799D" w:rsidRDefault="00540FEA" w:rsidP="00552CBB">
                                  <w:pPr>
                                    <w:spacing w:after="0"/>
                                    <w:jc w:val="left"/>
                                    <w:rPr>
                                      <w:rFonts w:cs="Calibri"/>
                                      <w:b/>
                                      <w:sz w:val="18"/>
                                      <w:szCs w:val="18"/>
                                    </w:rPr>
                                  </w:pPr>
                                  <w:r w:rsidRPr="00C0799D">
                                    <w:rPr>
                                      <w:rFonts w:cs="Calibri"/>
                                      <w:b/>
                                      <w:sz w:val="18"/>
                                      <w:szCs w:val="18"/>
                                    </w:rPr>
                                    <w:t>GEF grant</w:t>
                                  </w:r>
                                </w:p>
                              </w:tc>
                              <w:tc>
                                <w:tcPr>
                                  <w:tcW w:w="1260" w:type="dxa"/>
                                  <w:shd w:val="clear" w:color="auto" w:fill="BFBFBF"/>
                                </w:tcPr>
                                <w:p w:rsidR="00540FEA" w:rsidRPr="00C0799D" w:rsidRDefault="00540FEA" w:rsidP="00552CBB">
                                  <w:pPr>
                                    <w:spacing w:after="0"/>
                                    <w:jc w:val="left"/>
                                    <w:rPr>
                                      <w:rFonts w:cs="Calibri"/>
                                      <w:b/>
                                      <w:sz w:val="18"/>
                                      <w:szCs w:val="18"/>
                                    </w:rPr>
                                  </w:pPr>
                                  <w:r w:rsidRPr="00C0799D">
                                    <w:rPr>
                                      <w:rFonts w:cs="Calibri"/>
                                      <w:b/>
                                      <w:sz w:val="18"/>
                                      <w:szCs w:val="18"/>
                                    </w:rPr>
                                    <w:t>Co-financing</w:t>
                                  </w:r>
                                </w:p>
                              </w:tc>
                              <w:tc>
                                <w:tcPr>
                                  <w:tcW w:w="2310" w:type="dxa"/>
                                  <w:vMerge/>
                                  <w:shd w:val="clear" w:color="auto" w:fill="BFBFBF"/>
                                </w:tcPr>
                                <w:p w:rsidR="00540FEA" w:rsidRPr="00C0799D" w:rsidRDefault="00540FEA" w:rsidP="00552CBB">
                                  <w:pPr>
                                    <w:spacing w:after="0"/>
                                    <w:jc w:val="left"/>
                                    <w:rPr>
                                      <w:rFonts w:cs="Calibri"/>
                                      <w:b/>
                                      <w:sz w:val="18"/>
                                      <w:szCs w:val="18"/>
                                    </w:rPr>
                                  </w:pP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Inception Workshop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UNDP Country Office</w:t>
                                  </w:r>
                                  <w:r>
                                    <w:rPr>
                                      <w:rFonts w:cs="Calibri"/>
                                      <w:sz w:val="18"/>
                                      <w:szCs w:val="18"/>
                                    </w:rPr>
                                    <w:t xml:space="preserve"> </w:t>
                                  </w:r>
                                  <w:r w:rsidRPr="00C0799D">
                                    <w:rPr>
                                      <w:rFonts w:cs="Calibri"/>
                                      <w:sz w:val="18"/>
                                      <w:szCs w:val="18"/>
                                    </w:rPr>
                                    <w:t>(CO)</w:t>
                                  </w:r>
                                  <w:r>
                                    <w:rPr>
                                      <w:rFonts w:cs="Calibri"/>
                                      <w:sz w:val="18"/>
                                      <w:szCs w:val="18"/>
                                    </w:rPr>
                                    <w:t xml:space="preserve"> and DBSA</w:t>
                                  </w:r>
                                </w:p>
                              </w:tc>
                              <w:tc>
                                <w:tcPr>
                                  <w:tcW w:w="1404" w:type="dxa"/>
                                </w:tcPr>
                                <w:p w:rsidR="00540FEA" w:rsidRPr="00C0799D" w:rsidRDefault="00540FEA" w:rsidP="00552CBB">
                                  <w:pPr>
                                    <w:spacing w:after="0"/>
                                    <w:jc w:val="left"/>
                                    <w:rPr>
                                      <w:rFonts w:cs="Calibri"/>
                                      <w:sz w:val="18"/>
                                      <w:szCs w:val="18"/>
                                    </w:rPr>
                                  </w:pPr>
                                  <w:r w:rsidRPr="00C0799D">
                                    <w:rPr>
                                      <w:rFonts w:cs="Calibri"/>
                                      <w:sz w:val="18"/>
                                      <w:szCs w:val="18"/>
                                    </w:rPr>
                                    <w:t xml:space="preserve">USD </w:t>
                                  </w:r>
                                  <w:r>
                                    <w:rPr>
                                      <w:rFonts w:cs="Calibri"/>
                                      <w:sz w:val="18"/>
                                      <w:szCs w:val="18"/>
                                    </w:rPr>
                                    <w:t>11,750</w:t>
                                  </w:r>
                                </w:p>
                              </w:tc>
                              <w:tc>
                                <w:tcPr>
                                  <w:tcW w:w="1260" w:type="dxa"/>
                                </w:tcPr>
                                <w:p w:rsidR="00540FEA" w:rsidRPr="00C01F8E" w:rsidRDefault="00540FEA" w:rsidP="00552CBB">
                                  <w:pPr>
                                    <w:spacing w:after="0"/>
                                    <w:jc w:val="left"/>
                                    <w:rPr>
                                      <w:rFonts w:cs="Calibri"/>
                                      <w:sz w:val="18"/>
                                      <w:szCs w:val="18"/>
                                    </w:rPr>
                                  </w:pPr>
                                  <w:r>
                                    <w:rPr>
                                      <w:rFonts w:cs="Calibri"/>
                                      <w:sz w:val="18"/>
                                      <w:szCs w:val="18"/>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 xml:space="preserve">Within two months of project document signature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Inception Report</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w:t>
                                  </w:r>
                                </w:p>
                              </w:tc>
                              <w:tc>
                                <w:tcPr>
                                  <w:tcW w:w="1404" w:type="dxa"/>
                                </w:tcPr>
                                <w:p w:rsidR="00540FEA" w:rsidRPr="00C0799D" w:rsidRDefault="00540FEA" w:rsidP="00552CBB">
                                  <w:pPr>
                                    <w:spacing w:after="0"/>
                                    <w:jc w:val="left"/>
                                    <w:rPr>
                                      <w:rFonts w:cs="Calibri"/>
                                      <w:sz w:val="18"/>
                                      <w:szCs w:val="18"/>
                                    </w:rPr>
                                  </w:pPr>
                                  <w:r>
                                    <w:rPr>
                                      <w:rFonts w:cs="Calibri"/>
                                      <w:sz w:val="18"/>
                                      <w:szCs w:val="18"/>
                                    </w:rPr>
                                    <w:t>None</w:t>
                                  </w:r>
                                </w:p>
                              </w:tc>
                              <w:tc>
                                <w:tcPr>
                                  <w:tcW w:w="1260" w:type="dxa"/>
                                </w:tcPr>
                                <w:p w:rsidR="00540FEA" w:rsidRPr="00C0799D" w:rsidRDefault="00540FEA" w:rsidP="00552CBB">
                                  <w:pPr>
                                    <w:spacing w:after="0"/>
                                    <w:jc w:val="left"/>
                                    <w:rPr>
                                      <w:rFonts w:cs="Calibri"/>
                                      <w:sz w:val="18"/>
                                      <w:szCs w:val="18"/>
                                    </w:rPr>
                                  </w:pPr>
                                  <w:r>
                                    <w:rPr>
                                      <w:rFonts w:cs="Calibri"/>
                                      <w:sz w:val="18"/>
                                      <w:szCs w:val="18"/>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Within two weeks of inception workshop</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Standard UNDP monitoring and reporting requirements as outlined in the UNDP POPP</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UNDP CO</w:t>
                                  </w:r>
                                </w:p>
                                <w:p w:rsidR="00540FEA" w:rsidRPr="00C0799D" w:rsidRDefault="00540FEA" w:rsidP="00552CBB">
                                  <w:pPr>
                                    <w:spacing w:after="0"/>
                                    <w:jc w:val="left"/>
                                    <w:rPr>
                                      <w:rFonts w:cs="Calibri"/>
                                      <w:b/>
                                      <w:sz w:val="18"/>
                                      <w:szCs w:val="18"/>
                                    </w:rPr>
                                  </w:pPr>
                                </w:p>
                              </w:tc>
                              <w:tc>
                                <w:tcPr>
                                  <w:tcW w:w="1404" w:type="dxa"/>
                                </w:tcPr>
                                <w:p w:rsidR="00540FEA" w:rsidRPr="00C0799D" w:rsidRDefault="00540FEA" w:rsidP="00552CBB">
                                  <w:pPr>
                                    <w:spacing w:after="0"/>
                                    <w:jc w:val="left"/>
                                    <w:rPr>
                                      <w:rFonts w:cs="Calibri"/>
                                      <w:sz w:val="18"/>
                                      <w:szCs w:val="18"/>
                                    </w:rPr>
                                  </w:pPr>
                                  <w:r w:rsidRPr="00C0799D">
                                    <w:rPr>
                                      <w:rFonts w:cs="Calibri"/>
                                      <w:sz w:val="18"/>
                                      <w:szCs w:val="18"/>
                                    </w:rPr>
                                    <w:t>None</w:t>
                                  </w:r>
                                </w:p>
                              </w:tc>
                              <w:tc>
                                <w:tcPr>
                                  <w:tcW w:w="1260" w:type="dxa"/>
                                </w:tcPr>
                                <w:p w:rsidR="00540FEA" w:rsidRPr="00C0799D" w:rsidRDefault="00540FEA" w:rsidP="00552CBB">
                                  <w:pPr>
                                    <w:spacing w:after="0"/>
                                    <w:jc w:val="left"/>
                                    <w:rPr>
                                      <w:rFonts w:cs="Calibri"/>
                                      <w:sz w:val="18"/>
                                      <w:szCs w:val="18"/>
                                    </w:rPr>
                                  </w:pPr>
                                  <w:r w:rsidRPr="00C0799D">
                                    <w:rPr>
                                      <w:rFonts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Quarterly, 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Monitoring of indicators in project results framework, including updating GEF tracking tool</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consultants)</w:t>
                                  </w:r>
                                </w:p>
                                <w:p w:rsidR="00540FEA" w:rsidRPr="00C0799D" w:rsidRDefault="00540FEA" w:rsidP="00552CBB">
                                  <w:pPr>
                                    <w:spacing w:after="0"/>
                                    <w:jc w:val="left"/>
                                    <w:rPr>
                                      <w:rFonts w:cs="Calibri"/>
                                      <w:sz w:val="18"/>
                                      <w:szCs w:val="18"/>
                                    </w:rPr>
                                  </w:pP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15,000</w:t>
                                  </w:r>
                                </w:p>
                              </w:tc>
                              <w:tc>
                                <w:tcPr>
                                  <w:tcW w:w="1260" w:type="dxa"/>
                                </w:tcPr>
                                <w:p w:rsidR="00540FEA" w:rsidRPr="00C01F8E"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Annually before PIR; updating tracking tool before MTE and TE missions</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GEF Project Implementation Report (PIR)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 DBSA and UNDP (CO and UNDP-GEF team)</w:t>
                                  </w: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1260"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 xml:space="preserve">Annually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Lessons learned and knowledge generation</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p>
                              </w:tc>
                              <w:tc>
                                <w:tcPr>
                                  <w:tcW w:w="1404" w:type="dxa"/>
                                </w:tcPr>
                                <w:p w:rsidR="00540FEA" w:rsidRDefault="00540FEA" w:rsidP="00552CBB">
                                  <w:pPr>
                                    <w:spacing w:after="0"/>
                                    <w:jc w:val="left"/>
                                    <w:rPr>
                                      <w:rFonts w:cs="Calibri"/>
                                      <w:sz w:val="18"/>
                                      <w:szCs w:val="18"/>
                                    </w:rPr>
                                  </w:pPr>
                                  <w:r>
                                    <w:rPr>
                                      <w:rFonts w:cs="Calibri"/>
                                      <w:sz w:val="18"/>
                                      <w:szCs w:val="18"/>
                                    </w:rPr>
                                    <w:t>USD 8,100</w:t>
                                  </w:r>
                                </w:p>
                                <w:p w:rsidR="00540FEA" w:rsidRPr="00C0799D" w:rsidRDefault="00540FEA" w:rsidP="00552CBB">
                                  <w:pPr>
                                    <w:spacing w:after="0"/>
                                    <w:jc w:val="left"/>
                                    <w:rPr>
                                      <w:rFonts w:cs="Calibri"/>
                                      <w:sz w:val="18"/>
                                      <w:szCs w:val="18"/>
                                    </w:rPr>
                                  </w:pPr>
                                </w:p>
                              </w:tc>
                              <w:tc>
                                <w:tcPr>
                                  <w:tcW w:w="1260" w:type="dxa"/>
                                </w:tcPr>
                                <w:p w:rsidR="00540FEA" w:rsidRPr="00594375" w:rsidRDefault="00540FEA" w:rsidP="00552CBB">
                                  <w:pPr>
                                    <w:spacing w:after="0"/>
                                    <w:jc w:val="left"/>
                                    <w:rPr>
                                      <w:rFonts w:cs="Calibri"/>
                                      <w:sz w:val="18"/>
                                      <w:szCs w:val="18"/>
                                    </w:rPr>
                                  </w:pPr>
                                  <w:r w:rsidRPr="00594375">
                                    <w:rPr>
                                      <w:rFonts w:cs="Calibri"/>
                                      <w:sz w:val="18"/>
                                      <w:szCs w:val="18"/>
                                    </w:rPr>
                                    <w:t>USD 20</w:t>
                                  </w:r>
                                  <w:r>
                                    <w:rPr>
                                      <w:rFonts w:cs="Calibri"/>
                                      <w:sz w:val="18"/>
                                      <w:szCs w:val="18"/>
                                    </w:rPr>
                                    <w:t>,</w:t>
                                  </w:r>
                                  <w:r w:rsidRPr="00594375">
                                    <w:rPr>
                                      <w:rFonts w:cs="Calibri"/>
                                      <w:sz w:val="18"/>
                                      <w:szCs w:val="18"/>
                                    </w:rPr>
                                    <w:t>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Monitoring of environmental and social risks; Corresponding management plans and addressing grievances as relevant</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p>
                                <w:p w:rsidR="00540FEA" w:rsidRPr="00C0799D" w:rsidRDefault="00540FEA" w:rsidP="00552CBB">
                                  <w:pPr>
                                    <w:spacing w:after="0"/>
                                    <w:jc w:val="left"/>
                                    <w:rPr>
                                      <w:rFonts w:cs="Calibri"/>
                                      <w:sz w:val="18"/>
                                      <w:szCs w:val="18"/>
                                    </w:rPr>
                                  </w:pPr>
                                  <w:r w:rsidRPr="00C0799D">
                                    <w:rPr>
                                      <w:rFonts w:cs="Calibri"/>
                                      <w:sz w:val="18"/>
                                      <w:szCs w:val="18"/>
                                    </w:rPr>
                                    <w:t>UNDP CO</w:t>
                                  </w:r>
                                </w:p>
                              </w:tc>
                              <w:tc>
                                <w:tcPr>
                                  <w:tcW w:w="1404" w:type="dxa"/>
                                </w:tcPr>
                                <w:p w:rsidR="00540FEA" w:rsidRPr="00594375" w:rsidRDefault="00540FEA" w:rsidP="00552CBB">
                                  <w:pPr>
                                    <w:spacing w:after="0"/>
                                    <w:jc w:val="left"/>
                                    <w:rPr>
                                      <w:rFonts w:cs="Calibri"/>
                                      <w:sz w:val="18"/>
                                      <w:szCs w:val="18"/>
                                    </w:rPr>
                                  </w:pPr>
                                  <w:r>
                                    <w:rPr>
                                      <w:rFonts w:cs="Calibri"/>
                                      <w:sz w:val="18"/>
                                      <w:szCs w:val="18"/>
                                    </w:rPr>
                                    <w:t>None</w:t>
                                  </w:r>
                                </w:p>
                              </w:tc>
                              <w:tc>
                                <w:tcPr>
                                  <w:tcW w:w="1260" w:type="dxa"/>
                                </w:tcPr>
                                <w:p w:rsidR="00540FEA" w:rsidRPr="00594375" w:rsidRDefault="00540FEA" w:rsidP="00552CBB">
                                  <w:pPr>
                                    <w:spacing w:after="0"/>
                                    <w:jc w:val="left"/>
                                    <w:rPr>
                                      <w:rFonts w:cs="Calibri"/>
                                      <w:sz w:val="18"/>
                                      <w:szCs w:val="18"/>
                                    </w:rPr>
                                  </w:pPr>
                                  <w:r>
                                    <w:rPr>
                                      <w:rFonts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On-going</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PSC meetings and supervision</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PSC, DBSA, UNDP CO</w:t>
                                  </w:r>
                                </w:p>
                                <w:p w:rsidR="00540FEA" w:rsidRPr="00C0799D" w:rsidRDefault="00540FEA" w:rsidP="00552CBB">
                                  <w:pPr>
                                    <w:spacing w:after="0"/>
                                    <w:jc w:val="left"/>
                                    <w:rPr>
                                      <w:rFonts w:cs="Calibri"/>
                                      <w:sz w:val="18"/>
                                      <w:szCs w:val="18"/>
                                    </w:rPr>
                                  </w:pPr>
                                  <w:r w:rsidRPr="00C0799D">
                                    <w:rPr>
                                      <w:rFonts w:cs="Calibri"/>
                                      <w:sz w:val="18"/>
                                      <w:szCs w:val="18"/>
                                    </w:rPr>
                                    <w:t>Project Manager</w:t>
                                  </w:r>
                                </w:p>
                              </w:tc>
                              <w:tc>
                                <w:tcPr>
                                  <w:tcW w:w="1404" w:type="dxa"/>
                                </w:tcPr>
                                <w:p w:rsidR="00540FEA" w:rsidRPr="00203D29" w:rsidRDefault="00540FEA" w:rsidP="00552CBB">
                                  <w:pPr>
                                    <w:spacing w:after="0"/>
                                    <w:jc w:val="left"/>
                                    <w:rPr>
                                      <w:rFonts w:cs="Calibri"/>
                                      <w:sz w:val="18"/>
                                      <w:szCs w:val="18"/>
                                    </w:rPr>
                                  </w:pPr>
                                  <w:r>
                                    <w:rPr>
                                      <w:rFonts w:cs="Calibri"/>
                                      <w:sz w:val="18"/>
                                      <w:szCs w:val="18"/>
                                    </w:rPr>
                                    <w:t>None</w:t>
                                  </w:r>
                                </w:p>
                              </w:tc>
                              <w:tc>
                                <w:tcPr>
                                  <w:tcW w:w="1260" w:type="dxa"/>
                                </w:tcPr>
                                <w:p w:rsidR="00540FEA" w:rsidRPr="00594375" w:rsidRDefault="00540FEA" w:rsidP="00552CBB">
                                  <w:pPr>
                                    <w:spacing w:after="0"/>
                                    <w:jc w:val="left"/>
                                    <w:rPr>
                                      <w:rFonts w:cs="Calibri"/>
                                      <w:sz w:val="18"/>
                                      <w:szCs w:val="18"/>
                                    </w:rPr>
                                  </w:pPr>
                                  <w:r>
                                    <w:rPr>
                                      <w:rFonts w:cs="Calibri"/>
                                      <w:sz w:val="18"/>
                                      <w:szCs w:val="18"/>
                                    </w:rPr>
                                    <w:t xml:space="preserve">USD </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At minimum 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Oversight missions UNDP-GEF; </w:t>
                                  </w:r>
                                  <w:r w:rsidRPr="00552CBB">
                                    <w:rPr>
                                      <w:rFonts w:cs="Calibri"/>
                                      <w:b/>
                                      <w:sz w:val="18"/>
                                      <w:szCs w:val="18"/>
                                    </w:rPr>
                                    <w:t>GEF Secretariat learning missions/site visits</w:t>
                                  </w:r>
                                </w:p>
                              </w:tc>
                              <w:tc>
                                <w:tcPr>
                                  <w:tcW w:w="1951" w:type="dxa"/>
                                </w:tcPr>
                                <w:p w:rsidR="00540FEA" w:rsidRDefault="00540FEA" w:rsidP="00552CBB">
                                  <w:pPr>
                                    <w:spacing w:after="0"/>
                                    <w:jc w:val="left"/>
                                    <w:rPr>
                                      <w:rFonts w:cs="Calibri"/>
                                      <w:sz w:val="18"/>
                                      <w:szCs w:val="18"/>
                                    </w:rPr>
                                  </w:pPr>
                                  <w:r w:rsidRPr="00C0799D">
                                    <w:rPr>
                                      <w:rFonts w:cs="Calibri"/>
                                      <w:sz w:val="18"/>
                                      <w:szCs w:val="18"/>
                                    </w:rPr>
                                    <w:t>UNDP-GEF team, UNBDP CO, DBSA</w:t>
                                  </w:r>
                                </w:p>
                                <w:p w:rsidR="00540FEA" w:rsidRPr="00594375" w:rsidRDefault="00540FEA" w:rsidP="00552CBB">
                                  <w:pPr>
                                    <w:spacing w:after="0"/>
                                    <w:jc w:val="left"/>
                                    <w:rPr>
                                      <w:rFonts w:cs="Calibri"/>
                                      <w:sz w:val="18"/>
                                      <w:szCs w:val="18"/>
                                    </w:rPr>
                                  </w:pP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w:t>
                                  </w:r>
                                  <w:r>
                                    <w:rPr>
                                      <w:rFonts w:ascii="Calibri" w:hAnsi="Calibri" w:cs="Calibri"/>
                                      <w:snapToGrid/>
                                      <w:sz w:val="18"/>
                                      <w:szCs w:val="18"/>
                                      <w:lang w:val="en-GB"/>
                                    </w:rPr>
                                    <w:t>e</w:t>
                                  </w:r>
                                  <w:r w:rsidRPr="00C0799D">
                                    <w:rPr>
                                      <w:rFonts w:ascii="Calibri" w:hAnsi="Calibri" w:cs="Calibri"/>
                                      <w:snapToGrid/>
                                      <w:sz w:val="18"/>
                                      <w:szCs w:val="18"/>
                                      <w:lang w:val="en-GB"/>
                                    </w:rPr>
                                    <w:t xml:space="preserve"> </w:t>
                                  </w:r>
                                </w:p>
                              </w:tc>
                              <w:tc>
                                <w:tcPr>
                                  <w:tcW w:w="1260" w:type="dxa"/>
                                </w:tcPr>
                                <w:p w:rsidR="00540FEA" w:rsidRPr="00594375"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Troubleshooting as needed</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Independent Mid-term Review (MTR) and management response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DBSA, UNDP CO, Project team and UNDP-GEF team</w:t>
                                  </w:r>
                                </w:p>
                              </w:tc>
                              <w:tc>
                                <w:tcPr>
                                  <w:tcW w:w="1404" w:type="dxa"/>
                                </w:tcPr>
                                <w:p w:rsidR="00540FEA" w:rsidRDefault="00540FEA" w:rsidP="00552CBB">
                                  <w:pPr>
                                    <w:spacing w:after="0"/>
                                    <w:jc w:val="left"/>
                                    <w:rPr>
                                      <w:rFonts w:cs="Calibri"/>
                                      <w:sz w:val="18"/>
                                      <w:szCs w:val="18"/>
                                    </w:rPr>
                                  </w:pPr>
                                  <w:r>
                                    <w:rPr>
                                      <w:rFonts w:cs="Calibri"/>
                                      <w:sz w:val="18"/>
                                      <w:szCs w:val="18"/>
                                    </w:rPr>
                                    <w:t>USD 29,200</w:t>
                                  </w:r>
                                </w:p>
                                <w:p w:rsidR="00540FEA" w:rsidRPr="00203D29" w:rsidRDefault="00540FEA" w:rsidP="00552CBB">
                                  <w:pPr>
                                    <w:spacing w:after="0"/>
                                    <w:jc w:val="left"/>
                                    <w:rPr>
                                      <w:rFonts w:cs="Calibri"/>
                                      <w:sz w:val="18"/>
                                      <w:szCs w:val="18"/>
                                    </w:rPr>
                                  </w:pPr>
                                </w:p>
                              </w:tc>
                              <w:tc>
                                <w:tcPr>
                                  <w:tcW w:w="1260" w:type="dxa"/>
                                </w:tcPr>
                                <w:p w:rsidR="00540FEA" w:rsidRPr="00594375" w:rsidRDefault="00540FEA" w:rsidP="00552CBB">
                                  <w:pPr>
                                    <w:spacing w:after="0"/>
                                    <w:jc w:val="left"/>
                                    <w:rPr>
                                      <w:rFonts w:cs="Calibri"/>
                                      <w:sz w:val="18"/>
                                      <w:szCs w:val="18"/>
                                      <w:highlight w:val="yellow"/>
                                    </w:rPr>
                                  </w:pPr>
                                  <w:r>
                                    <w:rPr>
                                      <w:rFonts w:cs="Calibri"/>
                                      <w:sz w:val="18"/>
                                      <w:szCs w:val="18"/>
                                    </w:rPr>
                                    <w:t>USD 7,500</w:t>
                                  </w:r>
                                </w:p>
                              </w:tc>
                              <w:tc>
                                <w:tcPr>
                                  <w:tcW w:w="2310" w:type="dxa"/>
                                </w:tcPr>
                                <w:p w:rsidR="00540FEA" w:rsidRPr="00C0799D" w:rsidRDefault="00540FEA" w:rsidP="00552CBB">
                                  <w:pPr>
                                    <w:spacing w:after="0"/>
                                    <w:jc w:val="left"/>
                                    <w:rPr>
                                      <w:rFonts w:cs="Calibri"/>
                                      <w:i/>
                                      <w:sz w:val="18"/>
                                      <w:szCs w:val="18"/>
                                    </w:rPr>
                                  </w:pPr>
                                  <w:r w:rsidRPr="00C0799D">
                                    <w:rPr>
                                      <w:rFonts w:cs="Calibri"/>
                                      <w:i/>
                                      <w:sz w:val="18"/>
                                      <w:szCs w:val="18"/>
                                    </w:rPr>
                                    <w:t>Between 2</w:t>
                                  </w:r>
                                  <w:r w:rsidRPr="00C0799D">
                                    <w:rPr>
                                      <w:rFonts w:cs="Calibri"/>
                                      <w:i/>
                                      <w:sz w:val="18"/>
                                      <w:szCs w:val="18"/>
                                      <w:vertAlign w:val="superscript"/>
                                    </w:rPr>
                                    <w:t>nd</w:t>
                                  </w:r>
                                  <w:r w:rsidRPr="00C0799D">
                                    <w:rPr>
                                      <w:rFonts w:cs="Calibri"/>
                                      <w:i/>
                                      <w:sz w:val="18"/>
                                      <w:szCs w:val="18"/>
                                    </w:rPr>
                                    <w:t xml:space="preserve"> and 3</w:t>
                                  </w:r>
                                  <w:r w:rsidRPr="00C0799D">
                                    <w:rPr>
                                      <w:rFonts w:cs="Calibri"/>
                                      <w:i/>
                                      <w:sz w:val="18"/>
                                      <w:szCs w:val="18"/>
                                      <w:vertAlign w:val="superscript"/>
                                    </w:rPr>
                                    <w:t>rd</w:t>
                                  </w:r>
                                  <w:r w:rsidRPr="00C0799D">
                                    <w:rPr>
                                      <w:rFonts w:cs="Calibri"/>
                                      <w:i/>
                                      <w:sz w:val="18"/>
                                      <w:szCs w:val="18"/>
                                    </w:rPr>
                                    <w:t xml:space="preserve"> PIR.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Independent Terminal Evaluation (TE) including management response</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DBSA, UNDP CO, Project team and UNDP-GEF team</w:t>
                                  </w:r>
                                </w:p>
                              </w:tc>
                              <w:tc>
                                <w:tcPr>
                                  <w:tcW w:w="1404" w:type="dxa"/>
                                </w:tcPr>
                                <w:p w:rsidR="00540FEA" w:rsidRPr="00C0799D" w:rsidRDefault="00540FEA" w:rsidP="00552CBB">
                                  <w:pPr>
                                    <w:spacing w:after="0"/>
                                    <w:jc w:val="left"/>
                                    <w:rPr>
                                      <w:rFonts w:cs="Calibri"/>
                                      <w:sz w:val="18"/>
                                      <w:szCs w:val="18"/>
                                    </w:rPr>
                                  </w:pPr>
                                  <w:r>
                                    <w:rPr>
                                      <w:rFonts w:cs="Calibri"/>
                                      <w:sz w:val="18"/>
                                      <w:szCs w:val="18"/>
                                    </w:rPr>
                                    <w:t>USD 29,200</w:t>
                                  </w:r>
                                </w:p>
                              </w:tc>
                              <w:tc>
                                <w:tcPr>
                                  <w:tcW w:w="1260" w:type="dxa"/>
                                </w:tcPr>
                                <w:p w:rsidR="00540FEA" w:rsidRPr="00594375" w:rsidRDefault="00540FEA" w:rsidP="00552CBB">
                                  <w:pPr>
                                    <w:tabs>
                                      <w:tab w:val="center" w:pos="1216"/>
                                    </w:tabs>
                                    <w:spacing w:after="0"/>
                                    <w:jc w:val="left"/>
                                    <w:rPr>
                                      <w:rFonts w:cs="Calibri"/>
                                      <w:sz w:val="18"/>
                                      <w:szCs w:val="18"/>
                                    </w:rPr>
                                  </w:pPr>
                                  <w:r>
                                    <w:rPr>
                                      <w:rFonts w:cs="Calibri"/>
                                      <w:sz w:val="18"/>
                                      <w:szCs w:val="18"/>
                                    </w:rPr>
                                    <w:t>USD 7,500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At least three months before operational closure</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Pr>
                                      <w:rFonts w:cs="Calibri"/>
                                      <w:b/>
                                      <w:sz w:val="18"/>
                                      <w:szCs w:val="18"/>
                                    </w:rPr>
                                    <w:t>End-of-project report and workshop</w:t>
                                  </w:r>
                                </w:p>
                              </w:tc>
                              <w:tc>
                                <w:tcPr>
                                  <w:tcW w:w="1951" w:type="dxa"/>
                                </w:tcPr>
                                <w:p w:rsidR="00540FEA" w:rsidRPr="00C0799D" w:rsidRDefault="00540FEA" w:rsidP="00552CBB">
                                  <w:pPr>
                                    <w:spacing w:after="0"/>
                                    <w:jc w:val="left"/>
                                    <w:rPr>
                                      <w:rFonts w:cs="Calibri"/>
                                      <w:sz w:val="18"/>
                                      <w:szCs w:val="18"/>
                                    </w:rPr>
                                  </w:pPr>
                                  <w:r>
                                    <w:rPr>
                                      <w:rFonts w:cs="Calibri"/>
                                      <w:sz w:val="18"/>
                                      <w:szCs w:val="18"/>
                                    </w:rPr>
                                    <w:t>DBSA, UNDP and Project Team</w:t>
                                  </w:r>
                                </w:p>
                              </w:tc>
                              <w:tc>
                                <w:tcPr>
                                  <w:tcW w:w="1404" w:type="dxa"/>
                                </w:tcPr>
                                <w:p w:rsidR="00540FEA" w:rsidRPr="00C0799D" w:rsidRDefault="00540FEA" w:rsidP="00552CBB">
                                  <w:pPr>
                                    <w:spacing w:after="0"/>
                                    <w:jc w:val="left"/>
                                    <w:rPr>
                                      <w:rFonts w:cs="Calibri"/>
                                      <w:sz w:val="18"/>
                                      <w:szCs w:val="18"/>
                                    </w:rPr>
                                  </w:pPr>
                                  <w:r>
                                    <w:rPr>
                                      <w:rFonts w:cs="Calibri"/>
                                      <w:sz w:val="18"/>
                                      <w:szCs w:val="18"/>
                                    </w:rPr>
                                    <w:t>USD 11,750</w:t>
                                  </w:r>
                                </w:p>
                              </w:tc>
                              <w:tc>
                                <w:tcPr>
                                  <w:tcW w:w="1260" w:type="dxa"/>
                                </w:tcPr>
                                <w:p w:rsidR="00540FEA" w:rsidRPr="00203D29" w:rsidRDefault="00540FEA" w:rsidP="00552CBB">
                                  <w:pPr>
                                    <w:tabs>
                                      <w:tab w:val="center" w:pos="1216"/>
                                    </w:tabs>
                                    <w:spacing w:after="0"/>
                                    <w:jc w:val="left"/>
                                    <w:rPr>
                                      <w:rFonts w:cs="Calibri"/>
                                      <w:sz w:val="18"/>
                                      <w:szCs w:val="18"/>
                                    </w:rPr>
                                  </w:pPr>
                                  <w:r>
                                    <w:rPr>
                                      <w:rFonts w:cs="Calibri"/>
                                      <w:sz w:val="18"/>
                                      <w:szCs w:val="18"/>
                                    </w:rPr>
                                    <w:t>USD 30,000</w:t>
                                  </w:r>
                                </w:p>
                              </w:tc>
                              <w:tc>
                                <w:tcPr>
                                  <w:tcW w:w="2310" w:type="dxa"/>
                                </w:tcPr>
                                <w:p w:rsidR="00540FEA" w:rsidRPr="00C0799D" w:rsidRDefault="00540FEA" w:rsidP="00552CBB">
                                  <w:pPr>
                                    <w:spacing w:after="0"/>
                                    <w:jc w:val="left"/>
                                    <w:rPr>
                                      <w:rFonts w:cs="Calibri"/>
                                      <w:sz w:val="18"/>
                                      <w:szCs w:val="18"/>
                                    </w:rPr>
                                  </w:pPr>
                                </w:p>
                              </w:tc>
                            </w:tr>
                            <w:tr w:rsidR="00540FEA" w:rsidRPr="0003763F" w:rsidTr="00625F44">
                              <w:trPr>
                                <w:cantSplit/>
                                <w:trHeight w:val="455"/>
                                <w:jc w:val="center"/>
                              </w:trPr>
                              <w:tc>
                                <w:tcPr>
                                  <w:tcW w:w="5015" w:type="dxa"/>
                                  <w:gridSpan w:val="2"/>
                                  <w:shd w:val="clear" w:color="auto" w:fill="E6E6E6"/>
                                </w:tcPr>
                                <w:p w:rsidR="00540FEA" w:rsidRPr="00C0799D" w:rsidRDefault="00540FEA" w:rsidP="00203D29">
                                  <w:pPr>
                                    <w:spacing w:after="0"/>
                                    <w:jc w:val="left"/>
                                    <w:rPr>
                                      <w:rFonts w:cs="Calibri"/>
                                      <w:sz w:val="18"/>
                                      <w:szCs w:val="18"/>
                                    </w:rPr>
                                  </w:pPr>
                                  <w:r w:rsidRPr="00C0799D">
                                    <w:rPr>
                                      <w:rFonts w:cs="Calibri"/>
                                      <w:b/>
                                      <w:sz w:val="18"/>
                                      <w:szCs w:val="18"/>
                                    </w:rPr>
                                    <w:t>TOTAL indicative COST</w:t>
                                  </w:r>
                                  <w:r>
                                    <w:rPr>
                                      <w:rFonts w:cs="Calibri"/>
                                      <w:b/>
                                      <w:sz w:val="18"/>
                                      <w:szCs w:val="18"/>
                                    </w:rPr>
                                    <w:t xml:space="preserve"> </w:t>
                                  </w:r>
                                  <w:r>
                                    <w:rPr>
                                      <w:rFonts w:cs="Calibri"/>
                                      <w:sz w:val="18"/>
                                      <w:szCs w:val="18"/>
                                    </w:rPr>
                                    <w:t>(e</w:t>
                                  </w:r>
                                  <w:r w:rsidRPr="00C0799D">
                                    <w:rPr>
                                      <w:rFonts w:cs="Calibri"/>
                                      <w:sz w:val="18"/>
                                      <w:szCs w:val="18"/>
                                    </w:rPr>
                                    <w:t xml:space="preserve">xcluding project team staff time, and UNDP staff and travel expenses </w:t>
                                  </w:r>
                                </w:p>
                              </w:tc>
                              <w:tc>
                                <w:tcPr>
                                  <w:tcW w:w="1404" w:type="dxa"/>
                                  <w:shd w:val="clear" w:color="auto" w:fill="E6E6E6"/>
                                </w:tcPr>
                                <w:p w:rsidR="00540FEA" w:rsidRPr="00594375" w:rsidRDefault="00540FEA" w:rsidP="00552CBB">
                                  <w:pPr>
                                    <w:spacing w:after="0"/>
                                    <w:jc w:val="left"/>
                                    <w:rPr>
                                      <w:rFonts w:cs="Calibri"/>
                                      <w:b/>
                                      <w:sz w:val="18"/>
                                      <w:szCs w:val="18"/>
                                    </w:rPr>
                                  </w:pPr>
                                  <w:r w:rsidRPr="00594375">
                                    <w:rPr>
                                      <w:rFonts w:cs="Calibri"/>
                                      <w:b/>
                                      <w:sz w:val="18"/>
                                      <w:szCs w:val="18"/>
                                    </w:rPr>
                                    <w:t xml:space="preserve">USD </w:t>
                                  </w:r>
                                  <w:r>
                                    <w:rPr>
                                      <w:rFonts w:cs="Calibri"/>
                                      <w:b/>
                                      <w:sz w:val="18"/>
                                      <w:szCs w:val="18"/>
                                    </w:rPr>
                                    <w:t>105,000</w:t>
                                  </w:r>
                                </w:p>
                              </w:tc>
                              <w:tc>
                                <w:tcPr>
                                  <w:tcW w:w="1260" w:type="dxa"/>
                                  <w:shd w:val="clear" w:color="auto" w:fill="E6E6E6"/>
                                </w:tcPr>
                                <w:p w:rsidR="00540FEA" w:rsidRPr="00594375" w:rsidRDefault="00540FEA" w:rsidP="00552CBB">
                                  <w:pPr>
                                    <w:spacing w:after="0"/>
                                    <w:jc w:val="left"/>
                                    <w:rPr>
                                      <w:rFonts w:cs="Calibri"/>
                                      <w:b/>
                                      <w:sz w:val="18"/>
                                      <w:szCs w:val="18"/>
                                    </w:rPr>
                                  </w:pPr>
                                  <w:r>
                                    <w:rPr>
                                      <w:rFonts w:cs="Calibri"/>
                                      <w:b/>
                                      <w:sz w:val="18"/>
                                      <w:szCs w:val="18"/>
                                    </w:rPr>
                                    <w:t>USD 80,000</w:t>
                                  </w:r>
                                </w:p>
                              </w:tc>
                              <w:tc>
                                <w:tcPr>
                                  <w:tcW w:w="2310" w:type="dxa"/>
                                  <w:shd w:val="clear" w:color="auto" w:fill="E6E6E6"/>
                                </w:tcPr>
                                <w:p w:rsidR="00540FEA" w:rsidRPr="00C0799D" w:rsidRDefault="00540FEA" w:rsidP="00552CBB">
                                  <w:pPr>
                                    <w:spacing w:after="0"/>
                                    <w:jc w:val="left"/>
                                    <w:rPr>
                                      <w:rFonts w:cs="Calibri"/>
                                      <w:sz w:val="18"/>
                                      <w:szCs w:val="18"/>
                                      <w:highlight w:val="yellow"/>
                                    </w:rPr>
                                  </w:pPr>
                                </w:p>
                              </w:tc>
                            </w:tr>
                          </w:tbl>
                          <w:p w:rsidR="00540FEA" w:rsidRDefault="00540FEA" w:rsidP="00C0799D">
                            <w:pPr>
                              <w:rPr>
                                <w:rFonts w:ascii="Arial" w:hAnsi="Arial" w:cs="Arial"/>
                                <w:b/>
                                <w:color w:val="2E74B5"/>
                                <w:sz w:val="18"/>
                              </w:rPr>
                            </w:pPr>
                          </w:p>
                          <w:p w:rsidR="00540FEA" w:rsidRPr="00625F44" w:rsidRDefault="00540FEA" w:rsidP="00C0799D">
                            <w:pPr>
                              <w:rPr>
                                <w:sz w:val="16"/>
                                <w:szCs w:val="16"/>
                              </w:rPr>
                            </w:pPr>
                            <w:r w:rsidRPr="00625F44">
                              <w:rPr>
                                <w:sz w:val="16"/>
                                <w:szCs w:val="16"/>
                              </w:rPr>
                              <w:t>It should be noted that, as per GEF instructions, audit services are considered part of ‘project management cost’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0"/>
                              <w:gridCol w:w="1979"/>
                              <w:gridCol w:w="1261"/>
                              <w:gridCol w:w="1274"/>
                              <w:gridCol w:w="2345"/>
                            </w:tblGrid>
                            <w:tr w:rsidR="00540FEA" w:rsidRPr="00224808" w:rsidTr="00625F44">
                              <w:trPr>
                                <w:jc w:val="center"/>
                              </w:trPr>
                              <w:tc>
                                <w:tcPr>
                                  <w:tcW w:w="3139" w:type="dxa"/>
                                </w:tcPr>
                                <w:p w:rsidR="00540FEA" w:rsidRPr="00625F44" w:rsidRDefault="00540FEA" w:rsidP="00224808">
                                  <w:pPr>
                                    <w:rPr>
                                      <w:b/>
                                      <w:sz w:val="16"/>
                                      <w:szCs w:val="16"/>
                                    </w:rPr>
                                  </w:pPr>
                                  <w:r w:rsidRPr="00625F44">
                                    <w:rPr>
                                      <w:b/>
                                      <w:sz w:val="16"/>
                                      <w:szCs w:val="16"/>
                                    </w:rPr>
                                    <w:t>Audit service</w:t>
                                  </w:r>
                                </w:p>
                              </w:tc>
                              <w:tc>
                                <w:tcPr>
                                  <w:tcW w:w="1984" w:type="dxa"/>
                                </w:tcPr>
                                <w:p w:rsidR="00540FEA" w:rsidRPr="00625F44" w:rsidRDefault="00540FEA" w:rsidP="00224808">
                                  <w:pPr>
                                    <w:rPr>
                                      <w:sz w:val="16"/>
                                      <w:szCs w:val="16"/>
                                    </w:rPr>
                                  </w:pPr>
                                  <w:r w:rsidRPr="00625F44">
                                    <w:rPr>
                                      <w:sz w:val="16"/>
                                      <w:szCs w:val="16"/>
                                    </w:rPr>
                                    <w:t>UNDP</w:t>
                                  </w:r>
                                  <w:r>
                                    <w:rPr>
                                      <w:sz w:val="16"/>
                                      <w:szCs w:val="16"/>
                                    </w:rPr>
                                    <w:t>, , D</w:t>
                                  </w:r>
                                  <w:r w:rsidRPr="00625F44">
                                    <w:rPr>
                                      <w:sz w:val="16"/>
                                      <w:szCs w:val="16"/>
                                    </w:rPr>
                                    <w:t>BSA</w:t>
                                  </w:r>
                                </w:p>
                              </w:tc>
                              <w:tc>
                                <w:tcPr>
                                  <w:tcW w:w="1263" w:type="dxa"/>
                                </w:tcPr>
                                <w:p w:rsidR="00540FEA" w:rsidRPr="00625F44" w:rsidRDefault="00540FEA" w:rsidP="00224808">
                                  <w:pPr>
                                    <w:rPr>
                                      <w:sz w:val="16"/>
                                      <w:szCs w:val="16"/>
                                    </w:rPr>
                                  </w:pPr>
                                  <w:r w:rsidRPr="00625F44">
                                    <w:rPr>
                                      <w:sz w:val="16"/>
                                      <w:szCs w:val="16"/>
                                    </w:rPr>
                                    <w:t>USD 15,000</w:t>
                                  </w:r>
                                </w:p>
                              </w:tc>
                              <w:tc>
                                <w:tcPr>
                                  <w:tcW w:w="1276" w:type="dxa"/>
                                </w:tcPr>
                                <w:p w:rsidR="00540FEA" w:rsidRPr="00625F44" w:rsidRDefault="00540FEA" w:rsidP="00224808">
                                  <w:pPr>
                                    <w:rPr>
                                      <w:sz w:val="16"/>
                                      <w:szCs w:val="16"/>
                                    </w:rPr>
                                  </w:pPr>
                                  <w:r w:rsidRPr="00625F44">
                                    <w:rPr>
                                      <w:sz w:val="16"/>
                                      <w:szCs w:val="16"/>
                                    </w:rPr>
                                    <w:t>None</w:t>
                                  </w:r>
                                </w:p>
                              </w:tc>
                              <w:tc>
                                <w:tcPr>
                                  <w:tcW w:w="2350" w:type="dxa"/>
                                </w:tcPr>
                                <w:p w:rsidR="00540FEA" w:rsidRPr="00625F44" w:rsidRDefault="00540FEA" w:rsidP="00224808">
                                  <w:pPr>
                                    <w:rPr>
                                      <w:sz w:val="16"/>
                                      <w:szCs w:val="16"/>
                                    </w:rPr>
                                  </w:pPr>
                                  <w:r w:rsidRPr="00625F44">
                                    <w:rPr>
                                      <w:sz w:val="16"/>
                                      <w:szCs w:val="16"/>
                                    </w:rPr>
                                    <w:t>Annually and/or as per DBSA and UNDP audit policies</w:t>
                                  </w:r>
                                </w:p>
                              </w:tc>
                            </w:tr>
                          </w:tbl>
                          <w:p w:rsidR="00540FEA" w:rsidRPr="00625F44" w:rsidRDefault="00540FEA" w:rsidP="00C0799D">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67" o:spid="_x0000_s1032" type="#_x0000_t202" style="position:absolute;left:0;text-align:left;margin-left:50.4pt;margin-top:43.2pt;width:514.35pt;height:488.8pt;z-index:251615232;visibility:visible;mso-wrap-style:square;mso-width-percent:0;mso-height-percent:0;mso-wrap-distance-left:9pt;mso-wrap-distance-top:8.5pt;mso-wrap-distance-right:9pt;mso-wrap-distance-bottom:8.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" stroked="f">
                <v:textbox>
                  <w:txbxContent>
                    <w:p w:rsidR="00540FEA" w:rsidRDefault="00540FEA" w:rsidP="00C0799D">
                      <w:pPr>
                        <w:rPr>
                          <w:rFonts w:ascii="Arial" w:hAnsi="Arial" w:cs="Arial"/>
                          <w:b/>
                          <w:color w:val="2E74B5"/>
                          <w:sz w:val="18"/>
                        </w:rPr>
                      </w:pPr>
                      <w:bookmarkStart w:id="155" w:name="_Ref496468069"/>
                      <w:bookmarkStart w:id="156" w:name="_Toc179836"/>
                      <w:r w:rsidRPr="00A366F6">
                        <w:rPr>
                          <w:rFonts w:ascii="Arial" w:hAnsi="Arial" w:cs="Arial"/>
                          <w:b/>
                          <w:color w:val="2E74B5"/>
                          <w:sz w:val="18"/>
                        </w:rPr>
                        <w:t xml:space="preserve">Box </w:t>
                      </w:r>
                      <w:r w:rsidRPr="00A366F6">
                        <w:rPr>
                          <w:rFonts w:ascii="Arial" w:hAnsi="Arial" w:cs="Arial"/>
                          <w:b/>
                          <w:color w:val="2E74B5"/>
                          <w:sz w:val="18"/>
                        </w:rPr>
                        <w:fldChar w:fldCharType="begin"/>
                      </w:r>
                      <w:r w:rsidRPr="00A366F6">
                        <w:rPr>
                          <w:rFonts w:ascii="Arial" w:hAnsi="Arial" w:cs="Arial"/>
                          <w:b/>
                          <w:color w:val="2E74B5"/>
                          <w:sz w:val="18"/>
                        </w:rPr>
                        <w:instrText xml:space="preserve"> SEQ Box \* ARABIC </w:instrText>
                      </w:r>
                      <w:r w:rsidRPr="00A366F6">
                        <w:rPr>
                          <w:rFonts w:ascii="Arial" w:hAnsi="Arial" w:cs="Arial"/>
                          <w:b/>
                          <w:color w:val="2E74B5"/>
                          <w:sz w:val="18"/>
                        </w:rPr>
                        <w:fldChar w:fldCharType="separate"/>
                      </w:r>
                      <w:r>
                        <w:rPr>
                          <w:rFonts w:ascii="Arial" w:hAnsi="Arial" w:cs="Arial"/>
                          <w:b/>
                          <w:noProof/>
                          <w:color w:val="2E74B5"/>
                          <w:sz w:val="18"/>
                        </w:rPr>
                        <w:t>12</w:t>
                      </w:r>
                      <w:r w:rsidRPr="00A366F6">
                        <w:rPr>
                          <w:rFonts w:ascii="Arial" w:hAnsi="Arial" w:cs="Arial"/>
                          <w:b/>
                          <w:color w:val="2E74B5"/>
                          <w:sz w:val="18"/>
                        </w:rPr>
                        <w:fldChar w:fldCharType="end"/>
                      </w:r>
                      <w:bookmarkEnd w:id="155"/>
                      <w:r w:rsidRPr="00A366F6">
                        <w:rPr>
                          <w:rFonts w:ascii="Arial" w:hAnsi="Arial" w:cs="Arial"/>
                          <w:b/>
                          <w:color w:val="2E74B5"/>
                          <w:sz w:val="18"/>
                        </w:rPr>
                        <w:tab/>
                      </w:r>
                      <w:r>
                        <w:rPr>
                          <w:rFonts w:ascii="Arial" w:hAnsi="Arial" w:cs="Arial"/>
                          <w:b/>
                          <w:color w:val="2E74B5"/>
                          <w:sz w:val="18"/>
                        </w:rPr>
                        <w:t>Mandatory GEF M&amp;E requirements and M&amp;E b</w:t>
                      </w:r>
                      <w:r w:rsidRPr="009A1819">
                        <w:rPr>
                          <w:rFonts w:ascii="Arial" w:hAnsi="Arial" w:cs="Arial"/>
                          <w:b/>
                          <w:color w:val="2E74B5"/>
                          <w:sz w:val="18"/>
                        </w:rPr>
                        <w:t>udget</w:t>
                      </w:r>
                      <w:bookmarkEnd w:id="15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64"/>
                        <w:gridCol w:w="1951"/>
                        <w:gridCol w:w="1404"/>
                        <w:gridCol w:w="1260"/>
                        <w:gridCol w:w="2310"/>
                      </w:tblGrid>
                      <w:tr w:rsidR="00540FEA" w:rsidRPr="0003763F" w:rsidTr="00625F44">
                        <w:trPr>
                          <w:tblHeader/>
                          <w:jc w:val="center"/>
                        </w:trPr>
                        <w:tc>
                          <w:tcPr>
                            <w:tcW w:w="3064"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GEF M&amp;E requirements</w:t>
                            </w:r>
                          </w:p>
                          <w:p w:rsidR="00540FEA" w:rsidRPr="00C0799D" w:rsidRDefault="00540FEA" w:rsidP="00552CBB">
                            <w:pPr>
                              <w:spacing w:after="0"/>
                              <w:jc w:val="center"/>
                              <w:rPr>
                                <w:rFonts w:cs="Calibri"/>
                                <w:b/>
                                <w:sz w:val="18"/>
                                <w:szCs w:val="18"/>
                              </w:rPr>
                            </w:pPr>
                          </w:p>
                        </w:tc>
                        <w:tc>
                          <w:tcPr>
                            <w:tcW w:w="1951"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Primary responsibility</w:t>
                            </w:r>
                          </w:p>
                        </w:tc>
                        <w:tc>
                          <w:tcPr>
                            <w:tcW w:w="2664" w:type="dxa"/>
                            <w:gridSpan w:val="2"/>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Indicative costs to be charged to the Project Budget  (US$)</w:t>
                            </w:r>
                          </w:p>
                        </w:tc>
                        <w:tc>
                          <w:tcPr>
                            <w:tcW w:w="2310" w:type="dxa"/>
                            <w:vMerge w:val="restart"/>
                            <w:shd w:val="clear" w:color="auto" w:fill="BFBFBF"/>
                          </w:tcPr>
                          <w:p w:rsidR="00540FEA" w:rsidRPr="00C0799D" w:rsidRDefault="00540FEA" w:rsidP="00552CBB">
                            <w:pPr>
                              <w:spacing w:after="0"/>
                              <w:jc w:val="center"/>
                              <w:rPr>
                                <w:rFonts w:cs="Calibri"/>
                                <w:b/>
                                <w:sz w:val="18"/>
                                <w:szCs w:val="18"/>
                              </w:rPr>
                            </w:pPr>
                            <w:r w:rsidRPr="00C0799D">
                              <w:rPr>
                                <w:rFonts w:cs="Calibri"/>
                                <w:b/>
                                <w:sz w:val="18"/>
                                <w:szCs w:val="18"/>
                              </w:rPr>
                              <w:t>Time frame</w:t>
                            </w:r>
                          </w:p>
                        </w:tc>
                      </w:tr>
                      <w:tr w:rsidR="00540FEA" w:rsidRPr="0003763F" w:rsidTr="00625F44">
                        <w:trPr>
                          <w:tblHeader/>
                          <w:jc w:val="center"/>
                        </w:trPr>
                        <w:tc>
                          <w:tcPr>
                            <w:tcW w:w="3064" w:type="dxa"/>
                            <w:vMerge/>
                            <w:shd w:val="clear" w:color="auto" w:fill="BFBFBF"/>
                          </w:tcPr>
                          <w:p w:rsidR="00540FEA" w:rsidRPr="00C0799D" w:rsidRDefault="00540FEA" w:rsidP="00552CBB">
                            <w:pPr>
                              <w:spacing w:after="0"/>
                              <w:jc w:val="left"/>
                              <w:rPr>
                                <w:rFonts w:cs="Calibri"/>
                                <w:b/>
                                <w:sz w:val="18"/>
                                <w:szCs w:val="18"/>
                              </w:rPr>
                            </w:pPr>
                          </w:p>
                        </w:tc>
                        <w:tc>
                          <w:tcPr>
                            <w:tcW w:w="1951" w:type="dxa"/>
                            <w:vMerge/>
                            <w:shd w:val="clear" w:color="auto" w:fill="BFBFBF"/>
                          </w:tcPr>
                          <w:p w:rsidR="00540FEA" w:rsidRPr="00C0799D" w:rsidRDefault="00540FEA" w:rsidP="00552CBB">
                            <w:pPr>
                              <w:spacing w:after="0"/>
                              <w:jc w:val="left"/>
                              <w:rPr>
                                <w:rFonts w:cs="Calibri"/>
                                <w:b/>
                                <w:sz w:val="18"/>
                                <w:szCs w:val="18"/>
                              </w:rPr>
                            </w:pPr>
                          </w:p>
                        </w:tc>
                        <w:tc>
                          <w:tcPr>
                            <w:tcW w:w="1404" w:type="dxa"/>
                            <w:shd w:val="clear" w:color="auto" w:fill="BFBFBF"/>
                          </w:tcPr>
                          <w:p w:rsidR="00540FEA" w:rsidRPr="00C0799D" w:rsidRDefault="00540FEA" w:rsidP="00552CBB">
                            <w:pPr>
                              <w:spacing w:after="0"/>
                              <w:jc w:val="left"/>
                              <w:rPr>
                                <w:rFonts w:cs="Calibri"/>
                                <w:b/>
                                <w:sz w:val="18"/>
                                <w:szCs w:val="18"/>
                              </w:rPr>
                            </w:pPr>
                            <w:r w:rsidRPr="00C0799D">
                              <w:rPr>
                                <w:rFonts w:cs="Calibri"/>
                                <w:b/>
                                <w:sz w:val="18"/>
                                <w:szCs w:val="18"/>
                              </w:rPr>
                              <w:t>GEF grant</w:t>
                            </w:r>
                          </w:p>
                        </w:tc>
                        <w:tc>
                          <w:tcPr>
                            <w:tcW w:w="1260" w:type="dxa"/>
                            <w:shd w:val="clear" w:color="auto" w:fill="BFBFBF"/>
                          </w:tcPr>
                          <w:p w:rsidR="00540FEA" w:rsidRPr="00C0799D" w:rsidRDefault="00540FEA" w:rsidP="00552CBB">
                            <w:pPr>
                              <w:spacing w:after="0"/>
                              <w:jc w:val="left"/>
                              <w:rPr>
                                <w:rFonts w:cs="Calibri"/>
                                <w:b/>
                                <w:sz w:val="18"/>
                                <w:szCs w:val="18"/>
                              </w:rPr>
                            </w:pPr>
                            <w:r w:rsidRPr="00C0799D">
                              <w:rPr>
                                <w:rFonts w:cs="Calibri"/>
                                <w:b/>
                                <w:sz w:val="18"/>
                                <w:szCs w:val="18"/>
                              </w:rPr>
                              <w:t>Co-financing</w:t>
                            </w:r>
                          </w:p>
                        </w:tc>
                        <w:tc>
                          <w:tcPr>
                            <w:tcW w:w="2310" w:type="dxa"/>
                            <w:vMerge/>
                            <w:shd w:val="clear" w:color="auto" w:fill="BFBFBF"/>
                          </w:tcPr>
                          <w:p w:rsidR="00540FEA" w:rsidRPr="00C0799D" w:rsidRDefault="00540FEA" w:rsidP="00552CBB">
                            <w:pPr>
                              <w:spacing w:after="0"/>
                              <w:jc w:val="left"/>
                              <w:rPr>
                                <w:rFonts w:cs="Calibri"/>
                                <w:b/>
                                <w:sz w:val="18"/>
                                <w:szCs w:val="18"/>
                              </w:rPr>
                            </w:pP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Inception Workshop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UNDP Country Office</w:t>
                            </w:r>
                            <w:r>
                              <w:rPr>
                                <w:rFonts w:cs="Calibri"/>
                                <w:sz w:val="18"/>
                                <w:szCs w:val="18"/>
                              </w:rPr>
                              <w:t xml:space="preserve"> </w:t>
                            </w:r>
                            <w:r w:rsidRPr="00C0799D">
                              <w:rPr>
                                <w:rFonts w:cs="Calibri"/>
                                <w:sz w:val="18"/>
                                <w:szCs w:val="18"/>
                              </w:rPr>
                              <w:t>(CO)</w:t>
                            </w:r>
                            <w:r>
                              <w:rPr>
                                <w:rFonts w:cs="Calibri"/>
                                <w:sz w:val="18"/>
                                <w:szCs w:val="18"/>
                              </w:rPr>
                              <w:t xml:space="preserve"> and DBSA</w:t>
                            </w:r>
                          </w:p>
                        </w:tc>
                        <w:tc>
                          <w:tcPr>
                            <w:tcW w:w="1404" w:type="dxa"/>
                          </w:tcPr>
                          <w:p w:rsidR="00540FEA" w:rsidRPr="00C0799D" w:rsidRDefault="00540FEA" w:rsidP="00552CBB">
                            <w:pPr>
                              <w:spacing w:after="0"/>
                              <w:jc w:val="left"/>
                              <w:rPr>
                                <w:rFonts w:cs="Calibri"/>
                                <w:sz w:val="18"/>
                                <w:szCs w:val="18"/>
                              </w:rPr>
                            </w:pPr>
                            <w:r w:rsidRPr="00C0799D">
                              <w:rPr>
                                <w:rFonts w:cs="Calibri"/>
                                <w:sz w:val="18"/>
                                <w:szCs w:val="18"/>
                              </w:rPr>
                              <w:t xml:space="preserve">USD </w:t>
                            </w:r>
                            <w:r>
                              <w:rPr>
                                <w:rFonts w:cs="Calibri"/>
                                <w:sz w:val="18"/>
                                <w:szCs w:val="18"/>
                              </w:rPr>
                              <w:t>11,750</w:t>
                            </w:r>
                          </w:p>
                        </w:tc>
                        <w:tc>
                          <w:tcPr>
                            <w:tcW w:w="1260" w:type="dxa"/>
                          </w:tcPr>
                          <w:p w:rsidR="00540FEA" w:rsidRPr="00C01F8E" w:rsidRDefault="00540FEA" w:rsidP="00552CBB">
                            <w:pPr>
                              <w:spacing w:after="0"/>
                              <w:jc w:val="left"/>
                              <w:rPr>
                                <w:rFonts w:cs="Calibri"/>
                                <w:sz w:val="18"/>
                                <w:szCs w:val="18"/>
                              </w:rPr>
                            </w:pPr>
                            <w:r>
                              <w:rPr>
                                <w:rFonts w:cs="Calibri"/>
                                <w:sz w:val="18"/>
                                <w:szCs w:val="18"/>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 xml:space="preserve">Within two months of project document signature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Inception Report</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w:t>
                            </w:r>
                          </w:p>
                        </w:tc>
                        <w:tc>
                          <w:tcPr>
                            <w:tcW w:w="1404" w:type="dxa"/>
                          </w:tcPr>
                          <w:p w:rsidR="00540FEA" w:rsidRPr="00C0799D" w:rsidRDefault="00540FEA" w:rsidP="00552CBB">
                            <w:pPr>
                              <w:spacing w:after="0"/>
                              <w:jc w:val="left"/>
                              <w:rPr>
                                <w:rFonts w:cs="Calibri"/>
                                <w:sz w:val="18"/>
                                <w:szCs w:val="18"/>
                              </w:rPr>
                            </w:pPr>
                            <w:r>
                              <w:rPr>
                                <w:rFonts w:cs="Calibri"/>
                                <w:sz w:val="18"/>
                                <w:szCs w:val="18"/>
                              </w:rPr>
                              <w:t>None</w:t>
                            </w:r>
                          </w:p>
                        </w:tc>
                        <w:tc>
                          <w:tcPr>
                            <w:tcW w:w="1260" w:type="dxa"/>
                          </w:tcPr>
                          <w:p w:rsidR="00540FEA" w:rsidRPr="00C0799D" w:rsidRDefault="00540FEA" w:rsidP="00552CBB">
                            <w:pPr>
                              <w:spacing w:after="0"/>
                              <w:jc w:val="left"/>
                              <w:rPr>
                                <w:rFonts w:cs="Calibri"/>
                                <w:sz w:val="18"/>
                                <w:szCs w:val="18"/>
                              </w:rPr>
                            </w:pPr>
                            <w:r>
                              <w:rPr>
                                <w:rFonts w:cs="Calibri"/>
                                <w:sz w:val="18"/>
                                <w:szCs w:val="18"/>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Within two weeks of inception workshop</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Standard UNDP monitoring and reporting requirements as outlined in the UNDP POPP</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UNDP CO</w:t>
                            </w:r>
                          </w:p>
                          <w:p w:rsidR="00540FEA" w:rsidRPr="00C0799D" w:rsidRDefault="00540FEA" w:rsidP="00552CBB">
                            <w:pPr>
                              <w:spacing w:after="0"/>
                              <w:jc w:val="left"/>
                              <w:rPr>
                                <w:rFonts w:cs="Calibri"/>
                                <w:b/>
                                <w:sz w:val="18"/>
                                <w:szCs w:val="18"/>
                              </w:rPr>
                            </w:pPr>
                          </w:p>
                        </w:tc>
                        <w:tc>
                          <w:tcPr>
                            <w:tcW w:w="1404" w:type="dxa"/>
                          </w:tcPr>
                          <w:p w:rsidR="00540FEA" w:rsidRPr="00C0799D" w:rsidRDefault="00540FEA" w:rsidP="00552CBB">
                            <w:pPr>
                              <w:spacing w:after="0"/>
                              <w:jc w:val="left"/>
                              <w:rPr>
                                <w:rFonts w:cs="Calibri"/>
                                <w:sz w:val="18"/>
                                <w:szCs w:val="18"/>
                              </w:rPr>
                            </w:pPr>
                            <w:r w:rsidRPr="00C0799D">
                              <w:rPr>
                                <w:rFonts w:cs="Calibri"/>
                                <w:sz w:val="18"/>
                                <w:szCs w:val="18"/>
                              </w:rPr>
                              <w:t>None</w:t>
                            </w:r>
                          </w:p>
                        </w:tc>
                        <w:tc>
                          <w:tcPr>
                            <w:tcW w:w="1260" w:type="dxa"/>
                          </w:tcPr>
                          <w:p w:rsidR="00540FEA" w:rsidRPr="00C0799D" w:rsidRDefault="00540FEA" w:rsidP="00552CBB">
                            <w:pPr>
                              <w:spacing w:after="0"/>
                              <w:jc w:val="left"/>
                              <w:rPr>
                                <w:rFonts w:cs="Calibri"/>
                                <w:sz w:val="18"/>
                                <w:szCs w:val="18"/>
                              </w:rPr>
                            </w:pPr>
                            <w:r w:rsidRPr="00C0799D">
                              <w:rPr>
                                <w:rFonts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Quarterly, 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Monitoring of indicators in project results framework, including updating GEF tracking tool</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r>
                              <w:rPr>
                                <w:rFonts w:cs="Calibri"/>
                                <w:sz w:val="18"/>
                                <w:szCs w:val="18"/>
                              </w:rPr>
                              <w:t xml:space="preserve"> (and consultants)</w:t>
                            </w:r>
                          </w:p>
                          <w:p w:rsidR="00540FEA" w:rsidRPr="00C0799D" w:rsidRDefault="00540FEA" w:rsidP="00552CBB">
                            <w:pPr>
                              <w:spacing w:after="0"/>
                              <w:jc w:val="left"/>
                              <w:rPr>
                                <w:rFonts w:cs="Calibri"/>
                                <w:sz w:val="18"/>
                                <w:szCs w:val="18"/>
                              </w:rPr>
                            </w:pP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15,000</w:t>
                            </w:r>
                          </w:p>
                        </w:tc>
                        <w:tc>
                          <w:tcPr>
                            <w:tcW w:w="1260" w:type="dxa"/>
                          </w:tcPr>
                          <w:p w:rsidR="00540FEA" w:rsidRPr="00C01F8E"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napToGrid/>
                                <w:sz w:val="18"/>
                                <w:szCs w:val="18"/>
                                <w:lang w:val="en-GB"/>
                              </w:rPr>
                              <w:t>USD 5,000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Annually before PIR; updating tracking tool before MTE and TE missions</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GEF Project Implementation Report (PIR)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 DBSA and UNDP (CO and UNDP-GEF team)</w:t>
                            </w: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1260"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 xml:space="preserve">Annually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Lessons learned and knowledge generation</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p>
                        </w:tc>
                        <w:tc>
                          <w:tcPr>
                            <w:tcW w:w="1404" w:type="dxa"/>
                          </w:tcPr>
                          <w:p w:rsidR="00540FEA" w:rsidRDefault="00540FEA" w:rsidP="00552CBB">
                            <w:pPr>
                              <w:spacing w:after="0"/>
                              <w:jc w:val="left"/>
                              <w:rPr>
                                <w:rFonts w:cs="Calibri"/>
                                <w:sz w:val="18"/>
                                <w:szCs w:val="18"/>
                              </w:rPr>
                            </w:pPr>
                            <w:r>
                              <w:rPr>
                                <w:rFonts w:cs="Calibri"/>
                                <w:sz w:val="18"/>
                                <w:szCs w:val="18"/>
                              </w:rPr>
                              <w:t>USD 8,100</w:t>
                            </w:r>
                          </w:p>
                          <w:p w:rsidR="00540FEA" w:rsidRPr="00C0799D" w:rsidRDefault="00540FEA" w:rsidP="00552CBB">
                            <w:pPr>
                              <w:spacing w:after="0"/>
                              <w:jc w:val="left"/>
                              <w:rPr>
                                <w:rFonts w:cs="Calibri"/>
                                <w:sz w:val="18"/>
                                <w:szCs w:val="18"/>
                              </w:rPr>
                            </w:pPr>
                          </w:p>
                        </w:tc>
                        <w:tc>
                          <w:tcPr>
                            <w:tcW w:w="1260" w:type="dxa"/>
                          </w:tcPr>
                          <w:p w:rsidR="00540FEA" w:rsidRPr="00594375" w:rsidRDefault="00540FEA" w:rsidP="00552CBB">
                            <w:pPr>
                              <w:spacing w:after="0"/>
                              <w:jc w:val="left"/>
                              <w:rPr>
                                <w:rFonts w:cs="Calibri"/>
                                <w:sz w:val="18"/>
                                <w:szCs w:val="18"/>
                              </w:rPr>
                            </w:pPr>
                            <w:r w:rsidRPr="00594375">
                              <w:rPr>
                                <w:rFonts w:cs="Calibri"/>
                                <w:sz w:val="18"/>
                                <w:szCs w:val="18"/>
                              </w:rPr>
                              <w:t>USD 20</w:t>
                            </w:r>
                            <w:r>
                              <w:rPr>
                                <w:rFonts w:cs="Calibri"/>
                                <w:sz w:val="18"/>
                                <w:szCs w:val="18"/>
                              </w:rPr>
                              <w:t>,</w:t>
                            </w:r>
                            <w:r w:rsidRPr="00594375">
                              <w:rPr>
                                <w:rFonts w:cs="Calibri"/>
                                <w:sz w:val="18"/>
                                <w:szCs w:val="18"/>
                              </w:rPr>
                              <w:t>000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Monitoring of environmental and social risks; Corresponding management plans and addressing grievances as relevant</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Project Manager</w:t>
                            </w:r>
                          </w:p>
                          <w:p w:rsidR="00540FEA" w:rsidRPr="00C0799D" w:rsidRDefault="00540FEA" w:rsidP="00552CBB">
                            <w:pPr>
                              <w:spacing w:after="0"/>
                              <w:jc w:val="left"/>
                              <w:rPr>
                                <w:rFonts w:cs="Calibri"/>
                                <w:sz w:val="18"/>
                                <w:szCs w:val="18"/>
                              </w:rPr>
                            </w:pPr>
                            <w:r w:rsidRPr="00C0799D">
                              <w:rPr>
                                <w:rFonts w:cs="Calibri"/>
                                <w:sz w:val="18"/>
                                <w:szCs w:val="18"/>
                              </w:rPr>
                              <w:t>UNDP CO</w:t>
                            </w:r>
                          </w:p>
                        </w:tc>
                        <w:tc>
                          <w:tcPr>
                            <w:tcW w:w="1404" w:type="dxa"/>
                          </w:tcPr>
                          <w:p w:rsidR="00540FEA" w:rsidRPr="00594375" w:rsidRDefault="00540FEA" w:rsidP="00552CBB">
                            <w:pPr>
                              <w:spacing w:after="0"/>
                              <w:jc w:val="left"/>
                              <w:rPr>
                                <w:rFonts w:cs="Calibri"/>
                                <w:sz w:val="18"/>
                                <w:szCs w:val="18"/>
                              </w:rPr>
                            </w:pPr>
                            <w:r>
                              <w:rPr>
                                <w:rFonts w:cs="Calibri"/>
                                <w:sz w:val="18"/>
                                <w:szCs w:val="18"/>
                              </w:rPr>
                              <w:t>None</w:t>
                            </w:r>
                          </w:p>
                        </w:tc>
                        <w:tc>
                          <w:tcPr>
                            <w:tcW w:w="1260" w:type="dxa"/>
                          </w:tcPr>
                          <w:p w:rsidR="00540FEA" w:rsidRPr="00594375" w:rsidRDefault="00540FEA" w:rsidP="00552CBB">
                            <w:pPr>
                              <w:spacing w:after="0"/>
                              <w:jc w:val="left"/>
                              <w:rPr>
                                <w:rFonts w:cs="Calibri"/>
                                <w:sz w:val="18"/>
                                <w:szCs w:val="18"/>
                              </w:rPr>
                            </w:pPr>
                            <w:r>
                              <w:rPr>
                                <w:rFonts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On-going</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PSC meetings and supervision</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PSC, DBSA, UNDP CO</w:t>
                            </w:r>
                          </w:p>
                          <w:p w:rsidR="00540FEA" w:rsidRPr="00C0799D" w:rsidRDefault="00540FEA" w:rsidP="00552CBB">
                            <w:pPr>
                              <w:spacing w:after="0"/>
                              <w:jc w:val="left"/>
                              <w:rPr>
                                <w:rFonts w:cs="Calibri"/>
                                <w:sz w:val="18"/>
                                <w:szCs w:val="18"/>
                              </w:rPr>
                            </w:pPr>
                            <w:r w:rsidRPr="00C0799D">
                              <w:rPr>
                                <w:rFonts w:cs="Calibri"/>
                                <w:sz w:val="18"/>
                                <w:szCs w:val="18"/>
                              </w:rPr>
                              <w:t>Project Manager</w:t>
                            </w:r>
                          </w:p>
                        </w:tc>
                        <w:tc>
                          <w:tcPr>
                            <w:tcW w:w="1404" w:type="dxa"/>
                          </w:tcPr>
                          <w:p w:rsidR="00540FEA" w:rsidRPr="00203D29" w:rsidRDefault="00540FEA" w:rsidP="00552CBB">
                            <w:pPr>
                              <w:spacing w:after="0"/>
                              <w:jc w:val="left"/>
                              <w:rPr>
                                <w:rFonts w:cs="Calibri"/>
                                <w:sz w:val="18"/>
                                <w:szCs w:val="18"/>
                              </w:rPr>
                            </w:pPr>
                            <w:r>
                              <w:rPr>
                                <w:rFonts w:cs="Calibri"/>
                                <w:sz w:val="18"/>
                                <w:szCs w:val="18"/>
                              </w:rPr>
                              <w:t>None</w:t>
                            </w:r>
                          </w:p>
                        </w:tc>
                        <w:tc>
                          <w:tcPr>
                            <w:tcW w:w="1260" w:type="dxa"/>
                          </w:tcPr>
                          <w:p w:rsidR="00540FEA" w:rsidRPr="00594375" w:rsidRDefault="00540FEA" w:rsidP="00552CBB">
                            <w:pPr>
                              <w:spacing w:after="0"/>
                              <w:jc w:val="left"/>
                              <w:rPr>
                                <w:rFonts w:cs="Calibri"/>
                                <w:sz w:val="18"/>
                                <w:szCs w:val="18"/>
                              </w:rPr>
                            </w:pPr>
                            <w:r>
                              <w:rPr>
                                <w:rFonts w:cs="Calibri"/>
                                <w:sz w:val="18"/>
                                <w:szCs w:val="18"/>
                              </w:rPr>
                              <w:t xml:space="preserve">USD </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At minimum annually</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Oversight missions UNDP-GEF; </w:t>
                            </w:r>
                            <w:r w:rsidRPr="00552CBB">
                              <w:rPr>
                                <w:rFonts w:cs="Calibri"/>
                                <w:b/>
                                <w:sz w:val="18"/>
                                <w:szCs w:val="18"/>
                              </w:rPr>
                              <w:t>GEF Secretariat learning missions/site visits</w:t>
                            </w:r>
                          </w:p>
                        </w:tc>
                        <w:tc>
                          <w:tcPr>
                            <w:tcW w:w="1951" w:type="dxa"/>
                          </w:tcPr>
                          <w:p w:rsidR="00540FEA" w:rsidRDefault="00540FEA" w:rsidP="00552CBB">
                            <w:pPr>
                              <w:spacing w:after="0"/>
                              <w:jc w:val="left"/>
                              <w:rPr>
                                <w:rFonts w:cs="Calibri"/>
                                <w:sz w:val="18"/>
                                <w:szCs w:val="18"/>
                              </w:rPr>
                            </w:pPr>
                            <w:r w:rsidRPr="00C0799D">
                              <w:rPr>
                                <w:rFonts w:cs="Calibri"/>
                                <w:sz w:val="18"/>
                                <w:szCs w:val="18"/>
                              </w:rPr>
                              <w:t>UNDP-GEF team, UNBDP CO, DBSA</w:t>
                            </w:r>
                          </w:p>
                          <w:p w:rsidR="00540FEA" w:rsidRPr="00594375" w:rsidRDefault="00540FEA" w:rsidP="00552CBB">
                            <w:pPr>
                              <w:spacing w:after="0"/>
                              <w:jc w:val="left"/>
                              <w:rPr>
                                <w:rFonts w:cs="Calibri"/>
                                <w:sz w:val="18"/>
                                <w:szCs w:val="18"/>
                              </w:rPr>
                            </w:pPr>
                          </w:p>
                        </w:tc>
                        <w:tc>
                          <w:tcPr>
                            <w:tcW w:w="1404" w:type="dxa"/>
                          </w:tcPr>
                          <w:p w:rsidR="00540FEA" w:rsidRPr="00C0799D" w:rsidRDefault="00540FEA" w:rsidP="00552CBB">
                            <w:pPr>
                              <w:pStyle w:val="BodyText23"/>
                              <w:widowControl/>
                              <w:tabs>
                                <w:tab w:val="clear" w:pos="547"/>
                              </w:tabs>
                              <w:rPr>
                                <w:rFonts w:ascii="Calibri" w:hAnsi="Calibri" w:cs="Calibri"/>
                                <w:snapToGrid/>
                                <w:sz w:val="18"/>
                                <w:szCs w:val="18"/>
                                <w:lang w:val="en-GB"/>
                              </w:rPr>
                            </w:pPr>
                            <w:r w:rsidRPr="00C0799D">
                              <w:rPr>
                                <w:rFonts w:ascii="Calibri" w:hAnsi="Calibri" w:cs="Calibri"/>
                                <w:snapToGrid/>
                                <w:sz w:val="18"/>
                                <w:szCs w:val="18"/>
                                <w:lang w:val="en-GB"/>
                              </w:rPr>
                              <w:t>Non</w:t>
                            </w:r>
                            <w:r>
                              <w:rPr>
                                <w:rFonts w:ascii="Calibri" w:hAnsi="Calibri" w:cs="Calibri"/>
                                <w:snapToGrid/>
                                <w:sz w:val="18"/>
                                <w:szCs w:val="18"/>
                                <w:lang w:val="en-GB"/>
                              </w:rPr>
                              <w:t>e</w:t>
                            </w:r>
                            <w:r w:rsidRPr="00C0799D">
                              <w:rPr>
                                <w:rFonts w:ascii="Calibri" w:hAnsi="Calibri" w:cs="Calibri"/>
                                <w:snapToGrid/>
                                <w:sz w:val="18"/>
                                <w:szCs w:val="18"/>
                                <w:lang w:val="en-GB"/>
                              </w:rPr>
                              <w:t xml:space="preserve"> </w:t>
                            </w:r>
                          </w:p>
                        </w:tc>
                        <w:tc>
                          <w:tcPr>
                            <w:tcW w:w="1260" w:type="dxa"/>
                          </w:tcPr>
                          <w:p w:rsidR="00540FEA" w:rsidRPr="00594375" w:rsidRDefault="00540FEA" w:rsidP="00552CBB">
                            <w:pPr>
                              <w:pStyle w:val="BodyText23"/>
                              <w:widowControl/>
                              <w:tabs>
                                <w:tab w:val="clear" w:pos="547"/>
                              </w:tabs>
                              <w:rPr>
                                <w:rFonts w:ascii="Calibri" w:hAnsi="Calibri" w:cs="Calibri"/>
                                <w:snapToGrid/>
                                <w:sz w:val="18"/>
                                <w:szCs w:val="18"/>
                                <w:lang w:val="en-GB"/>
                              </w:rPr>
                            </w:pPr>
                            <w:r>
                              <w:rPr>
                                <w:rFonts w:ascii="Calibri" w:hAnsi="Calibri" w:cs="Calibri"/>
                                <w:sz w:val="18"/>
                                <w:szCs w:val="18"/>
                              </w:rPr>
                              <w:t>None</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Troubleshooting as needed</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 xml:space="preserve">Independent Mid-term Review (MTR) and management response </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DBSA, UNDP CO, Project team and UNDP-GEF team</w:t>
                            </w:r>
                          </w:p>
                        </w:tc>
                        <w:tc>
                          <w:tcPr>
                            <w:tcW w:w="1404" w:type="dxa"/>
                          </w:tcPr>
                          <w:p w:rsidR="00540FEA" w:rsidRDefault="00540FEA" w:rsidP="00552CBB">
                            <w:pPr>
                              <w:spacing w:after="0"/>
                              <w:jc w:val="left"/>
                              <w:rPr>
                                <w:rFonts w:cs="Calibri"/>
                                <w:sz w:val="18"/>
                                <w:szCs w:val="18"/>
                              </w:rPr>
                            </w:pPr>
                            <w:r>
                              <w:rPr>
                                <w:rFonts w:cs="Calibri"/>
                                <w:sz w:val="18"/>
                                <w:szCs w:val="18"/>
                              </w:rPr>
                              <w:t>USD 29,200</w:t>
                            </w:r>
                          </w:p>
                          <w:p w:rsidR="00540FEA" w:rsidRPr="00203D29" w:rsidRDefault="00540FEA" w:rsidP="00552CBB">
                            <w:pPr>
                              <w:spacing w:after="0"/>
                              <w:jc w:val="left"/>
                              <w:rPr>
                                <w:rFonts w:cs="Calibri"/>
                                <w:sz w:val="18"/>
                                <w:szCs w:val="18"/>
                              </w:rPr>
                            </w:pPr>
                          </w:p>
                        </w:tc>
                        <w:tc>
                          <w:tcPr>
                            <w:tcW w:w="1260" w:type="dxa"/>
                          </w:tcPr>
                          <w:p w:rsidR="00540FEA" w:rsidRPr="00594375" w:rsidRDefault="00540FEA" w:rsidP="00552CBB">
                            <w:pPr>
                              <w:spacing w:after="0"/>
                              <w:jc w:val="left"/>
                              <w:rPr>
                                <w:rFonts w:cs="Calibri"/>
                                <w:sz w:val="18"/>
                                <w:szCs w:val="18"/>
                                <w:highlight w:val="yellow"/>
                              </w:rPr>
                            </w:pPr>
                            <w:r>
                              <w:rPr>
                                <w:rFonts w:cs="Calibri"/>
                                <w:sz w:val="18"/>
                                <w:szCs w:val="18"/>
                              </w:rPr>
                              <w:t>USD 7,500</w:t>
                            </w:r>
                          </w:p>
                        </w:tc>
                        <w:tc>
                          <w:tcPr>
                            <w:tcW w:w="2310" w:type="dxa"/>
                          </w:tcPr>
                          <w:p w:rsidR="00540FEA" w:rsidRPr="00C0799D" w:rsidRDefault="00540FEA" w:rsidP="00552CBB">
                            <w:pPr>
                              <w:spacing w:after="0"/>
                              <w:jc w:val="left"/>
                              <w:rPr>
                                <w:rFonts w:cs="Calibri"/>
                                <w:i/>
                                <w:sz w:val="18"/>
                                <w:szCs w:val="18"/>
                              </w:rPr>
                            </w:pPr>
                            <w:r w:rsidRPr="00C0799D">
                              <w:rPr>
                                <w:rFonts w:cs="Calibri"/>
                                <w:i/>
                                <w:sz w:val="18"/>
                                <w:szCs w:val="18"/>
                              </w:rPr>
                              <w:t>Between 2</w:t>
                            </w:r>
                            <w:r w:rsidRPr="00C0799D">
                              <w:rPr>
                                <w:rFonts w:cs="Calibri"/>
                                <w:i/>
                                <w:sz w:val="18"/>
                                <w:szCs w:val="18"/>
                                <w:vertAlign w:val="superscript"/>
                              </w:rPr>
                              <w:t>nd</w:t>
                            </w:r>
                            <w:r w:rsidRPr="00C0799D">
                              <w:rPr>
                                <w:rFonts w:cs="Calibri"/>
                                <w:i/>
                                <w:sz w:val="18"/>
                                <w:szCs w:val="18"/>
                              </w:rPr>
                              <w:t xml:space="preserve"> and 3</w:t>
                            </w:r>
                            <w:r w:rsidRPr="00C0799D">
                              <w:rPr>
                                <w:rFonts w:cs="Calibri"/>
                                <w:i/>
                                <w:sz w:val="18"/>
                                <w:szCs w:val="18"/>
                                <w:vertAlign w:val="superscript"/>
                              </w:rPr>
                              <w:t>rd</w:t>
                            </w:r>
                            <w:r w:rsidRPr="00C0799D">
                              <w:rPr>
                                <w:rFonts w:cs="Calibri"/>
                                <w:i/>
                                <w:sz w:val="18"/>
                                <w:szCs w:val="18"/>
                              </w:rPr>
                              <w:t xml:space="preserve"> PIR.  </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sidRPr="00C0799D">
                              <w:rPr>
                                <w:rFonts w:cs="Calibri"/>
                                <w:b/>
                                <w:sz w:val="18"/>
                                <w:szCs w:val="18"/>
                              </w:rPr>
                              <w:t>Independent Terminal Evaluation (TE) including management response</w:t>
                            </w:r>
                          </w:p>
                        </w:tc>
                        <w:tc>
                          <w:tcPr>
                            <w:tcW w:w="1951" w:type="dxa"/>
                          </w:tcPr>
                          <w:p w:rsidR="00540FEA" w:rsidRPr="00C0799D" w:rsidRDefault="00540FEA" w:rsidP="00552CBB">
                            <w:pPr>
                              <w:spacing w:after="0"/>
                              <w:jc w:val="left"/>
                              <w:rPr>
                                <w:rFonts w:cs="Calibri"/>
                                <w:sz w:val="18"/>
                                <w:szCs w:val="18"/>
                              </w:rPr>
                            </w:pPr>
                            <w:r w:rsidRPr="00C0799D">
                              <w:rPr>
                                <w:rFonts w:cs="Calibri"/>
                                <w:sz w:val="18"/>
                                <w:szCs w:val="18"/>
                              </w:rPr>
                              <w:t>DBSA, UNDP CO, Project team and UNDP-GEF team</w:t>
                            </w:r>
                          </w:p>
                        </w:tc>
                        <w:tc>
                          <w:tcPr>
                            <w:tcW w:w="1404" w:type="dxa"/>
                          </w:tcPr>
                          <w:p w:rsidR="00540FEA" w:rsidRPr="00C0799D" w:rsidRDefault="00540FEA" w:rsidP="00552CBB">
                            <w:pPr>
                              <w:spacing w:after="0"/>
                              <w:jc w:val="left"/>
                              <w:rPr>
                                <w:rFonts w:cs="Calibri"/>
                                <w:sz w:val="18"/>
                                <w:szCs w:val="18"/>
                              </w:rPr>
                            </w:pPr>
                            <w:r>
                              <w:rPr>
                                <w:rFonts w:cs="Calibri"/>
                                <w:sz w:val="18"/>
                                <w:szCs w:val="18"/>
                              </w:rPr>
                              <w:t>USD 29,200</w:t>
                            </w:r>
                          </w:p>
                        </w:tc>
                        <w:tc>
                          <w:tcPr>
                            <w:tcW w:w="1260" w:type="dxa"/>
                          </w:tcPr>
                          <w:p w:rsidR="00540FEA" w:rsidRPr="00594375" w:rsidRDefault="00540FEA" w:rsidP="00552CBB">
                            <w:pPr>
                              <w:tabs>
                                <w:tab w:val="center" w:pos="1216"/>
                              </w:tabs>
                              <w:spacing w:after="0"/>
                              <w:jc w:val="left"/>
                              <w:rPr>
                                <w:rFonts w:cs="Calibri"/>
                                <w:sz w:val="18"/>
                                <w:szCs w:val="18"/>
                              </w:rPr>
                            </w:pPr>
                            <w:r>
                              <w:rPr>
                                <w:rFonts w:cs="Calibri"/>
                                <w:sz w:val="18"/>
                                <w:szCs w:val="18"/>
                              </w:rPr>
                              <w:t>USD 7,500</w:t>
                            </w:r>
                          </w:p>
                        </w:tc>
                        <w:tc>
                          <w:tcPr>
                            <w:tcW w:w="2310" w:type="dxa"/>
                          </w:tcPr>
                          <w:p w:rsidR="00540FEA" w:rsidRPr="00C0799D" w:rsidRDefault="00540FEA" w:rsidP="00552CBB">
                            <w:pPr>
                              <w:spacing w:after="0"/>
                              <w:jc w:val="left"/>
                              <w:rPr>
                                <w:rFonts w:cs="Calibri"/>
                                <w:sz w:val="18"/>
                                <w:szCs w:val="18"/>
                              </w:rPr>
                            </w:pPr>
                            <w:r w:rsidRPr="00C0799D">
                              <w:rPr>
                                <w:rFonts w:cs="Calibri"/>
                                <w:sz w:val="18"/>
                                <w:szCs w:val="18"/>
                              </w:rPr>
                              <w:t>At least three months before operational closure</w:t>
                            </w:r>
                          </w:p>
                        </w:tc>
                      </w:tr>
                      <w:tr w:rsidR="00540FEA" w:rsidRPr="0003763F" w:rsidTr="00625F44">
                        <w:trPr>
                          <w:jc w:val="center"/>
                        </w:trPr>
                        <w:tc>
                          <w:tcPr>
                            <w:tcW w:w="3064" w:type="dxa"/>
                          </w:tcPr>
                          <w:p w:rsidR="00540FEA" w:rsidRPr="00C0799D" w:rsidRDefault="00540FEA" w:rsidP="00552CBB">
                            <w:pPr>
                              <w:spacing w:after="0"/>
                              <w:jc w:val="left"/>
                              <w:rPr>
                                <w:rFonts w:cs="Calibri"/>
                                <w:b/>
                                <w:sz w:val="18"/>
                                <w:szCs w:val="18"/>
                              </w:rPr>
                            </w:pPr>
                            <w:r>
                              <w:rPr>
                                <w:rFonts w:cs="Calibri"/>
                                <w:b/>
                                <w:sz w:val="18"/>
                                <w:szCs w:val="18"/>
                              </w:rPr>
                              <w:t>End-of-project report and workshop</w:t>
                            </w:r>
                          </w:p>
                        </w:tc>
                        <w:tc>
                          <w:tcPr>
                            <w:tcW w:w="1951" w:type="dxa"/>
                          </w:tcPr>
                          <w:p w:rsidR="00540FEA" w:rsidRPr="00C0799D" w:rsidRDefault="00540FEA" w:rsidP="00552CBB">
                            <w:pPr>
                              <w:spacing w:after="0"/>
                              <w:jc w:val="left"/>
                              <w:rPr>
                                <w:rFonts w:cs="Calibri"/>
                                <w:sz w:val="18"/>
                                <w:szCs w:val="18"/>
                              </w:rPr>
                            </w:pPr>
                            <w:r>
                              <w:rPr>
                                <w:rFonts w:cs="Calibri"/>
                                <w:sz w:val="18"/>
                                <w:szCs w:val="18"/>
                              </w:rPr>
                              <w:t>DBSA, UNDP and Project Team</w:t>
                            </w:r>
                          </w:p>
                        </w:tc>
                        <w:tc>
                          <w:tcPr>
                            <w:tcW w:w="1404" w:type="dxa"/>
                          </w:tcPr>
                          <w:p w:rsidR="00540FEA" w:rsidRPr="00C0799D" w:rsidRDefault="00540FEA" w:rsidP="00552CBB">
                            <w:pPr>
                              <w:spacing w:after="0"/>
                              <w:jc w:val="left"/>
                              <w:rPr>
                                <w:rFonts w:cs="Calibri"/>
                                <w:sz w:val="18"/>
                                <w:szCs w:val="18"/>
                              </w:rPr>
                            </w:pPr>
                            <w:r>
                              <w:rPr>
                                <w:rFonts w:cs="Calibri"/>
                                <w:sz w:val="18"/>
                                <w:szCs w:val="18"/>
                              </w:rPr>
                              <w:t>USD 11,750</w:t>
                            </w:r>
                          </w:p>
                        </w:tc>
                        <w:tc>
                          <w:tcPr>
                            <w:tcW w:w="1260" w:type="dxa"/>
                          </w:tcPr>
                          <w:p w:rsidR="00540FEA" w:rsidRPr="00203D29" w:rsidRDefault="00540FEA" w:rsidP="00552CBB">
                            <w:pPr>
                              <w:tabs>
                                <w:tab w:val="center" w:pos="1216"/>
                              </w:tabs>
                              <w:spacing w:after="0"/>
                              <w:jc w:val="left"/>
                              <w:rPr>
                                <w:rFonts w:cs="Calibri"/>
                                <w:sz w:val="18"/>
                                <w:szCs w:val="18"/>
                              </w:rPr>
                            </w:pPr>
                            <w:r>
                              <w:rPr>
                                <w:rFonts w:cs="Calibri"/>
                                <w:sz w:val="18"/>
                                <w:szCs w:val="18"/>
                              </w:rPr>
                              <w:t>USD 30,000</w:t>
                            </w:r>
                          </w:p>
                        </w:tc>
                        <w:tc>
                          <w:tcPr>
                            <w:tcW w:w="2310" w:type="dxa"/>
                          </w:tcPr>
                          <w:p w:rsidR="00540FEA" w:rsidRPr="00C0799D" w:rsidRDefault="00540FEA" w:rsidP="00552CBB">
                            <w:pPr>
                              <w:spacing w:after="0"/>
                              <w:jc w:val="left"/>
                              <w:rPr>
                                <w:rFonts w:cs="Calibri"/>
                                <w:sz w:val="18"/>
                                <w:szCs w:val="18"/>
                              </w:rPr>
                            </w:pPr>
                          </w:p>
                        </w:tc>
                      </w:tr>
                      <w:tr w:rsidR="00540FEA" w:rsidRPr="0003763F" w:rsidTr="00625F44">
                        <w:trPr>
                          <w:cantSplit/>
                          <w:trHeight w:val="455"/>
                          <w:jc w:val="center"/>
                        </w:trPr>
                        <w:tc>
                          <w:tcPr>
                            <w:tcW w:w="5015" w:type="dxa"/>
                            <w:gridSpan w:val="2"/>
                            <w:shd w:val="clear" w:color="auto" w:fill="E6E6E6"/>
                          </w:tcPr>
                          <w:p w:rsidR="00540FEA" w:rsidRPr="00C0799D" w:rsidRDefault="00540FEA" w:rsidP="00203D29">
                            <w:pPr>
                              <w:spacing w:after="0"/>
                              <w:jc w:val="left"/>
                              <w:rPr>
                                <w:rFonts w:cs="Calibri"/>
                                <w:sz w:val="18"/>
                                <w:szCs w:val="18"/>
                              </w:rPr>
                            </w:pPr>
                            <w:r w:rsidRPr="00C0799D">
                              <w:rPr>
                                <w:rFonts w:cs="Calibri"/>
                                <w:b/>
                                <w:sz w:val="18"/>
                                <w:szCs w:val="18"/>
                              </w:rPr>
                              <w:t>TOTAL indicative COST</w:t>
                            </w:r>
                            <w:r>
                              <w:rPr>
                                <w:rFonts w:cs="Calibri"/>
                                <w:b/>
                                <w:sz w:val="18"/>
                                <w:szCs w:val="18"/>
                              </w:rPr>
                              <w:t xml:space="preserve"> </w:t>
                            </w:r>
                            <w:r>
                              <w:rPr>
                                <w:rFonts w:cs="Calibri"/>
                                <w:sz w:val="18"/>
                                <w:szCs w:val="18"/>
                              </w:rPr>
                              <w:t>(e</w:t>
                            </w:r>
                            <w:r w:rsidRPr="00C0799D">
                              <w:rPr>
                                <w:rFonts w:cs="Calibri"/>
                                <w:sz w:val="18"/>
                                <w:szCs w:val="18"/>
                              </w:rPr>
                              <w:t xml:space="preserve">xcluding project team staff time, and UNDP staff and travel expenses </w:t>
                            </w:r>
                          </w:p>
                        </w:tc>
                        <w:tc>
                          <w:tcPr>
                            <w:tcW w:w="1404" w:type="dxa"/>
                            <w:shd w:val="clear" w:color="auto" w:fill="E6E6E6"/>
                          </w:tcPr>
                          <w:p w:rsidR="00540FEA" w:rsidRPr="00594375" w:rsidRDefault="00540FEA" w:rsidP="00552CBB">
                            <w:pPr>
                              <w:spacing w:after="0"/>
                              <w:jc w:val="left"/>
                              <w:rPr>
                                <w:rFonts w:cs="Calibri"/>
                                <w:b/>
                                <w:sz w:val="18"/>
                                <w:szCs w:val="18"/>
                              </w:rPr>
                            </w:pPr>
                            <w:r w:rsidRPr="00594375">
                              <w:rPr>
                                <w:rFonts w:cs="Calibri"/>
                                <w:b/>
                                <w:sz w:val="18"/>
                                <w:szCs w:val="18"/>
                              </w:rPr>
                              <w:t xml:space="preserve">USD </w:t>
                            </w:r>
                            <w:r>
                              <w:rPr>
                                <w:rFonts w:cs="Calibri"/>
                                <w:b/>
                                <w:sz w:val="18"/>
                                <w:szCs w:val="18"/>
                              </w:rPr>
                              <w:t>105,000</w:t>
                            </w:r>
                          </w:p>
                        </w:tc>
                        <w:tc>
                          <w:tcPr>
                            <w:tcW w:w="1260" w:type="dxa"/>
                            <w:shd w:val="clear" w:color="auto" w:fill="E6E6E6"/>
                          </w:tcPr>
                          <w:p w:rsidR="00540FEA" w:rsidRPr="00594375" w:rsidRDefault="00540FEA" w:rsidP="00552CBB">
                            <w:pPr>
                              <w:spacing w:after="0"/>
                              <w:jc w:val="left"/>
                              <w:rPr>
                                <w:rFonts w:cs="Calibri"/>
                                <w:b/>
                                <w:sz w:val="18"/>
                                <w:szCs w:val="18"/>
                              </w:rPr>
                            </w:pPr>
                            <w:r>
                              <w:rPr>
                                <w:rFonts w:cs="Calibri"/>
                                <w:b/>
                                <w:sz w:val="18"/>
                                <w:szCs w:val="18"/>
                              </w:rPr>
                              <w:t>USD 80,000</w:t>
                            </w:r>
                          </w:p>
                        </w:tc>
                        <w:tc>
                          <w:tcPr>
                            <w:tcW w:w="2310" w:type="dxa"/>
                            <w:shd w:val="clear" w:color="auto" w:fill="E6E6E6"/>
                          </w:tcPr>
                          <w:p w:rsidR="00540FEA" w:rsidRPr="00C0799D" w:rsidRDefault="00540FEA" w:rsidP="00552CBB">
                            <w:pPr>
                              <w:spacing w:after="0"/>
                              <w:jc w:val="left"/>
                              <w:rPr>
                                <w:rFonts w:cs="Calibri"/>
                                <w:sz w:val="18"/>
                                <w:szCs w:val="18"/>
                                <w:highlight w:val="yellow"/>
                              </w:rPr>
                            </w:pPr>
                          </w:p>
                        </w:tc>
                      </w:tr>
                    </w:tbl>
                    <w:p w:rsidR="00540FEA" w:rsidRDefault="00540FEA" w:rsidP="00C0799D">
                      <w:pPr>
                        <w:rPr>
                          <w:rFonts w:ascii="Arial" w:hAnsi="Arial" w:cs="Arial"/>
                          <w:b/>
                          <w:color w:val="2E74B5"/>
                          <w:sz w:val="18"/>
                        </w:rPr>
                      </w:pPr>
                    </w:p>
                    <w:p w:rsidR="00540FEA" w:rsidRPr="00625F44" w:rsidRDefault="00540FEA" w:rsidP="00C0799D">
                      <w:pPr>
                        <w:rPr>
                          <w:sz w:val="16"/>
                          <w:szCs w:val="16"/>
                        </w:rPr>
                      </w:pPr>
                      <w:r w:rsidRPr="00625F44">
                        <w:rPr>
                          <w:sz w:val="16"/>
                          <w:szCs w:val="16"/>
                        </w:rPr>
                        <w:t>It should be noted that, as per GEF instructions, audit services are considered part of ‘project management cost’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30"/>
                        <w:gridCol w:w="1979"/>
                        <w:gridCol w:w="1261"/>
                        <w:gridCol w:w="1274"/>
                        <w:gridCol w:w="2345"/>
                      </w:tblGrid>
                      <w:tr w:rsidR="00540FEA" w:rsidRPr="00224808" w:rsidTr="00625F44">
                        <w:trPr>
                          <w:jc w:val="center"/>
                        </w:trPr>
                        <w:tc>
                          <w:tcPr>
                            <w:tcW w:w="3139" w:type="dxa"/>
                          </w:tcPr>
                          <w:p w:rsidR="00540FEA" w:rsidRPr="00625F44" w:rsidRDefault="00540FEA" w:rsidP="00224808">
                            <w:pPr>
                              <w:rPr>
                                <w:b/>
                                <w:sz w:val="16"/>
                                <w:szCs w:val="16"/>
                              </w:rPr>
                            </w:pPr>
                            <w:r w:rsidRPr="00625F44">
                              <w:rPr>
                                <w:b/>
                                <w:sz w:val="16"/>
                                <w:szCs w:val="16"/>
                              </w:rPr>
                              <w:t>Audit service</w:t>
                            </w:r>
                          </w:p>
                        </w:tc>
                        <w:tc>
                          <w:tcPr>
                            <w:tcW w:w="1984" w:type="dxa"/>
                          </w:tcPr>
                          <w:p w:rsidR="00540FEA" w:rsidRPr="00625F44" w:rsidRDefault="00540FEA" w:rsidP="00224808">
                            <w:pPr>
                              <w:rPr>
                                <w:sz w:val="16"/>
                                <w:szCs w:val="16"/>
                              </w:rPr>
                            </w:pPr>
                            <w:r w:rsidRPr="00625F44">
                              <w:rPr>
                                <w:sz w:val="16"/>
                                <w:szCs w:val="16"/>
                              </w:rPr>
                              <w:t>UNDP</w:t>
                            </w:r>
                            <w:r>
                              <w:rPr>
                                <w:sz w:val="16"/>
                                <w:szCs w:val="16"/>
                              </w:rPr>
                              <w:t>, , D</w:t>
                            </w:r>
                            <w:r w:rsidRPr="00625F44">
                              <w:rPr>
                                <w:sz w:val="16"/>
                                <w:szCs w:val="16"/>
                              </w:rPr>
                              <w:t>BSA</w:t>
                            </w:r>
                          </w:p>
                        </w:tc>
                        <w:tc>
                          <w:tcPr>
                            <w:tcW w:w="1263" w:type="dxa"/>
                          </w:tcPr>
                          <w:p w:rsidR="00540FEA" w:rsidRPr="00625F44" w:rsidRDefault="00540FEA" w:rsidP="00224808">
                            <w:pPr>
                              <w:rPr>
                                <w:sz w:val="16"/>
                                <w:szCs w:val="16"/>
                              </w:rPr>
                            </w:pPr>
                            <w:r w:rsidRPr="00625F44">
                              <w:rPr>
                                <w:sz w:val="16"/>
                                <w:szCs w:val="16"/>
                              </w:rPr>
                              <w:t>USD 15,000</w:t>
                            </w:r>
                          </w:p>
                        </w:tc>
                        <w:tc>
                          <w:tcPr>
                            <w:tcW w:w="1276" w:type="dxa"/>
                          </w:tcPr>
                          <w:p w:rsidR="00540FEA" w:rsidRPr="00625F44" w:rsidRDefault="00540FEA" w:rsidP="00224808">
                            <w:pPr>
                              <w:rPr>
                                <w:sz w:val="16"/>
                                <w:szCs w:val="16"/>
                              </w:rPr>
                            </w:pPr>
                            <w:r w:rsidRPr="00625F44">
                              <w:rPr>
                                <w:sz w:val="16"/>
                                <w:szCs w:val="16"/>
                              </w:rPr>
                              <w:t>None</w:t>
                            </w:r>
                          </w:p>
                        </w:tc>
                        <w:tc>
                          <w:tcPr>
                            <w:tcW w:w="2350" w:type="dxa"/>
                          </w:tcPr>
                          <w:p w:rsidR="00540FEA" w:rsidRPr="00625F44" w:rsidRDefault="00540FEA" w:rsidP="00224808">
                            <w:pPr>
                              <w:rPr>
                                <w:sz w:val="16"/>
                                <w:szCs w:val="16"/>
                              </w:rPr>
                            </w:pPr>
                            <w:r w:rsidRPr="00625F44">
                              <w:rPr>
                                <w:sz w:val="16"/>
                                <w:szCs w:val="16"/>
                              </w:rPr>
                              <w:t>Annually and/or as per DBSA and UNDP audit policies</w:t>
                            </w:r>
                          </w:p>
                        </w:tc>
                      </w:tr>
                    </w:tbl>
                    <w:p w:rsidR="00540FEA" w:rsidRPr="00625F44" w:rsidRDefault="00540FEA" w:rsidP="00C0799D">
                      <w:pPr>
                        <w:rPr>
                          <w:sz w:val="18"/>
                          <w:szCs w:val="18"/>
                        </w:rPr>
                      </w:pPr>
                    </w:p>
                  </w:txbxContent>
                </v:textbox>
                <w10:wrap type="topAndBottom" anchorx="page" anchory="page"/>
              </v:shape>
            </w:pict>
          </mc:Fallback>
        </mc:AlternateContent>
      </w:r>
      <w:r w:rsidR="00C0799D" w:rsidRPr="0057545E">
        <w:rPr>
          <w:rFonts w:cs="Calibri"/>
          <w:szCs w:val="20"/>
          <w:lang w:val="en-GB"/>
        </w:rPr>
        <w:t>The TOR, the evaluation process and the final TE report will follow the guidance prepared by DBSA and the UNDP IEO for GEF-financed projects</w:t>
      </w:r>
      <w:r w:rsidR="00C0799D" w:rsidRPr="00353542">
        <w:rPr>
          <w:rStyle w:val="Hyperlink"/>
          <w:rFonts w:cs="Calibri"/>
          <w:szCs w:val="20"/>
          <w:lang w:val="en-GB"/>
        </w:rPr>
        <w:t>.</w:t>
      </w:r>
      <w:r w:rsidR="00C0799D" w:rsidRPr="003B7D62">
        <w:rPr>
          <w:rFonts w:cs="Calibri"/>
          <w:szCs w:val="20"/>
          <w:lang w:val="en-GB"/>
        </w:rPr>
        <w:t xml:space="preserve"> </w:t>
      </w:r>
      <w:r w:rsidR="00C0799D" w:rsidRPr="003B7D62">
        <w:rPr>
          <w:lang w:val="en-GB"/>
        </w:rPr>
        <w:t>As noted in this guidance, the evaluation will be ‘independent, impartial and rigorous’. The consultants that will be hired to undertake the</w:t>
      </w:r>
      <w:r w:rsidR="00C0799D" w:rsidRPr="004722F0">
        <w:rPr>
          <w:lang w:val="en-GB"/>
        </w:rPr>
        <w:t xml:space="preserve"> assignment will be independent </w:t>
      </w:r>
      <w:r w:rsidR="00B719E5" w:rsidRPr="00666B27">
        <w:rPr>
          <w:noProof/>
          <w:lang w:val="en-GB"/>
        </w:rPr>
        <w:t>of</w:t>
      </w:r>
      <w:r w:rsidR="00C0799D" w:rsidRPr="00666B27">
        <w:rPr>
          <w:lang w:val="en-GB"/>
        </w:rPr>
        <w:t xml:space="preserve"> organizations that were involved in designing, executing or advising on the project to be evaluated. The GEF Operational Focal Point and other stakeholders will be involved and consulted during the terminal evaluation process. </w:t>
      </w:r>
      <w:r w:rsidR="00C0799D" w:rsidRPr="00666B27">
        <w:rPr>
          <w:rFonts w:cs="Calibri"/>
          <w:szCs w:val="20"/>
          <w:lang w:val="en-GB"/>
        </w:rPr>
        <w:t>Additional quality assurance support is available from the UNDP-GEF Directorate. The final TE report will be cleared by DBSA, UNDP (Country Office and UNDP-GEF Regional Technical Adviser</w:t>
      </w:r>
      <w:proofErr w:type="gramStart"/>
      <w:r w:rsidR="00C0799D" w:rsidRPr="00666B27">
        <w:rPr>
          <w:rFonts w:cs="Calibri"/>
          <w:szCs w:val="20"/>
          <w:lang w:val="en-GB"/>
        </w:rPr>
        <w:t>), and</w:t>
      </w:r>
      <w:proofErr w:type="gramEnd"/>
      <w:r w:rsidR="00C0799D" w:rsidRPr="00666B27">
        <w:rPr>
          <w:rFonts w:cs="Calibri"/>
          <w:szCs w:val="20"/>
          <w:lang w:val="en-GB"/>
        </w:rPr>
        <w:t xml:space="preserve"> will be approved by the PSC.  The TE report will be publicly available in English on the UNDP ERC.  Once uploaded to the ERC, the UNDP IEO will undertake a quality assessment and validate the findings and ratings in the TE </w:t>
      </w:r>
      <w:proofErr w:type="gramStart"/>
      <w:r w:rsidR="00C0799D" w:rsidRPr="00666B27">
        <w:rPr>
          <w:rFonts w:cs="Calibri"/>
          <w:szCs w:val="20"/>
          <w:lang w:val="en-GB"/>
        </w:rPr>
        <w:t>report, and</w:t>
      </w:r>
      <w:proofErr w:type="gramEnd"/>
      <w:r w:rsidR="00C0799D" w:rsidRPr="00666B27">
        <w:rPr>
          <w:rFonts w:cs="Calibri"/>
          <w:szCs w:val="20"/>
          <w:lang w:val="en-GB"/>
        </w:rPr>
        <w:t xml:space="preserve"> rate the quality of the TE report.  Similarly, a review of the quality of the evaluation report will be done by DBSA and submitted along with the report to the GEF Evaluation Office not later than six months after the completion of the evaluation. The UNDP IEO assessment report will be sent to the GEF IEO along with the project terminal evaluation report.</w:t>
      </w:r>
    </w:p>
    <w:p w:rsidR="00C0799D" w:rsidRPr="00666B27" w:rsidRDefault="00C0799D" w:rsidP="00C0799D">
      <w:pPr>
        <w:spacing w:after="0"/>
        <w:rPr>
          <w:rFonts w:cs="Calibri"/>
          <w:szCs w:val="20"/>
          <w:lang w:val="en-GB"/>
        </w:rPr>
      </w:pPr>
    </w:p>
    <w:p w:rsidR="00773691" w:rsidRPr="00666B27" w:rsidRDefault="00C0799D" w:rsidP="00C0799D">
      <w:pPr>
        <w:spacing w:after="0"/>
        <w:rPr>
          <w:rFonts w:cs="Calibri"/>
          <w:szCs w:val="20"/>
          <w:lang w:val="en-GB"/>
        </w:rPr>
      </w:pPr>
      <w:r w:rsidRPr="00666B27">
        <w:rPr>
          <w:rFonts w:cs="Calibri"/>
          <w:szCs w:val="20"/>
          <w:u w:val="single"/>
          <w:lang w:val="en-GB"/>
        </w:rPr>
        <w:lastRenderedPageBreak/>
        <w:t>Final Report</w:t>
      </w:r>
      <w:r w:rsidRPr="00666B27">
        <w:rPr>
          <w:rFonts w:cs="Calibri"/>
          <w:szCs w:val="20"/>
          <w:lang w:val="en-GB"/>
        </w:rPr>
        <w:t>: The project’s terminal PIR along with the terminal evaluation (TE) report and corresponding management response will serve as the final project report package. The final project report package shall be discussed with the Project Board during an end-of-project review meeting to discuss lesson learned and opportunities for scaling up.</w:t>
      </w:r>
    </w:p>
    <w:p w:rsidR="0075690B" w:rsidRPr="00666B27" w:rsidRDefault="0075690B" w:rsidP="0075690B">
      <w:pPr>
        <w:rPr>
          <w:rFonts w:cs="Arial"/>
          <w:i/>
          <w:noProof/>
          <w:szCs w:val="20"/>
          <w:lang w:val="en-GB" w:eastAsia="zh-CN"/>
        </w:rPr>
      </w:pPr>
    </w:p>
    <w:p w:rsidR="004A400D" w:rsidRPr="00666B27" w:rsidRDefault="004A400D">
      <w:pPr>
        <w:spacing w:after="0"/>
        <w:jc w:val="left"/>
        <w:rPr>
          <w:rFonts w:cs="Arial"/>
          <w:i/>
          <w:noProof/>
          <w:szCs w:val="20"/>
          <w:lang w:val="en-GB" w:eastAsia="zh-CN"/>
        </w:rPr>
      </w:pPr>
    </w:p>
    <w:p w:rsidR="004A400D" w:rsidRPr="00666B27" w:rsidRDefault="004A400D" w:rsidP="001E1DBB">
      <w:pPr>
        <w:pStyle w:val="Heading1"/>
        <w:ind w:left="567" w:hanging="567"/>
      </w:pPr>
      <w:bookmarkStart w:id="157" w:name="_Toc340770"/>
      <w:r w:rsidRPr="00666B27">
        <w:t>Governance and management arrangements</w:t>
      </w:r>
      <w:bookmarkEnd w:id="157"/>
    </w:p>
    <w:p w:rsidR="004A400D" w:rsidRPr="00666B27" w:rsidRDefault="004A400D" w:rsidP="004A400D">
      <w:pPr>
        <w:rPr>
          <w:lang w:val="en-GB" w:eastAsia="en-GB"/>
        </w:rPr>
      </w:pPr>
    </w:p>
    <w:p w:rsidR="004A400D" w:rsidRPr="00666B27" w:rsidRDefault="004A400D" w:rsidP="004A400D">
      <w:pPr>
        <w:spacing w:after="0"/>
        <w:rPr>
          <w:lang w:val="en-GB" w:eastAsia="en-GB"/>
        </w:rPr>
      </w:pPr>
      <w:r w:rsidRPr="00666B27">
        <w:rPr>
          <w:lang w:val="en-GB" w:eastAsia="en-GB"/>
        </w:rPr>
        <w:t xml:space="preserve">The </w:t>
      </w:r>
      <w:r w:rsidRPr="00666B27">
        <w:rPr>
          <w:b/>
          <w:lang w:val="en-GB" w:eastAsia="en-GB"/>
        </w:rPr>
        <w:t>Implementing Partner</w:t>
      </w:r>
      <w:r w:rsidRPr="00666B27">
        <w:rPr>
          <w:lang w:val="en-GB" w:eastAsia="en-GB"/>
        </w:rPr>
        <w:t xml:space="preserve"> </w:t>
      </w:r>
      <w:r w:rsidRPr="00666B27">
        <w:rPr>
          <w:b/>
          <w:lang w:val="en-GB" w:eastAsia="en-GB"/>
        </w:rPr>
        <w:t>(GEF Project Executing Agency)</w:t>
      </w:r>
      <w:r w:rsidRPr="00666B27">
        <w:rPr>
          <w:lang w:val="en-GB" w:eastAsia="en-GB"/>
        </w:rPr>
        <w:t xml:space="preserve"> for this project is the</w:t>
      </w:r>
      <w:r w:rsidRPr="00666B27">
        <w:rPr>
          <w:i/>
          <w:lang w:val="en-GB" w:eastAsia="en-GB"/>
        </w:rPr>
        <w:t xml:space="preserve"> Department of Energy</w:t>
      </w:r>
      <w:r w:rsidRPr="00666B27">
        <w:rPr>
          <w:lang w:val="en-GB" w:eastAsia="en-GB"/>
        </w:rPr>
        <w:t xml:space="preserve"> of the Government of South Africa.  The Implementing Partner is responsible and accountable for managing this project, including the monitoring and evaluation of project interventions, achieving project outcomes, and for the effective use of UNDP resources.  A senior representative of the Department of Energy will be named as the </w:t>
      </w:r>
      <w:r w:rsidRPr="00666B27">
        <w:rPr>
          <w:b/>
          <w:lang w:val="en-GB" w:eastAsia="en-GB"/>
        </w:rPr>
        <w:t>National Project Director</w:t>
      </w:r>
      <w:r w:rsidRPr="00666B27">
        <w:rPr>
          <w:lang w:val="en-GB" w:eastAsia="en-GB"/>
        </w:rPr>
        <w:t xml:space="preserve"> on behalf of the Implementing Partner and the government of South Africa.</w:t>
      </w:r>
    </w:p>
    <w:p w:rsidR="004A400D" w:rsidRPr="00666B27" w:rsidRDefault="004A400D" w:rsidP="004A400D">
      <w:pPr>
        <w:spacing w:after="0"/>
        <w:rPr>
          <w:lang w:val="en-GB" w:eastAsia="en-GB"/>
        </w:rPr>
      </w:pPr>
    </w:p>
    <w:p w:rsidR="004A400D" w:rsidRPr="00666B27" w:rsidRDefault="004A400D" w:rsidP="004A400D">
      <w:pPr>
        <w:spacing w:after="0"/>
        <w:rPr>
          <w:lang w:val="en-GB" w:eastAsia="en-GB"/>
        </w:rPr>
      </w:pPr>
      <w:r w:rsidRPr="00666B27">
        <w:rPr>
          <w:lang w:val="en-GB" w:eastAsia="en-GB"/>
        </w:rPr>
        <w:t xml:space="preserve">The project </w:t>
      </w:r>
      <w:r w:rsidRPr="00666B27">
        <w:rPr>
          <w:noProof/>
          <w:lang w:val="en-GB" w:eastAsia="en-GB"/>
        </w:rPr>
        <w:t>organisation</w:t>
      </w:r>
      <w:r w:rsidRPr="00666B27">
        <w:rPr>
          <w:lang w:val="en-GB" w:eastAsia="en-GB"/>
        </w:rPr>
        <w:t xml:space="preserve"> structure is as given below:</w:t>
      </w:r>
    </w:p>
    <w:p w:rsidR="004A400D" w:rsidRPr="00666B27" w:rsidRDefault="004A400D" w:rsidP="004A400D">
      <w:pPr>
        <w:spacing w:after="0"/>
        <w:rPr>
          <w:lang w:val="en-GB" w:eastAsia="en-GB"/>
        </w:rPr>
      </w:pPr>
      <w:bookmarkStart w:id="158" w:name="_Hlk496431531"/>
    </w:p>
    <w:p w:rsidR="004A400D" w:rsidRPr="009E51BD" w:rsidRDefault="004A400D" w:rsidP="004A400D">
      <w:pPr>
        <w:spacing w:after="0"/>
        <w:rPr>
          <w:rFonts w:ascii="Arial" w:hAnsi="Arial" w:cs="Arial"/>
          <w:b/>
          <w:color w:val="FF0000"/>
          <w:sz w:val="18"/>
          <w:lang w:val="en-GB"/>
        </w:rPr>
      </w:pPr>
      <w:bookmarkStart w:id="159" w:name="_Ref114076"/>
      <w:bookmarkStart w:id="160" w:name="_Hlk496441016"/>
      <w:bookmarkStart w:id="161" w:name="_Toc179837"/>
      <w:r w:rsidRPr="009E51BD">
        <w:rPr>
          <w:rFonts w:ascii="Arial" w:hAnsi="Arial" w:cs="Arial"/>
          <w:b/>
          <w:color w:val="FF0000"/>
          <w:sz w:val="18"/>
          <w:lang w:val="en-GB"/>
        </w:rPr>
        <w:t xml:space="preserve">Box </w:t>
      </w:r>
      <w:r w:rsidRPr="009E51BD">
        <w:rPr>
          <w:rFonts w:ascii="Arial" w:hAnsi="Arial" w:cs="Arial"/>
          <w:b/>
          <w:color w:val="FF0000"/>
          <w:sz w:val="18"/>
          <w:lang w:val="en-GB"/>
        </w:rPr>
        <w:fldChar w:fldCharType="begin"/>
      </w:r>
      <w:r w:rsidRPr="009E51BD">
        <w:rPr>
          <w:rFonts w:ascii="Arial" w:hAnsi="Arial" w:cs="Arial"/>
          <w:b/>
          <w:color w:val="FF0000"/>
          <w:sz w:val="18"/>
          <w:lang w:val="en-GB"/>
        </w:rPr>
        <w:instrText xml:space="preserve"> SEQ Box \* ARABIC </w:instrText>
      </w:r>
      <w:r w:rsidRPr="009E51BD">
        <w:rPr>
          <w:rFonts w:ascii="Arial" w:hAnsi="Arial" w:cs="Arial"/>
          <w:b/>
          <w:color w:val="FF0000"/>
          <w:sz w:val="18"/>
          <w:lang w:val="en-GB"/>
        </w:rPr>
        <w:fldChar w:fldCharType="separate"/>
      </w:r>
      <w:r w:rsidR="00D521DF" w:rsidRPr="009E51BD">
        <w:rPr>
          <w:rFonts w:ascii="Arial" w:hAnsi="Arial" w:cs="Arial"/>
          <w:b/>
          <w:noProof/>
          <w:color w:val="FF0000"/>
          <w:sz w:val="18"/>
          <w:lang w:val="en-GB"/>
        </w:rPr>
        <w:t>13</w:t>
      </w:r>
      <w:r w:rsidRPr="009E51BD">
        <w:rPr>
          <w:rFonts w:ascii="Arial" w:hAnsi="Arial" w:cs="Arial"/>
          <w:b/>
          <w:color w:val="FF0000"/>
          <w:sz w:val="18"/>
          <w:lang w:val="en-GB"/>
        </w:rPr>
        <w:fldChar w:fldCharType="end"/>
      </w:r>
      <w:bookmarkEnd w:id="159"/>
      <w:r w:rsidRPr="009E51BD">
        <w:rPr>
          <w:rFonts w:ascii="Arial" w:hAnsi="Arial" w:cs="Arial"/>
          <w:b/>
          <w:color w:val="FF0000"/>
          <w:sz w:val="18"/>
          <w:lang w:val="en-GB"/>
        </w:rPr>
        <w:tab/>
        <w:t>Project m</w:t>
      </w:r>
      <w:bookmarkEnd w:id="158"/>
      <w:r w:rsidRPr="009E51BD">
        <w:rPr>
          <w:rFonts w:ascii="Arial" w:hAnsi="Arial" w:cs="Arial"/>
          <w:b/>
          <w:color w:val="FF0000"/>
          <w:sz w:val="18"/>
          <w:lang w:val="en-GB"/>
        </w:rPr>
        <w:t>anage</w:t>
      </w:r>
      <w:bookmarkEnd w:id="160"/>
      <w:r w:rsidRPr="009E51BD">
        <w:rPr>
          <w:rFonts w:ascii="Arial" w:hAnsi="Arial" w:cs="Arial"/>
          <w:b/>
          <w:color w:val="FF0000"/>
          <w:sz w:val="18"/>
          <w:lang w:val="en-GB"/>
        </w:rPr>
        <w:t>ment and organization structure</w:t>
      </w:r>
      <w:bookmarkEnd w:id="161"/>
    </w:p>
    <w:p w:rsidR="004A400D" w:rsidRPr="003B7D62" w:rsidRDefault="004A400D" w:rsidP="004A400D">
      <w:pPr>
        <w:spacing w:after="0"/>
        <w:rPr>
          <w:rFonts w:ascii="Arial" w:hAnsi="Arial" w:cs="Arial"/>
          <w:b/>
          <w:color w:val="2E74B5"/>
          <w:sz w:val="18"/>
          <w:lang w:val="en-GB"/>
        </w:rPr>
      </w:pPr>
    </w:p>
    <w:p w:rsidR="004A400D" w:rsidRPr="0057545E" w:rsidRDefault="009E51BD" w:rsidP="004A400D">
      <w:pPr>
        <w:spacing w:after="0"/>
        <w:rPr>
          <w:lang w:val="en-GB" w:eastAsia="en-GB"/>
        </w:rPr>
      </w:pPr>
      <w:r>
        <w:object w:dxaOrig="12889" w:dyaOrig="7153">
          <v:shape id="_x0000_i1029" type="#_x0000_t75" style="width:498.15pt;height:276.8pt" o:ole="">
            <v:imagedata r:id="rId78" o:title=""/>
          </v:shape>
          <o:OLEObject Type="Embed" ProgID="Visio.Drawing.15" ShapeID="_x0000_i1029" DrawAspect="Content" ObjectID="_1641123694" r:id="rId79"/>
        </w:object>
      </w:r>
    </w:p>
    <w:p w:rsidR="0040062D" w:rsidRPr="00353542" w:rsidRDefault="0040062D" w:rsidP="004A400D">
      <w:pPr>
        <w:spacing w:after="0"/>
        <w:rPr>
          <w:lang w:val="en-GB" w:eastAsia="en-GB"/>
        </w:rPr>
      </w:pPr>
    </w:p>
    <w:p w:rsidR="004A400D" w:rsidRPr="00666B27" w:rsidRDefault="004A400D" w:rsidP="004A400D">
      <w:pPr>
        <w:spacing w:after="0"/>
        <w:rPr>
          <w:lang w:val="en-GB" w:eastAsia="en-GB"/>
        </w:rPr>
      </w:pPr>
      <w:bookmarkStart w:id="162" w:name="_Hlk4674640"/>
      <w:r w:rsidRPr="003B7D62">
        <w:rPr>
          <w:lang w:val="en-GB" w:eastAsia="en-GB"/>
        </w:rPr>
        <w:t xml:space="preserve">The </w:t>
      </w:r>
      <w:r w:rsidRPr="003B7D62">
        <w:rPr>
          <w:b/>
          <w:lang w:val="en-GB" w:eastAsia="en-GB"/>
        </w:rPr>
        <w:t>Project Steering Committee</w:t>
      </w:r>
      <w:r w:rsidRPr="003B7D62">
        <w:rPr>
          <w:lang w:val="en-GB" w:eastAsia="en-GB"/>
        </w:rPr>
        <w:t xml:space="preserve"> (PSC, also </w:t>
      </w:r>
      <w:r w:rsidR="00574296" w:rsidRPr="004722F0">
        <w:rPr>
          <w:lang w:val="en-GB" w:eastAsia="en-GB"/>
        </w:rPr>
        <w:t>referred sometimes as the</w:t>
      </w:r>
      <w:r w:rsidRPr="00666B27">
        <w:rPr>
          <w:lang w:val="en-GB" w:eastAsia="en-GB"/>
        </w:rPr>
        <w:t xml:space="preserve"> Project Board) is responsible for making consensus management decisions when guidance is required by the Project Manager, including </w:t>
      </w:r>
      <w:r w:rsidRPr="00666B27">
        <w:rPr>
          <w:noProof/>
          <w:lang w:val="en-GB" w:eastAsia="en-GB"/>
        </w:rPr>
        <w:t>recommendation</w:t>
      </w:r>
      <w:r w:rsidR="00B719E5" w:rsidRPr="00666B27">
        <w:rPr>
          <w:lang w:val="en-GB" w:eastAsia="en-GB"/>
        </w:rPr>
        <w:t xml:space="preserve">s </w:t>
      </w:r>
      <w:r w:rsidRPr="00666B27">
        <w:rPr>
          <w:lang w:val="en-GB" w:eastAsia="en-GB"/>
        </w:rPr>
        <w:t xml:space="preserve">for </w:t>
      </w:r>
      <w:r w:rsidR="00B719E5" w:rsidRPr="00666B27">
        <w:rPr>
          <w:lang w:val="en-GB" w:eastAsia="en-GB"/>
        </w:rPr>
        <w:t xml:space="preserve">the </w:t>
      </w:r>
      <w:r w:rsidRPr="00666B27">
        <w:rPr>
          <w:lang w:val="en-GB" w:eastAsia="en-GB"/>
        </w:rPr>
        <w:t>approval of project plans and revisions. In order to ensure UNDP and DBSA’s ultimate accountability, PSC decisions should be made in accordance with standards that shall ensure management for development results, best value money, fairness, integrity, transparency</w:t>
      </w:r>
      <w:r w:rsidR="00B719E5"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effective international competition. The PSC will also closely oversee and take account of results from monitoring and evaluation efforts.  The Terms of Reference for the P</w:t>
      </w:r>
      <w:r w:rsidR="00574296" w:rsidRPr="00666B27">
        <w:rPr>
          <w:lang w:val="en-GB" w:eastAsia="en-GB"/>
        </w:rPr>
        <w:t>SC</w:t>
      </w:r>
      <w:r w:rsidRPr="00666B27">
        <w:rPr>
          <w:lang w:val="en-GB" w:eastAsia="en-GB"/>
        </w:rPr>
        <w:t xml:space="preserve"> are contained in Annex </w:t>
      </w:r>
      <w:r w:rsidR="00574296" w:rsidRPr="00666B27">
        <w:rPr>
          <w:lang w:val="en-GB" w:eastAsia="en-GB"/>
        </w:rPr>
        <w:t xml:space="preserve">C. </w:t>
      </w:r>
    </w:p>
    <w:p w:rsidR="004A400D" w:rsidRPr="00666B27" w:rsidRDefault="004A400D" w:rsidP="004A400D">
      <w:pPr>
        <w:spacing w:after="0"/>
        <w:rPr>
          <w:lang w:val="en-GB" w:eastAsia="en-GB"/>
        </w:rPr>
      </w:pPr>
    </w:p>
    <w:p w:rsidR="004A400D" w:rsidRPr="00666B27" w:rsidRDefault="004A400D" w:rsidP="004A400D">
      <w:pPr>
        <w:spacing w:after="0"/>
        <w:rPr>
          <w:lang w:val="en-GB" w:eastAsia="en-GB"/>
        </w:rPr>
      </w:pPr>
      <w:r w:rsidRPr="00666B27">
        <w:rPr>
          <w:lang w:val="en-GB" w:eastAsia="en-GB"/>
        </w:rPr>
        <w:t>The PSC will be chaired by the</w:t>
      </w:r>
      <w:r w:rsidRPr="00666B27">
        <w:rPr>
          <w:b/>
          <w:lang w:val="en-GB" w:eastAsia="en-GB"/>
        </w:rPr>
        <w:t xml:space="preserve"> National Project Director</w:t>
      </w:r>
      <w:r w:rsidRPr="00666B27">
        <w:rPr>
          <w:lang w:val="en-GB" w:eastAsia="en-GB"/>
        </w:rPr>
        <w:t xml:space="preserve"> (NPD</w:t>
      </w:r>
      <w:r w:rsidR="00574296" w:rsidRPr="00666B27">
        <w:rPr>
          <w:lang w:val="en-GB" w:eastAsia="en-GB"/>
        </w:rPr>
        <w:t xml:space="preserve">). </w:t>
      </w:r>
      <w:r w:rsidRPr="00666B27">
        <w:rPr>
          <w:lang w:val="en-GB" w:eastAsia="en-GB"/>
        </w:rPr>
        <w:t xml:space="preserve"> </w:t>
      </w:r>
      <w:bookmarkStart w:id="163" w:name="_Hlk497824229"/>
      <w:r w:rsidRPr="00666B27">
        <w:rPr>
          <w:lang w:val="en-GB" w:eastAsia="en-GB"/>
        </w:rPr>
        <w:t xml:space="preserve">The Director of Clean Energy of DoE, or another senior DoE official, will be appointed by the </w:t>
      </w:r>
      <w:r w:rsidRPr="00666B27">
        <w:rPr>
          <w:noProof/>
          <w:lang w:val="en-GB" w:eastAsia="en-GB"/>
        </w:rPr>
        <w:t>Director</w:t>
      </w:r>
      <w:r w:rsidR="00B719E5" w:rsidRPr="00666B27">
        <w:rPr>
          <w:noProof/>
          <w:lang w:val="en-GB" w:eastAsia="en-GB"/>
        </w:rPr>
        <w:t>-</w:t>
      </w:r>
      <w:r w:rsidRPr="00666B27">
        <w:rPr>
          <w:noProof/>
          <w:lang w:val="en-GB" w:eastAsia="en-GB"/>
        </w:rPr>
        <w:t>General</w:t>
      </w:r>
      <w:r w:rsidRPr="00666B27">
        <w:rPr>
          <w:lang w:val="en-GB" w:eastAsia="en-GB"/>
        </w:rPr>
        <w:t xml:space="preserve"> of the Department of Energy (DoE) as </w:t>
      </w:r>
      <w:r w:rsidR="00574296" w:rsidRPr="00666B27">
        <w:rPr>
          <w:lang w:val="en-GB" w:eastAsia="en-GB"/>
        </w:rPr>
        <w:t>NPD</w:t>
      </w:r>
      <w:r w:rsidRPr="00666B27">
        <w:rPr>
          <w:lang w:val="en-GB" w:eastAsia="en-GB"/>
        </w:rPr>
        <w:t>.</w:t>
      </w:r>
      <w:bookmarkEnd w:id="163"/>
      <w:r w:rsidR="00574296" w:rsidRPr="00666B27">
        <w:rPr>
          <w:lang w:val="en-GB" w:eastAsia="en-GB"/>
        </w:rPr>
        <w:t xml:space="preserve"> The PSC will also include representatives of other Departments (such as DTI, DEA), </w:t>
      </w:r>
      <w:r w:rsidR="00574296" w:rsidRPr="00666B27">
        <w:rPr>
          <w:noProof/>
          <w:lang w:val="en-GB" w:eastAsia="en-GB"/>
        </w:rPr>
        <w:t>specialised</w:t>
      </w:r>
      <w:r w:rsidR="00574296" w:rsidRPr="00666B27">
        <w:rPr>
          <w:lang w:val="en-GB" w:eastAsia="en-GB"/>
        </w:rPr>
        <w:t xml:space="preserve"> government agencies (e.g. SANEDI, CNRS, SABS) and </w:t>
      </w:r>
      <w:r w:rsidR="00574296" w:rsidRPr="00666B27">
        <w:rPr>
          <w:lang w:val="en-GB" w:eastAsia="en-GB"/>
        </w:rPr>
        <w:lastRenderedPageBreak/>
        <w:t xml:space="preserve">non-government stakeholders with voting rights s to be determined at the Inception of the Project. In addition, the PSC can invite </w:t>
      </w:r>
      <w:r w:rsidR="00574296" w:rsidRPr="00666B27">
        <w:rPr>
          <w:noProof/>
          <w:lang w:val="en-GB" w:eastAsia="en-GB"/>
        </w:rPr>
        <w:t>organisations</w:t>
      </w:r>
      <w:r w:rsidR="00574296" w:rsidRPr="00666B27">
        <w:rPr>
          <w:lang w:val="en-GB" w:eastAsia="en-GB"/>
        </w:rPr>
        <w:t xml:space="preserve"> to attend without voting rights.</w:t>
      </w:r>
    </w:p>
    <w:bookmarkEnd w:id="162"/>
    <w:p w:rsidR="004639EB" w:rsidRPr="00666B27" w:rsidRDefault="004639EB" w:rsidP="004A400D">
      <w:pPr>
        <w:spacing w:after="0"/>
        <w:rPr>
          <w:lang w:val="en-GB" w:eastAsia="en-GB"/>
        </w:rPr>
      </w:pPr>
    </w:p>
    <w:p w:rsidR="00CA0BAC" w:rsidRPr="00666B27" w:rsidRDefault="004639EB" w:rsidP="004A400D">
      <w:pPr>
        <w:spacing w:after="0"/>
        <w:rPr>
          <w:lang w:val="en-GB" w:eastAsia="en-GB"/>
        </w:rPr>
      </w:pPr>
      <w:bookmarkStart w:id="164" w:name="_Hlk4674669"/>
      <w:r w:rsidRPr="00666B27">
        <w:rPr>
          <w:lang w:val="en-GB" w:eastAsia="en-GB"/>
        </w:rPr>
        <w:t xml:space="preserve">Given the special thematic and technical issues covered by the Project, and to ensure more agile decision-making regarding output-level implementation, the Project governance structure is complemented by three </w:t>
      </w:r>
      <w:r w:rsidRPr="00666B27">
        <w:rPr>
          <w:b/>
          <w:lang w:val="en-GB" w:eastAsia="en-GB"/>
        </w:rPr>
        <w:t>Working Groups</w:t>
      </w:r>
      <w:r w:rsidRPr="00666B27">
        <w:rPr>
          <w:lang w:val="en-GB" w:eastAsia="en-GB"/>
        </w:rPr>
        <w:t xml:space="preserve"> that work more on an operational-technical level than the senior management staff that </w:t>
      </w:r>
      <w:r w:rsidR="00C25418" w:rsidRPr="00666B27">
        <w:rPr>
          <w:noProof/>
          <w:lang w:val="en-GB" w:eastAsia="en-GB"/>
        </w:rPr>
        <w:t>participate in the PSC</w:t>
      </w:r>
      <w:r w:rsidRPr="00666B27">
        <w:rPr>
          <w:lang w:val="en-GB" w:eastAsia="en-GB"/>
        </w:rPr>
        <w:t xml:space="preserve">.  The Working Group on </w:t>
      </w:r>
      <w:r w:rsidR="00574296" w:rsidRPr="00666B27">
        <w:rPr>
          <w:i/>
          <w:lang w:val="en-GB" w:eastAsia="en-GB"/>
        </w:rPr>
        <w:t>Financing</w:t>
      </w:r>
      <w:r w:rsidRPr="00666B27">
        <w:rPr>
          <w:lang w:val="en-GB" w:eastAsia="en-GB"/>
        </w:rPr>
        <w:t xml:space="preserve"> will be </w:t>
      </w:r>
      <w:r w:rsidR="00CA0BAC" w:rsidRPr="00666B27">
        <w:rPr>
          <w:lang w:val="en-GB" w:eastAsia="en-GB"/>
        </w:rPr>
        <w:t>co-</w:t>
      </w:r>
      <w:r w:rsidRPr="00666B27">
        <w:rPr>
          <w:lang w:val="en-GB" w:eastAsia="en-GB"/>
        </w:rPr>
        <w:t>chaired by DBSA (possibly the person that will act as EEFI Fund Manager)</w:t>
      </w:r>
      <w:r w:rsidR="00CA0BAC" w:rsidRPr="00666B27">
        <w:rPr>
          <w:lang w:val="en-GB" w:eastAsia="en-GB"/>
        </w:rPr>
        <w:t xml:space="preserve"> and DOE</w:t>
      </w:r>
      <w:r w:rsidRPr="00666B27">
        <w:rPr>
          <w:lang w:val="en-GB" w:eastAsia="en-GB"/>
        </w:rPr>
        <w:t xml:space="preserve">, </w:t>
      </w:r>
      <w:r w:rsidR="00CA0BAC" w:rsidRPr="00666B27">
        <w:rPr>
          <w:lang w:val="en-GB" w:eastAsia="en-GB"/>
        </w:rPr>
        <w:t xml:space="preserve">the WG on </w:t>
      </w:r>
      <w:r w:rsidR="00574296" w:rsidRPr="00666B27">
        <w:rPr>
          <w:i/>
          <w:lang w:val="en-GB" w:eastAsia="en-GB"/>
        </w:rPr>
        <w:t>LED L</w:t>
      </w:r>
      <w:r w:rsidR="00CA0BAC" w:rsidRPr="00666B27">
        <w:rPr>
          <w:i/>
          <w:lang w:val="en-GB" w:eastAsia="en-GB"/>
        </w:rPr>
        <w:t>ighting</w:t>
      </w:r>
      <w:r w:rsidR="00CA0BAC" w:rsidRPr="00666B27">
        <w:rPr>
          <w:lang w:val="en-GB" w:eastAsia="en-GB"/>
        </w:rPr>
        <w:t xml:space="preserve"> by DOE and DTI (or one of their agencies), and the WG on </w:t>
      </w:r>
      <w:r w:rsidR="00574296" w:rsidRPr="00666B27">
        <w:rPr>
          <w:i/>
          <w:lang w:val="en-GB" w:eastAsia="en-GB"/>
        </w:rPr>
        <w:t xml:space="preserve">Distribution </w:t>
      </w:r>
      <w:r w:rsidR="00CA0BAC" w:rsidRPr="00666B27">
        <w:rPr>
          <w:i/>
          <w:lang w:val="en-GB" w:eastAsia="en-GB"/>
        </w:rPr>
        <w:t>Transformers</w:t>
      </w:r>
      <w:r w:rsidR="00CA0BAC" w:rsidRPr="00666B27">
        <w:rPr>
          <w:lang w:val="en-GB" w:eastAsia="en-GB"/>
        </w:rPr>
        <w:t xml:space="preserve"> </w:t>
      </w:r>
      <w:r w:rsidR="00CA0BAC" w:rsidRPr="00666B27">
        <w:rPr>
          <w:noProof/>
          <w:lang w:val="en-GB" w:eastAsia="en-GB"/>
        </w:rPr>
        <w:t>is</w:t>
      </w:r>
      <w:r w:rsidR="00CA0BAC" w:rsidRPr="00666B27">
        <w:rPr>
          <w:lang w:val="en-GB" w:eastAsia="en-GB"/>
        </w:rPr>
        <w:t xml:space="preserve"> proposed to be co-chaired by DOE and Eskom. Other government entities, associations, </w:t>
      </w:r>
      <w:r w:rsidRPr="00666B27">
        <w:rPr>
          <w:lang w:val="en-GB" w:eastAsia="en-GB"/>
        </w:rPr>
        <w:t xml:space="preserve">academia, institutions, </w:t>
      </w:r>
      <w:r w:rsidRPr="00666B27">
        <w:rPr>
          <w:noProof/>
          <w:lang w:val="en-GB" w:eastAsia="en-GB"/>
        </w:rPr>
        <w:t>private</w:t>
      </w:r>
      <w:r w:rsidRPr="00666B27">
        <w:rPr>
          <w:lang w:val="en-GB" w:eastAsia="en-GB"/>
        </w:rPr>
        <w:t xml:space="preserve"> sector </w:t>
      </w:r>
      <w:r w:rsidRPr="00666B27">
        <w:rPr>
          <w:noProof/>
          <w:lang w:val="en-GB" w:eastAsia="en-GB"/>
        </w:rPr>
        <w:t>and</w:t>
      </w:r>
      <w:r w:rsidRPr="00666B27">
        <w:rPr>
          <w:lang w:val="en-GB" w:eastAsia="en-GB"/>
        </w:rPr>
        <w:t xml:space="preserve"> non-governmental </w:t>
      </w:r>
      <w:r w:rsidRPr="00666B27">
        <w:rPr>
          <w:noProof/>
          <w:lang w:val="en-GB" w:eastAsia="en-GB"/>
        </w:rPr>
        <w:t>organisations</w:t>
      </w:r>
      <w:r w:rsidRPr="00666B27">
        <w:rPr>
          <w:lang w:val="en-GB" w:eastAsia="en-GB"/>
        </w:rPr>
        <w:t xml:space="preserve"> will be invited to send a representative. The </w:t>
      </w:r>
      <w:r w:rsidR="00CA0BAC" w:rsidRPr="00666B27">
        <w:rPr>
          <w:lang w:val="en-GB" w:eastAsia="en-GB"/>
        </w:rPr>
        <w:t>WGs</w:t>
      </w:r>
      <w:r w:rsidRPr="00666B27">
        <w:rPr>
          <w:lang w:val="en-GB" w:eastAsia="en-GB"/>
        </w:rPr>
        <w:t xml:space="preserve"> will meet on a quarterly basis or as needed</w:t>
      </w:r>
    </w:p>
    <w:p w:rsidR="00CA0BAC" w:rsidRPr="00666B27" w:rsidRDefault="00CA0BAC" w:rsidP="004A400D">
      <w:pPr>
        <w:spacing w:after="0"/>
        <w:rPr>
          <w:lang w:val="en-GB" w:eastAsia="en-GB"/>
        </w:rPr>
      </w:pPr>
    </w:p>
    <w:p w:rsidR="00574296" w:rsidRPr="00666B27" w:rsidRDefault="004A400D" w:rsidP="00574296">
      <w:pPr>
        <w:spacing w:after="0"/>
        <w:rPr>
          <w:lang w:val="en-GB" w:eastAsia="en-GB"/>
        </w:rPr>
      </w:pPr>
      <w:bookmarkStart w:id="165" w:name="_Hlk22059084"/>
      <w:r w:rsidRPr="00666B27">
        <w:rPr>
          <w:lang w:val="en-GB" w:eastAsia="en-GB"/>
        </w:rPr>
        <w:t xml:space="preserve">A </w:t>
      </w:r>
      <w:r w:rsidRPr="00666B27">
        <w:rPr>
          <w:b/>
          <w:lang w:val="en-GB" w:eastAsia="en-GB"/>
        </w:rPr>
        <w:t>Project Manager</w:t>
      </w:r>
      <w:r w:rsidRPr="00666B27">
        <w:rPr>
          <w:lang w:val="en-GB" w:eastAsia="en-GB"/>
        </w:rPr>
        <w:t xml:space="preserve"> will head a small </w:t>
      </w:r>
      <w:r w:rsidRPr="00666B27">
        <w:rPr>
          <w:b/>
          <w:lang w:val="en-GB" w:eastAsia="en-GB"/>
        </w:rPr>
        <w:t>Project Management Unit (PMU)</w:t>
      </w:r>
      <w:r w:rsidRPr="00666B27">
        <w:rPr>
          <w:lang w:val="en-GB" w:eastAsia="en-GB"/>
        </w:rPr>
        <w:t xml:space="preserve"> that will run the project on a day-to-day basis on behalf of the two Implementing Partners within the constraints laid down by the PSC</w:t>
      </w:r>
      <w:bookmarkStart w:id="166" w:name="_Hlk7076363"/>
      <w:r w:rsidRPr="00666B27">
        <w:rPr>
          <w:lang w:val="en-GB" w:eastAsia="en-GB"/>
        </w:rPr>
        <w:t xml:space="preserve">. </w:t>
      </w:r>
      <w:r w:rsidR="00481ED4">
        <w:rPr>
          <w:lang w:val="en-GB" w:eastAsia="en-GB"/>
        </w:rPr>
        <w:t xml:space="preserve">The cost of the PM is charged entirely to the UNDP budget (see Section 10), but the PM will be responsible for the entire project (both UNDP and DBSA-supported activities. </w:t>
      </w:r>
      <w:bookmarkEnd w:id="166"/>
      <w:r w:rsidR="00574296" w:rsidRPr="00666B27">
        <w:rPr>
          <w:lang w:val="en-GB" w:eastAsia="en-GB"/>
        </w:rPr>
        <w:t xml:space="preserve">The PMU will be hosted by DOE, </w:t>
      </w:r>
      <w:r w:rsidR="00175054">
        <w:rPr>
          <w:lang w:val="en-GB" w:eastAsia="en-GB"/>
        </w:rPr>
        <w:t xml:space="preserve">although staff may be based at </w:t>
      </w:r>
      <w:r w:rsidR="00574296" w:rsidRPr="00666B27">
        <w:rPr>
          <w:lang w:val="en-GB" w:eastAsia="en-GB"/>
        </w:rPr>
        <w:t>DBSA or housed separately. It is expected that the PMU will be staffed full-time by the Project Manager</w:t>
      </w:r>
      <w:r w:rsidR="00175054">
        <w:rPr>
          <w:lang w:val="en-GB" w:eastAsia="en-GB"/>
        </w:rPr>
        <w:t xml:space="preserve"> and an Administrative </w:t>
      </w:r>
      <w:r w:rsidR="00574296" w:rsidRPr="00666B27">
        <w:rPr>
          <w:lang w:val="en-GB" w:eastAsia="en-GB"/>
        </w:rPr>
        <w:t>Assistant, and part-time by the two Advisors</w:t>
      </w:r>
      <w:r w:rsidR="003B0129">
        <w:rPr>
          <w:lang w:val="en-GB" w:eastAsia="en-GB"/>
        </w:rPr>
        <w:t>.</w:t>
      </w:r>
      <w:r w:rsidR="00574296" w:rsidRPr="00666B27">
        <w:rPr>
          <w:lang w:val="en-GB" w:eastAsia="en-GB"/>
        </w:rPr>
        <w:t xml:space="preserve">  </w:t>
      </w:r>
      <w:r w:rsidR="00175054">
        <w:rPr>
          <w:lang w:val="en-GB" w:eastAsia="en-GB"/>
        </w:rPr>
        <w:t xml:space="preserve">A Financial Advisor will be responsible (with DBSA’s Climate Finance Unit) for day-to-day operations of the Energy Efficiency Financing Instrument (EEFI). </w:t>
      </w:r>
      <w:r w:rsidR="00B0525E">
        <w:rPr>
          <w:lang w:val="en-GB" w:eastAsia="en-GB"/>
        </w:rPr>
        <w:t>A</w:t>
      </w:r>
      <w:r w:rsidR="00175054">
        <w:rPr>
          <w:lang w:val="en-GB" w:eastAsia="en-GB"/>
        </w:rPr>
        <w:t xml:space="preserve"> Technical Advisor</w:t>
      </w:r>
      <w:r w:rsidR="00B0525E">
        <w:rPr>
          <w:lang w:val="en-GB" w:eastAsia="en-GB"/>
        </w:rPr>
        <w:t xml:space="preserve"> (part-time) will focus on </w:t>
      </w:r>
      <w:r w:rsidR="00175054">
        <w:rPr>
          <w:lang w:val="en-GB" w:eastAsia="en-GB"/>
        </w:rPr>
        <w:t>efficient lighting and distribution transformers</w:t>
      </w:r>
      <w:r w:rsidR="00B0525E">
        <w:rPr>
          <w:lang w:val="en-GB" w:eastAsia="en-GB"/>
        </w:rPr>
        <w:t xml:space="preserve"> in Components 1,2 and 3</w:t>
      </w:r>
      <w:r w:rsidR="003B0129">
        <w:rPr>
          <w:lang w:val="en-GB" w:eastAsia="en-GB"/>
        </w:rPr>
        <w:t xml:space="preserve">. </w:t>
      </w:r>
      <w:r w:rsidR="00175054">
        <w:rPr>
          <w:lang w:val="en-GB" w:eastAsia="en-GB"/>
        </w:rPr>
        <w:t xml:space="preserve"> </w:t>
      </w:r>
      <w:r w:rsidR="00574296" w:rsidRPr="00666B27">
        <w:rPr>
          <w:lang w:val="en-GB" w:eastAsia="en-GB"/>
        </w:rPr>
        <w:t>There will be no other project office, but project staff will travel regularly to other cities in South Africa, notably municipalities that will receive support services from the Projects especially in the Components 3 and 4), Short-term consultants and experts are likely to be home-based although may be present at the PMU for a specified time.</w:t>
      </w:r>
      <w:r w:rsidR="00175054">
        <w:rPr>
          <w:lang w:val="en-GB" w:eastAsia="en-GB"/>
        </w:rPr>
        <w:t xml:space="preserve">  Although not part of the PMU, staff from implementing agencies and partner organisations (DOE, DBSA, UNDP, UNEP) will provide support as part of their in-kind co-financing contributions. For example, DBSA staff will work with the PMU (</w:t>
      </w:r>
      <w:proofErr w:type="gramStart"/>
      <w:r w:rsidR="00175054">
        <w:rPr>
          <w:lang w:val="en-GB" w:eastAsia="en-GB"/>
        </w:rPr>
        <w:t>in particular its</w:t>
      </w:r>
      <w:proofErr w:type="gramEnd"/>
      <w:r w:rsidR="00175054">
        <w:rPr>
          <w:lang w:val="en-GB" w:eastAsia="en-GB"/>
        </w:rPr>
        <w:t xml:space="preserve"> Financial Advisor)</w:t>
      </w:r>
    </w:p>
    <w:bookmarkEnd w:id="165"/>
    <w:p w:rsidR="00574296" w:rsidRPr="00666B27" w:rsidRDefault="00574296" w:rsidP="004A400D">
      <w:pPr>
        <w:spacing w:after="0"/>
        <w:rPr>
          <w:lang w:val="en-GB" w:eastAsia="en-GB"/>
        </w:rPr>
      </w:pPr>
    </w:p>
    <w:p w:rsidR="00574296" w:rsidRPr="00666B27" w:rsidRDefault="004A400D" w:rsidP="004A400D">
      <w:pPr>
        <w:spacing w:after="0"/>
        <w:rPr>
          <w:lang w:val="en-GB" w:eastAsia="en-GB"/>
        </w:rPr>
      </w:pPr>
      <w:r w:rsidRPr="00666B27">
        <w:rPr>
          <w:lang w:val="en-GB" w:eastAsia="en-GB"/>
        </w:rPr>
        <w:t xml:space="preserve">The </w:t>
      </w:r>
      <w:r w:rsidRPr="00666B27">
        <w:rPr>
          <w:b/>
          <w:lang w:val="en-GB" w:eastAsia="en-GB"/>
        </w:rPr>
        <w:t>Project Manager</w:t>
      </w:r>
      <w:r w:rsidRPr="00666B27">
        <w:rPr>
          <w:lang w:val="en-GB" w:eastAsia="en-GB"/>
        </w:rPr>
        <w:t xml:space="preserve"> function will end when the final project terminal evaluation report, and other documentation required by the GEF and UNDP, ha</w:t>
      </w:r>
      <w:r w:rsidR="003B7D62">
        <w:rPr>
          <w:lang w:val="en-GB" w:eastAsia="en-GB"/>
        </w:rPr>
        <w:t xml:space="preserve">ve </w:t>
      </w:r>
      <w:r w:rsidRPr="003B7D62">
        <w:rPr>
          <w:lang w:val="en-GB" w:eastAsia="en-GB"/>
        </w:rPr>
        <w:t xml:space="preserve">been completed and submitted to UNDP (including operational closure of the project). </w:t>
      </w:r>
      <w:r w:rsidR="00CA0BAC" w:rsidRPr="003B7D62">
        <w:rPr>
          <w:lang w:val="en-GB" w:eastAsia="en-GB"/>
        </w:rPr>
        <w:t>The Project Manager will act as secretary o</w:t>
      </w:r>
      <w:r w:rsidR="00CA0BAC" w:rsidRPr="004722F0">
        <w:rPr>
          <w:lang w:val="en-GB" w:eastAsia="en-GB"/>
        </w:rPr>
        <w:t>f the PSC and its WGs</w:t>
      </w:r>
      <w:r w:rsidR="005C3406" w:rsidRPr="00666B27">
        <w:rPr>
          <w:lang w:val="en-GB" w:eastAsia="en-GB"/>
        </w:rPr>
        <w:t xml:space="preserve"> and be the interface between Board, WGs, UNDP </w:t>
      </w:r>
      <w:r w:rsidR="005C3406" w:rsidRPr="00666B27">
        <w:rPr>
          <w:noProof/>
          <w:lang w:val="en-GB" w:eastAsia="en-GB"/>
        </w:rPr>
        <w:t>and</w:t>
      </w:r>
      <w:r w:rsidR="005C3406" w:rsidRPr="00666B27">
        <w:rPr>
          <w:lang w:val="en-GB" w:eastAsia="en-GB"/>
        </w:rPr>
        <w:t xml:space="preserve"> DBSA</w:t>
      </w:r>
      <w:r w:rsidR="00CA0BAC" w:rsidRPr="00666B27">
        <w:rPr>
          <w:lang w:val="en-GB" w:eastAsia="en-GB"/>
        </w:rPr>
        <w:t>.</w:t>
      </w:r>
      <w:r w:rsidRPr="00666B27">
        <w:rPr>
          <w:lang w:val="en-GB" w:eastAsia="en-GB"/>
        </w:rPr>
        <w:t xml:space="preserve"> </w:t>
      </w:r>
      <w:r w:rsidR="00574296" w:rsidRPr="00666B27">
        <w:rPr>
          <w:lang w:val="en-GB" w:eastAsia="en-GB"/>
        </w:rPr>
        <w:t xml:space="preserve">For the Project amount payable will be charged in the UNDP budget under ‘project management. S/he will also perform technical advice related to the work in the various Components which will be charged to the individual Components. </w:t>
      </w:r>
      <w:r w:rsidRPr="00666B27">
        <w:rPr>
          <w:lang w:val="en-GB" w:eastAsia="en-GB"/>
        </w:rPr>
        <w:t xml:space="preserve">A full-time </w:t>
      </w:r>
      <w:r w:rsidR="003E6193">
        <w:rPr>
          <w:b/>
          <w:lang w:val="en-GB" w:eastAsia="en-GB"/>
        </w:rPr>
        <w:t>Administrative</w:t>
      </w:r>
      <w:r w:rsidRPr="00666B27">
        <w:rPr>
          <w:b/>
          <w:lang w:val="en-GB" w:eastAsia="en-GB"/>
        </w:rPr>
        <w:t xml:space="preserve"> Assistant</w:t>
      </w:r>
      <w:r w:rsidRPr="00666B27">
        <w:rPr>
          <w:lang w:val="en-GB" w:eastAsia="en-GB"/>
        </w:rPr>
        <w:t xml:space="preserve"> will provide support to the Project Manager in all tasks of the project, including administration, management of information and contacts, logistics, representing the project when the Project Manager is unavailable, and so on. </w:t>
      </w:r>
      <w:r w:rsidR="00574296" w:rsidRPr="00666B27">
        <w:rPr>
          <w:lang w:val="en-GB" w:eastAsia="en-GB"/>
        </w:rPr>
        <w:t xml:space="preserve"> </w:t>
      </w:r>
      <w:r w:rsidRPr="00666B27">
        <w:rPr>
          <w:lang w:val="en-GB" w:eastAsia="en-GB"/>
        </w:rPr>
        <w:t>The Project Manager will supervise</w:t>
      </w:r>
      <w:r w:rsidR="003E6193">
        <w:rPr>
          <w:lang w:val="en-GB" w:eastAsia="en-GB"/>
        </w:rPr>
        <w:t xml:space="preserve"> </w:t>
      </w:r>
      <w:r w:rsidR="00175054">
        <w:rPr>
          <w:lang w:val="en-GB" w:eastAsia="en-GB"/>
        </w:rPr>
        <w:t xml:space="preserve">the </w:t>
      </w:r>
      <w:r w:rsidR="00175054" w:rsidRPr="00CC6AD9">
        <w:rPr>
          <w:b/>
          <w:lang w:val="en-GB" w:eastAsia="en-GB"/>
        </w:rPr>
        <w:t>Advisors,</w:t>
      </w:r>
      <w:r w:rsidRPr="00666B27">
        <w:rPr>
          <w:lang w:val="en-GB" w:eastAsia="en-GB"/>
        </w:rPr>
        <w:t xml:space="preserve"> </w:t>
      </w:r>
      <w:r w:rsidR="004639EB" w:rsidRPr="00666B27">
        <w:rPr>
          <w:b/>
          <w:lang w:val="en-GB" w:eastAsia="en-GB"/>
        </w:rPr>
        <w:t>short-term experts</w:t>
      </w:r>
      <w:r w:rsidRPr="00666B27">
        <w:rPr>
          <w:lang w:val="en-GB" w:eastAsia="en-GB"/>
        </w:rPr>
        <w:t xml:space="preserve"> </w:t>
      </w:r>
      <w:r w:rsidR="00574296" w:rsidRPr="00666B27">
        <w:rPr>
          <w:b/>
          <w:lang w:val="en-GB" w:eastAsia="en-GB"/>
        </w:rPr>
        <w:t>and contracted companies</w:t>
      </w:r>
      <w:r w:rsidR="00574296" w:rsidRPr="00666B27">
        <w:rPr>
          <w:lang w:val="en-GB" w:eastAsia="en-GB"/>
        </w:rPr>
        <w:t xml:space="preserve"> </w:t>
      </w:r>
      <w:r w:rsidRPr="00666B27">
        <w:rPr>
          <w:lang w:val="en-GB" w:eastAsia="en-GB"/>
        </w:rPr>
        <w:t>on LED lighting</w:t>
      </w:r>
      <w:r w:rsidR="004639EB" w:rsidRPr="00666B27">
        <w:rPr>
          <w:lang w:val="en-GB" w:eastAsia="en-GB"/>
        </w:rPr>
        <w:t xml:space="preserve">, </w:t>
      </w:r>
      <w:r w:rsidRPr="00666B27">
        <w:rPr>
          <w:lang w:val="en-GB" w:eastAsia="en-GB"/>
        </w:rPr>
        <w:t>distribution transformers</w:t>
      </w:r>
      <w:r w:rsidR="004639EB" w:rsidRPr="00666B27">
        <w:rPr>
          <w:lang w:val="en-GB" w:eastAsia="en-GB"/>
        </w:rPr>
        <w:t>, and financing modalities</w:t>
      </w:r>
      <w:r w:rsidRPr="00666B27">
        <w:rPr>
          <w:lang w:val="en-GB" w:eastAsia="en-GB"/>
        </w:rPr>
        <w:t xml:space="preserve">.  These team will operate in fulfilling the research, policy development, communications and outreach, technical assistance and implementation embodied in all the components.  The exact contractual modalities for </w:t>
      </w:r>
      <w:r w:rsidR="004639EB" w:rsidRPr="00666B27">
        <w:rPr>
          <w:lang w:val="en-GB" w:eastAsia="en-GB"/>
        </w:rPr>
        <w:t>experts</w:t>
      </w:r>
      <w:r w:rsidRPr="00666B27">
        <w:rPr>
          <w:lang w:val="en-GB" w:eastAsia="en-GB"/>
        </w:rPr>
        <w:t xml:space="preserve"> will be determined on a case-by-case basis based on the match of tasks and qualifications (most likely, year-to-year service contracts or individual contracts with lump-sum payments for specific outputs).  </w:t>
      </w:r>
      <w:r w:rsidR="004639EB" w:rsidRPr="00666B27">
        <w:rPr>
          <w:lang w:val="en-GB" w:eastAsia="en-GB"/>
        </w:rPr>
        <w:t xml:space="preserve">Experts </w:t>
      </w:r>
      <w:r w:rsidRPr="00666B27">
        <w:rPr>
          <w:lang w:val="en-GB" w:eastAsia="en-GB"/>
        </w:rPr>
        <w:t>may be stationed within or outside the project office</w:t>
      </w:r>
      <w:r w:rsidR="004639EB" w:rsidRPr="00666B27">
        <w:rPr>
          <w:lang w:val="en-GB" w:eastAsia="en-GB"/>
        </w:rPr>
        <w:t xml:space="preserve"> or may work home-based</w:t>
      </w:r>
      <w:r w:rsidRPr="00666B27">
        <w:rPr>
          <w:lang w:val="en-GB" w:eastAsia="en-GB"/>
        </w:rPr>
        <w:t>.</w:t>
      </w:r>
    </w:p>
    <w:p w:rsidR="004A400D" w:rsidRPr="00666B27" w:rsidRDefault="004A400D" w:rsidP="004A400D">
      <w:pPr>
        <w:spacing w:after="0"/>
        <w:rPr>
          <w:lang w:val="en-GB" w:eastAsia="en-GB"/>
        </w:rPr>
      </w:pPr>
    </w:p>
    <w:p w:rsidR="004A400D" w:rsidRPr="00666B27" w:rsidRDefault="004A400D" w:rsidP="004A400D">
      <w:pPr>
        <w:spacing w:after="0"/>
        <w:rPr>
          <w:lang w:val="en-GB"/>
        </w:rPr>
      </w:pPr>
      <w:proofErr w:type="gramStart"/>
      <w:r w:rsidRPr="00666B27">
        <w:rPr>
          <w:lang w:val="en-GB" w:eastAsia="en-GB"/>
        </w:rPr>
        <w:t>The</w:t>
      </w:r>
      <w:r w:rsidRPr="00666B27">
        <w:rPr>
          <w:b/>
          <w:lang w:val="en-GB" w:eastAsia="en-GB"/>
        </w:rPr>
        <w:t xml:space="preserve"> Project Implementing Agencies</w:t>
      </w:r>
      <w:r w:rsidRPr="00666B27">
        <w:rPr>
          <w:lang w:val="en-GB" w:eastAsia="en-GB"/>
        </w:rPr>
        <w:t>,</w:t>
      </w:r>
      <w:proofErr w:type="gramEnd"/>
      <w:r w:rsidRPr="00666B27">
        <w:rPr>
          <w:lang w:val="en-GB" w:eastAsia="en-GB"/>
        </w:rPr>
        <w:t xml:space="preserve"> are UNDP and DBSA, who are responsible to the GEF for the use of project resources as written in the </w:t>
      </w:r>
      <w:r w:rsidR="003E6193">
        <w:rPr>
          <w:lang w:val="en-GB" w:eastAsia="en-GB"/>
        </w:rPr>
        <w:t>P</w:t>
      </w:r>
      <w:r w:rsidRPr="00666B27">
        <w:rPr>
          <w:lang w:val="en-GB" w:eastAsia="en-GB"/>
        </w:rPr>
        <w:t>roject Document, or any amendments agreed to it by all donors.</w:t>
      </w:r>
      <w:r w:rsidRPr="00666B27">
        <w:rPr>
          <w:lang w:val="en-GB"/>
        </w:rPr>
        <w:t xml:space="preserve"> The two Implementing Agencies will </w:t>
      </w:r>
      <w:r w:rsidR="005C3406" w:rsidRPr="00666B27">
        <w:rPr>
          <w:lang w:val="en-GB"/>
        </w:rPr>
        <w:t xml:space="preserve">provide </w:t>
      </w:r>
      <w:r w:rsidR="005C3406" w:rsidRPr="00666B27">
        <w:rPr>
          <w:noProof/>
          <w:lang w:val="en-GB"/>
        </w:rPr>
        <w:t>three-tier</w:t>
      </w:r>
      <w:r w:rsidR="005C3406" w:rsidRPr="00666B27">
        <w:rPr>
          <w:lang w:val="en-GB"/>
        </w:rPr>
        <w:t xml:space="preserve"> supervision, oversight, and quality assurance role – funded by the GEF agency fee – involving UNDP staff in Country Offices and at regional and headquarters levels and by DBSA staff. Project assurance is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UNDP or DBSA cannot delegate any of its quality assurance responsibilities to the Project Manager.  This project oversight and quality assurance role are covered by the GEF Agency fee. </w:t>
      </w:r>
      <w:bookmarkStart w:id="167" w:name="_Hlk7087877"/>
      <w:r w:rsidR="005C3406" w:rsidRPr="00666B27">
        <w:rPr>
          <w:lang w:val="en-GB"/>
        </w:rPr>
        <w:t>Organisational costs incurred by UNDP in terms of staff time are charged to the GEF Agency Fee, which is 9% of the GEF budget for the project, equivalent to USD 9</w:t>
      </w:r>
      <w:r w:rsidR="00FE5C3C">
        <w:rPr>
          <w:lang w:val="en-GB"/>
        </w:rPr>
        <w:t>0</w:t>
      </w:r>
      <w:r w:rsidR="005C3406" w:rsidRPr="00666B27">
        <w:rPr>
          <w:lang w:val="en-GB"/>
        </w:rPr>
        <w:t>0,000 (as indicated in the GEF CEO Endorsement Request form) to be divided over UNDP (</w:t>
      </w:r>
      <w:r w:rsidR="001D525E" w:rsidRPr="00666B27">
        <w:rPr>
          <w:lang w:val="en-GB"/>
        </w:rPr>
        <w:t>50%) and DBSA (50%).</w:t>
      </w:r>
    </w:p>
    <w:bookmarkEnd w:id="164"/>
    <w:bookmarkEnd w:id="167"/>
    <w:p w:rsidR="00C07BDD" w:rsidRPr="00666B27" w:rsidRDefault="00C07BDD" w:rsidP="004A400D">
      <w:pPr>
        <w:spacing w:after="0"/>
        <w:rPr>
          <w:lang w:val="en-GB"/>
        </w:rPr>
      </w:pPr>
    </w:p>
    <w:p w:rsidR="004A400D" w:rsidRPr="00666B27" w:rsidRDefault="004A400D" w:rsidP="004A400D">
      <w:pPr>
        <w:spacing w:after="0"/>
        <w:rPr>
          <w:lang w:val="en-GB" w:eastAsia="en-GB"/>
        </w:rPr>
      </w:pPr>
    </w:p>
    <w:p w:rsidR="004A400D" w:rsidRPr="00666B27" w:rsidRDefault="004A400D">
      <w:pPr>
        <w:spacing w:after="0"/>
        <w:jc w:val="left"/>
        <w:rPr>
          <w:rFonts w:cs="Arial"/>
          <w:i/>
          <w:noProof/>
          <w:szCs w:val="20"/>
          <w:lang w:val="en-GB" w:eastAsia="zh-CN"/>
        </w:rPr>
      </w:pPr>
      <w:r w:rsidRPr="00666B27">
        <w:rPr>
          <w:rFonts w:cs="Arial"/>
          <w:i/>
          <w:noProof/>
          <w:szCs w:val="20"/>
          <w:lang w:val="en-GB" w:eastAsia="zh-CN"/>
        </w:rPr>
        <w:br w:type="page"/>
      </w:r>
    </w:p>
    <w:p w:rsidR="003E3ABA" w:rsidRPr="00666B27" w:rsidRDefault="003E3ABA" w:rsidP="001E1DBB">
      <w:pPr>
        <w:pStyle w:val="Heading1"/>
        <w:spacing w:before="0" w:after="0"/>
        <w:ind w:left="567" w:hanging="567"/>
        <w:rPr>
          <w:rFonts w:ascii="Arial" w:hAnsi="Arial"/>
        </w:rPr>
      </w:pPr>
      <w:bookmarkStart w:id="168" w:name="_Toc497848311"/>
      <w:bookmarkStart w:id="169" w:name="_Toc340771"/>
      <w:r w:rsidRPr="00666B27">
        <w:rPr>
          <w:rFonts w:ascii="Arial" w:hAnsi="Arial"/>
        </w:rPr>
        <w:lastRenderedPageBreak/>
        <w:t>Financial Planning and Management</w:t>
      </w:r>
      <w:bookmarkEnd w:id="168"/>
      <w:bookmarkEnd w:id="169"/>
      <w:r w:rsidRPr="00666B27">
        <w:rPr>
          <w:rFonts w:ascii="Arial" w:hAnsi="Arial"/>
        </w:rPr>
        <w:t xml:space="preserve"> </w:t>
      </w:r>
    </w:p>
    <w:p w:rsidR="008466F0" w:rsidRPr="00666B27" w:rsidRDefault="008466F0" w:rsidP="006674A2">
      <w:pPr>
        <w:autoSpaceDE w:val="0"/>
        <w:autoSpaceDN w:val="0"/>
        <w:adjustRightInd w:val="0"/>
        <w:spacing w:after="0"/>
        <w:jc w:val="left"/>
        <w:rPr>
          <w:color w:val="000000"/>
          <w:szCs w:val="20"/>
          <w:lang w:val="en-GB"/>
        </w:rPr>
      </w:pPr>
    </w:p>
    <w:p w:rsidR="007061AB" w:rsidRPr="007061AB" w:rsidRDefault="007061AB" w:rsidP="007061AB">
      <w:pPr>
        <w:autoSpaceDE w:val="0"/>
        <w:autoSpaceDN w:val="0"/>
        <w:adjustRightInd w:val="0"/>
        <w:spacing w:after="0"/>
        <w:jc w:val="left"/>
        <w:rPr>
          <w:color w:val="000000"/>
          <w:szCs w:val="20"/>
          <w:lang w:val="en-GB"/>
        </w:rPr>
      </w:pPr>
      <w:r w:rsidRPr="007061AB">
        <w:rPr>
          <w:color w:val="000000"/>
          <w:szCs w:val="20"/>
          <w:u w:val="single"/>
          <w:lang w:val="en-GB"/>
        </w:rPr>
        <w:t>Total financing:</w:t>
      </w:r>
      <w:r w:rsidRPr="007061AB">
        <w:rPr>
          <w:color w:val="000000"/>
          <w:szCs w:val="20"/>
          <w:lang w:val="en-GB"/>
        </w:rPr>
        <w:t xml:space="preserve"> The total cost of the project is </w:t>
      </w:r>
      <w:r w:rsidRPr="007061AB">
        <w:rPr>
          <w:i/>
          <w:color w:val="000000"/>
          <w:szCs w:val="20"/>
          <w:lang w:val="en-GB"/>
        </w:rPr>
        <w:t xml:space="preserve">USD 89,530,000.  </w:t>
      </w:r>
      <w:r w:rsidRPr="007061AB">
        <w:rPr>
          <w:color w:val="000000"/>
          <w:szCs w:val="20"/>
          <w:lang w:val="en-GB"/>
        </w:rPr>
        <w:t xml:space="preserve">This is financed through a GEF grant of </w:t>
      </w:r>
      <w:r w:rsidRPr="007061AB">
        <w:rPr>
          <w:i/>
          <w:color w:val="000000"/>
          <w:szCs w:val="20"/>
          <w:lang w:val="en-GB"/>
        </w:rPr>
        <w:t xml:space="preserve">USD </w:t>
      </w:r>
      <w:r w:rsidRPr="007061AB">
        <w:rPr>
          <w:color w:val="000000"/>
          <w:szCs w:val="20"/>
          <w:lang w:val="en-GB"/>
        </w:rPr>
        <w:t xml:space="preserve">10,000,000, </w:t>
      </w:r>
      <w:r w:rsidRPr="007061AB">
        <w:rPr>
          <w:i/>
          <w:color w:val="000000"/>
          <w:szCs w:val="20"/>
          <w:lang w:val="en-GB"/>
        </w:rPr>
        <w:t xml:space="preserve">USD 41,000,000 </w:t>
      </w:r>
      <w:r w:rsidRPr="007061AB">
        <w:rPr>
          <w:color w:val="000000"/>
          <w:szCs w:val="20"/>
          <w:lang w:val="en-GB"/>
        </w:rPr>
        <w:t xml:space="preserve">in cash co-financing and </w:t>
      </w:r>
      <w:r w:rsidRPr="007061AB">
        <w:rPr>
          <w:i/>
          <w:color w:val="000000"/>
          <w:szCs w:val="20"/>
          <w:lang w:val="en-GB"/>
        </w:rPr>
        <w:t xml:space="preserve">USD 38,530,000 </w:t>
      </w:r>
      <w:r w:rsidRPr="007061AB">
        <w:rPr>
          <w:color w:val="000000"/>
          <w:szCs w:val="20"/>
          <w:lang w:val="en-GB"/>
        </w:rPr>
        <w:t xml:space="preserve">in in-kind and loan co-financing (including USD 600,000 from UNDP).  </w:t>
      </w:r>
    </w:p>
    <w:p w:rsidR="007061AB" w:rsidRPr="007061AB" w:rsidRDefault="007061AB" w:rsidP="007061AB">
      <w:pPr>
        <w:autoSpaceDE w:val="0"/>
        <w:autoSpaceDN w:val="0"/>
        <w:adjustRightInd w:val="0"/>
        <w:spacing w:after="0"/>
        <w:jc w:val="left"/>
        <w:rPr>
          <w:color w:val="000000"/>
          <w:szCs w:val="20"/>
          <w:lang w:val="en-GB"/>
        </w:rPr>
      </w:pPr>
      <w:r w:rsidRPr="007061AB">
        <w:rPr>
          <w:color w:val="000000"/>
          <w:szCs w:val="20"/>
          <w:lang w:val="en-GB"/>
        </w:rPr>
        <w:t xml:space="preserve">As GEF Implementing Agencies, UNDP is responsible for the execution of </w:t>
      </w:r>
      <w:r w:rsidRPr="007061AB">
        <w:rPr>
          <w:i/>
          <w:color w:val="000000"/>
          <w:szCs w:val="20"/>
          <w:lang w:val="en-GB"/>
        </w:rPr>
        <w:t xml:space="preserve">USD 5,000,000 of </w:t>
      </w:r>
      <w:r w:rsidRPr="007061AB">
        <w:rPr>
          <w:color w:val="000000"/>
          <w:szCs w:val="20"/>
          <w:lang w:val="en-GB"/>
        </w:rPr>
        <w:t xml:space="preserve">GEF resources </w:t>
      </w:r>
      <w:r w:rsidRPr="007061AB">
        <w:rPr>
          <w:color w:val="000000"/>
          <w:szCs w:val="20"/>
          <w:lang w:val="en-GB" w:eastAsia="zh-CN"/>
        </w:rPr>
        <w:t xml:space="preserve">and DBSA is responsible for the execution of </w:t>
      </w:r>
      <w:r w:rsidRPr="007061AB">
        <w:rPr>
          <w:i/>
          <w:color w:val="000000"/>
          <w:szCs w:val="20"/>
          <w:lang w:val="en-GB" w:eastAsia="zh-CN"/>
        </w:rPr>
        <w:t xml:space="preserve">USD 5,000,000 </w:t>
      </w:r>
      <w:r w:rsidRPr="007061AB">
        <w:rPr>
          <w:color w:val="000000"/>
          <w:szCs w:val="20"/>
          <w:lang w:val="en-GB" w:eastAsia="zh-CN"/>
        </w:rPr>
        <w:t>of the GEF resources</w:t>
      </w:r>
      <w:r w:rsidRPr="007061AB">
        <w:rPr>
          <w:color w:val="000000"/>
          <w:szCs w:val="20"/>
          <w:lang w:val="en-GB"/>
        </w:rPr>
        <w:t xml:space="preserve">.   </w:t>
      </w:r>
    </w:p>
    <w:p w:rsidR="007061AB" w:rsidRPr="007061AB" w:rsidRDefault="007061AB" w:rsidP="007061AB">
      <w:pPr>
        <w:autoSpaceDE w:val="0"/>
        <w:autoSpaceDN w:val="0"/>
        <w:adjustRightInd w:val="0"/>
        <w:spacing w:after="0"/>
        <w:jc w:val="left"/>
        <w:rPr>
          <w:color w:val="000000"/>
          <w:szCs w:val="20"/>
          <w:u w:val="single"/>
          <w:lang w:val="en-GB"/>
        </w:rPr>
      </w:pPr>
    </w:p>
    <w:p w:rsidR="007061AB" w:rsidRPr="007061AB" w:rsidRDefault="007061AB" w:rsidP="007061AB">
      <w:pPr>
        <w:autoSpaceDE w:val="0"/>
        <w:autoSpaceDN w:val="0"/>
        <w:adjustRightInd w:val="0"/>
        <w:spacing w:after="0"/>
        <w:jc w:val="left"/>
        <w:rPr>
          <w:color w:val="000000"/>
          <w:szCs w:val="20"/>
          <w:lang w:val="en-GB"/>
        </w:rPr>
      </w:pPr>
      <w:r w:rsidRPr="007061AB">
        <w:rPr>
          <w:color w:val="000000"/>
          <w:szCs w:val="20"/>
          <w:u w:val="single"/>
          <w:lang w:val="en-GB"/>
        </w:rPr>
        <w:t>Parallel co-financing</w:t>
      </w:r>
      <w:r w:rsidRPr="007061AB">
        <w:rPr>
          <w:color w:val="000000"/>
          <w:szCs w:val="20"/>
          <w:lang w:val="en-GB"/>
        </w:rPr>
        <w:t xml:space="preserve">:  The actual realization of project co-financing will be monitored during the </w:t>
      </w:r>
      <w:r w:rsidRPr="007061AB">
        <w:rPr>
          <w:i/>
          <w:color w:val="000000"/>
          <w:szCs w:val="20"/>
          <w:lang w:val="en-GB"/>
        </w:rPr>
        <w:t>mid-term review</w:t>
      </w:r>
      <w:r w:rsidRPr="007061AB">
        <w:rPr>
          <w:color w:val="000000"/>
          <w:szCs w:val="20"/>
          <w:lang w:val="en-GB"/>
        </w:rPr>
        <w:t xml:space="preserve"> and terminal evaluation process and will be reported to the GEF. The planned parallel co-financing will be used as follows:</w:t>
      </w:r>
    </w:p>
    <w:p w:rsidR="007061AB" w:rsidRPr="007061AB" w:rsidRDefault="007061AB" w:rsidP="007061AB">
      <w:pPr>
        <w:autoSpaceDE w:val="0"/>
        <w:autoSpaceDN w:val="0"/>
        <w:adjustRightInd w:val="0"/>
        <w:spacing w:after="0"/>
        <w:jc w:val="left"/>
        <w:rPr>
          <w:color w:val="000000"/>
          <w:szCs w:val="20"/>
          <w:lang w:val="en-GB"/>
        </w:rPr>
      </w:pPr>
    </w:p>
    <w:p w:rsidR="007061AB" w:rsidRPr="007061AB" w:rsidRDefault="007061AB" w:rsidP="007061AB">
      <w:pPr>
        <w:autoSpaceDE w:val="0"/>
        <w:autoSpaceDN w:val="0"/>
        <w:adjustRightInd w:val="0"/>
        <w:spacing w:after="0"/>
        <w:jc w:val="left"/>
        <w:rPr>
          <w:b/>
          <w:color w:val="000000"/>
          <w:szCs w:val="20"/>
          <w:lang w:val="en-GB"/>
        </w:rPr>
      </w:pPr>
      <w:bookmarkStart w:id="170" w:name="_Toc179838"/>
      <w:r w:rsidRPr="007061AB">
        <w:rPr>
          <w:rFonts w:ascii="Arial" w:hAnsi="Arial" w:cs="Arial"/>
          <w:b/>
          <w:color w:val="2E74B5"/>
          <w:sz w:val="18"/>
          <w:lang w:val="en-GB"/>
        </w:rPr>
        <w:t xml:space="preserve">Box </w:t>
      </w:r>
      <w:r w:rsidRPr="007061AB">
        <w:rPr>
          <w:rFonts w:ascii="Arial" w:hAnsi="Arial" w:cs="Arial"/>
          <w:b/>
          <w:color w:val="2E74B5"/>
          <w:sz w:val="18"/>
          <w:lang w:val="en-GB"/>
        </w:rPr>
        <w:fldChar w:fldCharType="begin"/>
      </w:r>
      <w:r w:rsidRPr="007061AB">
        <w:rPr>
          <w:rFonts w:ascii="Arial" w:hAnsi="Arial" w:cs="Arial"/>
          <w:b/>
          <w:color w:val="2E74B5"/>
          <w:sz w:val="18"/>
          <w:lang w:val="en-GB"/>
        </w:rPr>
        <w:instrText xml:space="preserve"> SEQ Box \* ARABIC </w:instrText>
      </w:r>
      <w:r w:rsidRPr="007061AB">
        <w:rPr>
          <w:rFonts w:ascii="Arial" w:hAnsi="Arial" w:cs="Arial"/>
          <w:b/>
          <w:color w:val="2E74B5"/>
          <w:sz w:val="18"/>
          <w:lang w:val="en-GB"/>
        </w:rPr>
        <w:fldChar w:fldCharType="separate"/>
      </w:r>
      <w:r w:rsidRPr="007061AB">
        <w:rPr>
          <w:rFonts w:ascii="Arial" w:hAnsi="Arial" w:cs="Arial"/>
          <w:b/>
          <w:noProof/>
          <w:color w:val="2E74B5"/>
          <w:sz w:val="18"/>
          <w:lang w:val="en-GB"/>
        </w:rPr>
        <w:t>14</w:t>
      </w:r>
      <w:r w:rsidRPr="007061AB">
        <w:rPr>
          <w:rFonts w:ascii="Arial" w:hAnsi="Arial" w:cs="Arial"/>
          <w:b/>
          <w:color w:val="2E74B5"/>
          <w:sz w:val="18"/>
          <w:lang w:val="en-GB"/>
        </w:rPr>
        <w:fldChar w:fldCharType="end"/>
      </w:r>
      <w:r w:rsidRPr="007061AB">
        <w:rPr>
          <w:rFonts w:ascii="Arial" w:hAnsi="Arial" w:cs="Arial"/>
          <w:b/>
          <w:color w:val="2E74B5"/>
          <w:sz w:val="18"/>
          <w:lang w:val="en-GB"/>
        </w:rPr>
        <w:tab/>
        <w:t>Co-financing and sources</w:t>
      </w:r>
      <w:bookmarkEnd w:id="170"/>
    </w:p>
    <w:p w:rsidR="007061AB" w:rsidRPr="007061AB" w:rsidRDefault="007061AB" w:rsidP="007061AB">
      <w:pPr>
        <w:autoSpaceDE w:val="0"/>
        <w:autoSpaceDN w:val="0"/>
        <w:adjustRightInd w:val="0"/>
        <w:spacing w:after="0"/>
        <w:jc w:val="left"/>
        <w:rPr>
          <w:color w:val="00000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48"/>
        <w:gridCol w:w="932"/>
        <w:gridCol w:w="1134"/>
        <w:gridCol w:w="3118"/>
        <w:gridCol w:w="1985"/>
        <w:gridCol w:w="1745"/>
      </w:tblGrid>
      <w:tr w:rsidR="007061AB" w:rsidRPr="007061AB" w:rsidTr="00E37A5B">
        <w:trPr>
          <w:jc w:val="center"/>
        </w:trPr>
        <w:tc>
          <w:tcPr>
            <w:tcW w:w="1048"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Confirmed co-financing source</w:t>
            </w:r>
            <w:r w:rsidRPr="007061AB">
              <w:rPr>
                <w:rStyle w:val="FootnoteReference"/>
                <w:b/>
                <w:color w:val="000000" w:themeColor="text1"/>
                <w:szCs w:val="19"/>
                <w:lang w:val="en-GB"/>
              </w:rPr>
              <w:footnoteReference w:id="17"/>
            </w:r>
          </w:p>
        </w:tc>
        <w:tc>
          <w:tcPr>
            <w:tcW w:w="932"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Co-fin. type</w:t>
            </w:r>
          </w:p>
        </w:tc>
        <w:tc>
          <w:tcPr>
            <w:tcW w:w="1134"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Co-financing (USD)</w:t>
            </w:r>
          </w:p>
        </w:tc>
        <w:tc>
          <w:tcPr>
            <w:tcW w:w="3118"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Planned Activities/Outputs</w:t>
            </w:r>
          </w:p>
        </w:tc>
        <w:tc>
          <w:tcPr>
            <w:tcW w:w="1985"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Risks</w:t>
            </w:r>
          </w:p>
        </w:tc>
        <w:tc>
          <w:tcPr>
            <w:tcW w:w="1745" w:type="dxa"/>
            <w:shd w:val="clear" w:color="auto" w:fill="auto"/>
          </w:tcPr>
          <w:p w:rsidR="007061AB" w:rsidRPr="007061AB" w:rsidRDefault="007061AB" w:rsidP="00E37A5B">
            <w:pPr>
              <w:autoSpaceDE w:val="0"/>
              <w:autoSpaceDN w:val="0"/>
              <w:adjustRightInd w:val="0"/>
              <w:spacing w:after="0"/>
              <w:jc w:val="center"/>
              <w:rPr>
                <w:b/>
                <w:color w:val="000000" w:themeColor="text1"/>
                <w:sz w:val="19"/>
                <w:szCs w:val="19"/>
                <w:lang w:val="en-GB"/>
              </w:rPr>
            </w:pPr>
            <w:r w:rsidRPr="007061AB">
              <w:rPr>
                <w:b/>
                <w:color w:val="000000" w:themeColor="text1"/>
                <w:sz w:val="19"/>
                <w:szCs w:val="19"/>
                <w:lang w:val="en-GB"/>
              </w:rPr>
              <w:t>Risk Mitigation Measures</w:t>
            </w:r>
          </w:p>
        </w:tc>
      </w:tr>
      <w:tr w:rsidR="007061AB" w:rsidRPr="007061AB" w:rsidTr="00E37A5B">
        <w:trPr>
          <w:jc w:val="center"/>
        </w:trPr>
        <w:tc>
          <w:tcPr>
            <w:tcW w:w="1048"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DOE</w:t>
            </w: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Grant</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41,000,000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Financial support for municipalities from its MEEDSM programme (ZAR 300 million a year)</w:t>
            </w:r>
            <w:r w:rsidRPr="007061AB">
              <w:rPr>
                <w:rStyle w:val="FootnoteReference"/>
                <w:color w:val="000000" w:themeColor="text1"/>
                <w:szCs w:val="19"/>
                <w:lang w:val="en-GB"/>
              </w:rPr>
              <w:footnoteReference w:id="18"/>
            </w:r>
            <w:r w:rsidRPr="007061AB">
              <w:rPr>
                <w:color w:val="000000" w:themeColor="text1"/>
                <w:sz w:val="19"/>
                <w:szCs w:val="19"/>
                <w:lang w:val="en-GB"/>
              </w:rPr>
              <w:t xml:space="preserve"> of which 23% is taken as co-financing (over 4 years) to finance efficient public and street lighting and from the INEP programme</w:t>
            </w:r>
            <w:r w:rsidRPr="007061AB">
              <w:rPr>
                <w:rStyle w:val="FootnoteReference"/>
                <w:color w:val="000000" w:themeColor="text1"/>
                <w:szCs w:val="19"/>
                <w:lang w:val="en-GB"/>
              </w:rPr>
              <w:footnoteReference w:id="19"/>
            </w:r>
            <w:r w:rsidRPr="007061AB">
              <w:rPr>
                <w:color w:val="000000" w:themeColor="text1"/>
                <w:sz w:val="19"/>
                <w:szCs w:val="19"/>
                <w:lang w:val="en-GB"/>
              </w:rPr>
              <w:t xml:space="preserve"> and amount of USD 21 million) is earmarked for HE distribution transformers upgrade/expansion</w:t>
            </w:r>
          </w:p>
        </w:tc>
        <w:tc>
          <w:tcPr>
            <w:tcW w:w="1985" w:type="dxa"/>
            <w:vMerge w:val="restart"/>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Government diverts funds and priorities to other areas. Treasury will lower the budget for MEEDSM and for electricty networks</w:t>
            </w:r>
          </w:p>
          <w:p w:rsidR="007061AB" w:rsidRPr="007061AB" w:rsidRDefault="007061AB" w:rsidP="00E37A5B">
            <w:pPr>
              <w:autoSpaceDE w:val="0"/>
              <w:autoSpaceDN w:val="0"/>
              <w:adjustRightInd w:val="0"/>
              <w:spacing w:after="0"/>
              <w:jc w:val="left"/>
              <w:rPr>
                <w:color w:val="000000" w:themeColor="text1"/>
                <w:sz w:val="19"/>
                <w:szCs w:val="19"/>
                <w:lang w:val="en-GB"/>
              </w:rPr>
            </w:pPr>
          </w:p>
          <w:p w:rsidR="007061AB" w:rsidRPr="007061AB" w:rsidRDefault="007061AB" w:rsidP="00E37A5B">
            <w:pPr>
              <w:autoSpaceDE w:val="0"/>
              <w:autoSpaceDN w:val="0"/>
              <w:adjustRightInd w:val="0"/>
              <w:spacing w:after="0"/>
              <w:jc w:val="left"/>
              <w:rPr>
                <w:color w:val="000000" w:themeColor="text1"/>
                <w:sz w:val="19"/>
                <w:szCs w:val="19"/>
                <w:lang w:val="en-GB"/>
              </w:rPr>
            </w:pPr>
          </w:p>
        </w:tc>
        <w:tc>
          <w:tcPr>
            <w:tcW w:w="1745"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The Project will argue for the importance of </w:t>
            </w:r>
            <w:r w:rsidRPr="007061AB">
              <w:rPr>
                <w:noProof/>
                <w:color w:val="000000" w:themeColor="text1"/>
                <w:sz w:val="19"/>
                <w:szCs w:val="19"/>
                <w:lang w:val="en-GB"/>
              </w:rPr>
              <w:t>continuation</w:t>
            </w:r>
            <w:r w:rsidRPr="007061AB">
              <w:rPr>
                <w:color w:val="000000" w:themeColor="text1"/>
                <w:sz w:val="19"/>
                <w:szCs w:val="19"/>
                <w:lang w:val="en-GB"/>
              </w:rPr>
              <w:t xml:space="preserve"> of energy efficiency support and financing</w:t>
            </w:r>
          </w:p>
        </w:tc>
      </w:tr>
      <w:tr w:rsidR="007061AB" w:rsidRPr="007061AB" w:rsidTr="00E37A5B">
        <w:trPr>
          <w:jc w:val="center"/>
        </w:trPr>
        <w:tc>
          <w:tcPr>
            <w:tcW w:w="1048"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1,650,000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Office space (for project staff and events); Support to and participation of staff in </w:t>
            </w:r>
            <w:r w:rsidRPr="007061AB">
              <w:rPr>
                <w:noProof/>
                <w:color w:val="000000" w:themeColor="text1"/>
                <w:sz w:val="19"/>
                <w:szCs w:val="19"/>
                <w:lang w:val="en-GB"/>
              </w:rPr>
              <w:t>capacity</w:t>
            </w:r>
            <w:r w:rsidRPr="007061AB">
              <w:rPr>
                <w:color w:val="000000" w:themeColor="text1"/>
                <w:sz w:val="19"/>
                <w:szCs w:val="19"/>
                <w:lang w:val="en-GB"/>
              </w:rPr>
              <w:t xml:space="preserve"> building, planning and regulations</w:t>
            </w:r>
          </w:p>
        </w:tc>
        <w:tc>
          <w:tcPr>
            <w:tcW w:w="1985" w:type="dxa"/>
            <w:vMerge/>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p>
        </w:tc>
        <w:tc>
          <w:tcPr>
            <w:tcW w:w="1745"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r>
      <w:tr w:rsidR="007061AB" w:rsidRPr="007061AB" w:rsidTr="00E37A5B">
        <w:trPr>
          <w:jc w:val="center"/>
        </w:trPr>
        <w:tc>
          <w:tcPr>
            <w:tcW w:w="1048"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Eskom</w:t>
            </w:r>
          </w:p>
        </w:tc>
        <w:tc>
          <w:tcPr>
            <w:tcW w:w="932"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vMerge w:val="restart"/>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19,000,000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Specification, development, human resources, purchase and installation of transformers </w:t>
            </w:r>
            <w:r w:rsidRPr="007061AB">
              <w:rPr>
                <w:i/>
                <w:color w:val="000000" w:themeColor="text1"/>
                <w:sz w:val="19"/>
                <w:szCs w:val="19"/>
                <w:lang w:val="en-GB"/>
              </w:rPr>
              <w:t>(please note that in comparison with the original co-financing letter the breakdown of the total amount of USD 19 million has changed with a higher share of transformer-related activities)</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Delayed implementation of transformer replacement and/or replacement with conventional technology (e.g. due to budget cuts)</w:t>
            </w:r>
          </w:p>
        </w:tc>
        <w:tc>
          <w:tcPr>
            <w:tcW w:w="1745"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Eskom has developed an internal standard for </w:t>
            </w:r>
            <w:r w:rsidRPr="007061AB">
              <w:rPr>
                <w:noProof/>
                <w:color w:val="000000" w:themeColor="text1"/>
                <w:sz w:val="19"/>
                <w:szCs w:val="19"/>
                <w:lang w:val="en-GB"/>
              </w:rPr>
              <w:t>transformer</w:t>
            </w:r>
            <w:r w:rsidRPr="007061AB">
              <w:rPr>
                <w:color w:val="000000" w:themeColor="text1"/>
                <w:sz w:val="19"/>
                <w:szCs w:val="19"/>
                <w:lang w:val="en-GB"/>
              </w:rPr>
              <w:t xml:space="preserve"> with energy performance </w:t>
            </w:r>
          </w:p>
        </w:tc>
      </w:tr>
      <w:tr w:rsidR="007061AB" w:rsidRPr="007061AB" w:rsidTr="00E37A5B">
        <w:trPr>
          <w:jc w:val="center"/>
        </w:trPr>
        <w:tc>
          <w:tcPr>
            <w:tcW w:w="1048"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c>
          <w:tcPr>
            <w:tcW w:w="932"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c>
          <w:tcPr>
            <w:tcW w:w="1134" w:type="dxa"/>
            <w:vMerge/>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IDM activities (advisory services, promotional campaigns, info sharing) on lighting and transformers</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Eskom cuts back on IDM activities</w:t>
            </w:r>
          </w:p>
        </w:tc>
        <w:tc>
          <w:tcPr>
            <w:tcW w:w="1745"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Energy efficiency remains a priority in national planning </w:t>
            </w:r>
            <w:proofErr w:type="gramStart"/>
            <w:r w:rsidRPr="007061AB">
              <w:rPr>
                <w:color w:val="000000" w:themeColor="text1"/>
                <w:sz w:val="19"/>
                <w:szCs w:val="19"/>
                <w:lang w:val="en-GB"/>
              </w:rPr>
              <w:t>and also</w:t>
            </w:r>
            <w:proofErr w:type="gramEnd"/>
            <w:r w:rsidRPr="007061AB">
              <w:rPr>
                <w:color w:val="000000" w:themeColor="text1"/>
                <w:sz w:val="19"/>
                <w:szCs w:val="19"/>
                <w:lang w:val="en-GB"/>
              </w:rPr>
              <w:t xml:space="preserve"> for public companies as Eskom</w:t>
            </w:r>
          </w:p>
        </w:tc>
      </w:tr>
      <w:tr w:rsidR="007061AB" w:rsidRPr="007061AB" w:rsidTr="00E37A5B">
        <w:trPr>
          <w:jc w:val="center"/>
        </w:trPr>
        <w:tc>
          <w:tcPr>
            <w:tcW w:w="104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lastRenderedPageBreak/>
              <w:t>UNDP</w:t>
            </w: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600,000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Implementation costs of (staff) of a policy-advisory, technical and implementation nature essential to deliver development results</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Slow roll-out of project funds and activities</w:t>
            </w:r>
          </w:p>
        </w:tc>
        <w:tc>
          <w:tcPr>
            <w:tcW w:w="1745"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Ensuring project roll-out will ensure that GEF (and DBSA/UNDP) funds are also made available in a timely manner</w:t>
            </w:r>
          </w:p>
        </w:tc>
      </w:tr>
      <w:tr w:rsidR="007061AB" w:rsidRPr="007061AB" w:rsidTr="00E37A5B">
        <w:trPr>
          <w:jc w:val="center"/>
        </w:trPr>
        <w:tc>
          <w:tcPr>
            <w:tcW w:w="1048" w:type="dxa"/>
            <w:vMerge w:val="restart"/>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DBSA</w:t>
            </w: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1,100,000</w:t>
            </w:r>
          </w:p>
          <w:p w:rsidR="007061AB" w:rsidRPr="007061AB" w:rsidRDefault="007061AB" w:rsidP="00E37A5B">
            <w:pPr>
              <w:autoSpaceDE w:val="0"/>
              <w:autoSpaceDN w:val="0"/>
              <w:adjustRightInd w:val="0"/>
              <w:spacing w:after="0"/>
              <w:jc w:val="right"/>
              <w:rPr>
                <w:color w:val="000000" w:themeColor="text1"/>
                <w:sz w:val="19"/>
                <w:szCs w:val="19"/>
                <w:lang w:val="en-GB"/>
              </w:rPr>
            </w:pP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Implementation costs of (staff) of a financial nature essential to deliver development results</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Slow roll-out of funds</w:t>
            </w:r>
          </w:p>
        </w:tc>
        <w:tc>
          <w:tcPr>
            <w:tcW w:w="1745"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r>
      <w:tr w:rsidR="007061AB" w:rsidRPr="007061AB" w:rsidTr="00E37A5B">
        <w:trPr>
          <w:jc w:val="center"/>
        </w:trPr>
        <w:tc>
          <w:tcPr>
            <w:tcW w:w="1048" w:type="dxa"/>
            <w:vMerge/>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Loan</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16,000,000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Leveraging of funding in EEFI by clients’ contribution in financing</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Client co-funding requirements change or EEFI can provide less funding</w:t>
            </w:r>
          </w:p>
        </w:tc>
        <w:tc>
          <w:tcPr>
            <w:tcW w:w="1745"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Ensuring that EEFI gets promoted and EEFI financial support is provided</w:t>
            </w:r>
          </w:p>
        </w:tc>
      </w:tr>
      <w:tr w:rsidR="007061AB" w:rsidRPr="007061AB" w:rsidTr="00E37A5B">
        <w:trPr>
          <w:jc w:val="center"/>
        </w:trPr>
        <w:tc>
          <w:tcPr>
            <w:tcW w:w="104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UNEP-GELC</w:t>
            </w: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150,000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 xml:space="preserve">Technical expertise and training on developing and operating a lighting test laboratory </w:t>
            </w:r>
          </w:p>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Supporting the hosting of seminars and forums on energy-efficient lighting</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Delays in setting and approving MVE schemes (and defining role of testing labs)</w:t>
            </w:r>
          </w:p>
        </w:tc>
        <w:tc>
          <w:tcPr>
            <w:tcW w:w="1745"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The Project argues for mandatory standards and labels with an adequate MVE system introduced in a timely manner</w:t>
            </w:r>
          </w:p>
        </w:tc>
      </w:tr>
      <w:tr w:rsidR="007061AB" w:rsidRPr="007061AB" w:rsidTr="00E37A5B">
        <w:trPr>
          <w:jc w:val="center"/>
        </w:trPr>
        <w:tc>
          <w:tcPr>
            <w:tcW w:w="104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UNEP</w:t>
            </w:r>
          </w:p>
        </w:tc>
        <w:tc>
          <w:tcPr>
            <w:tcW w:w="932"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In-kind</w:t>
            </w:r>
          </w:p>
        </w:tc>
        <w:tc>
          <w:tcPr>
            <w:tcW w:w="1134" w:type="dxa"/>
            <w:shd w:val="clear" w:color="auto" w:fill="auto"/>
          </w:tcPr>
          <w:p w:rsidR="007061AB" w:rsidRPr="007061AB" w:rsidRDefault="007061AB" w:rsidP="00E37A5B">
            <w:pPr>
              <w:autoSpaceDE w:val="0"/>
              <w:autoSpaceDN w:val="0"/>
              <w:adjustRightInd w:val="0"/>
              <w:spacing w:after="0"/>
              <w:jc w:val="right"/>
              <w:rPr>
                <w:color w:val="000000" w:themeColor="text1"/>
                <w:sz w:val="19"/>
                <w:szCs w:val="19"/>
                <w:lang w:val="en-GB"/>
              </w:rPr>
            </w:pPr>
            <w:r w:rsidRPr="007061AB">
              <w:rPr>
                <w:color w:val="000000" w:themeColor="text1"/>
                <w:sz w:val="19"/>
                <w:szCs w:val="19"/>
                <w:lang w:val="en-GB"/>
              </w:rPr>
              <w:t>30,000</w:t>
            </w:r>
          </w:p>
        </w:tc>
        <w:tc>
          <w:tcPr>
            <w:tcW w:w="3118"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Staff time to provide coordination support and strategic advice, and participate in events</w:t>
            </w:r>
          </w:p>
        </w:tc>
        <w:tc>
          <w:tcPr>
            <w:tcW w:w="1985" w:type="dxa"/>
            <w:shd w:val="clear" w:color="auto" w:fill="auto"/>
          </w:tcPr>
          <w:p w:rsidR="007061AB" w:rsidRPr="007061AB" w:rsidRDefault="007061AB" w:rsidP="00E37A5B">
            <w:pPr>
              <w:autoSpaceDE w:val="0"/>
              <w:autoSpaceDN w:val="0"/>
              <w:adjustRightInd w:val="0"/>
              <w:spacing w:after="0"/>
              <w:jc w:val="left"/>
              <w:rPr>
                <w:noProof/>
                <w:color w:val="000000" w:themeColor="text1"/>
                <w:sz w:val="19"/>
                <w:szCs w:val="19"/>
                <w:lang w:val="en-GB"/>
              </w:rPr>
            </w:pPr>
            <w:r w:rsidRPr="007061AB">
              <w:rPr>
                <w:noProof/>
                <w:color w:val="000000" w:themeColor="text1"/>
                <w:sz w:val="19"/>
                <w:szCs w:val="19"/>
                <w:lang w:val="en-GB"/>
              </w:rPr>
              <w:t>Slow roll-out of project funds and activities</w:t>
            </w:r>
          </w:p>
        </w:tc>
        <w:tc>
          <w:tcPr>
            <w:tcW w:w="1745" w:type="dxa"/>
            <w:shd w:val="clear" w:color="auto" w:fill="auto"/>
          </w:tcPr>
          <w:p w:rsidR="007061AB" w:rsidRPr="007061AB" w:rsidRDefault="007061AB" w:rsidP="00E37A5B">
            <w:pPr>
              <w:autoSpaceDE w:val="0"/>
              <w:autoSpaceDN w:val="0"/>
              <w:adjustRightInd w:val="0"/>
              <w:spacing w:after="0"/>
              <w:jc w:val="left"/>
              <w:rPr>
                <w:color w:val="000000" w:themeColor="text1"/>
                <w:sz w:val="19"/>
                <w:szCs w:val="19"/>
                <w:lang w:val="en-GB"/>
              </w:rPr>
            </w:pPr>
            <w:r w:rsidRPr="007061AB">
              <w:rPr>
                <w:color w:val="000000" w:themeColor="text1"/>
                <w:sz w:val="19"/>
                <w:szCs w:val="19"/>
                <w:lang w:val="en-GB"/>
              </w:rPr>
              <w:t>Provide collaboration and support</w:t>
            </w:r>
          </w:p>
        </w:tc>
      </w:tr>
    </w:tbl>
    <w:p w:rsidR="007061AB" w:rsidRDefault="007061AB" w:rsidP="007061AB">
      <w:pPr>
        <w:autoSpaceDE w:val="0"/>
        <w:autoSpaceDN w:val="0"/>
        <w:adjustRightInd w:val="0"/>
        <w:spacing w:after="0"/>
        <w:jc w:val="left"/>
        <w:rPr>
          <w:color w:val="000000" w:themeColor="text1"/>
          <w:szCs w:val="20"/>
          <w:u w:val="single"/>
          <w:lang w:val="en-GB"/>
        </w:rPr>
      </w:pPr>
    </w:p>
    <w:p w:rsidR="009B56B5" w:rsidRPr="00082E11" w:rsidRDefault="009B56B5" w:rsidP="006A68A3">
      <w:pPr>
        <w:pStyle w:val="ListParagraph"/>
        <w:ind w:left="0"/>
        <w:jc w:val="both"/>
        <w:rPr>
          <w:rFonts w:ascii="Calibri" w:hAnsi="Calibri"/>
          <w:i/>
          <w:sz w:val="20"/>
          <w:szCs w:val="20"/>
          <w:lang w:val="en-GB"/>
        </w:rPr>
      </w:pPr>
      <w:r w:rsidRPr="00082E11">
        <w:rPr>
          <w:rFonts w:ascii="Calibri" w:hAnsi="Calibri"/>
          <w:i/>
          <w:sz w:val="20"/>
          <w:szCs w:val="20"/>
          <w:lang w:val="en-GB"/>
        </w:rPr>
        <w:t>The text below concerns the GEF funds managed by UNDP</w:t>
      </w:r>
    </w:p>
    <w:p w:rsidR="009B56B5" w:rsidRPr="00082E11" w:rsidRDefault="009B56B5" w:rsidP="006A68A3">
      <w:pPr>
        <w:pStyle w:val="ListParagraph"/>
        <w:ind w:left="0"/>
        <w:jc w:val="both"/>
        <w:rPr>
          <w:rFonts w:ascii="Calibri" w:hAnsi="Calibri"/>
          <w:sz w:val="20"/>
          <w:szCs w:val="20"/>
          <w:u w:val="single"/>
          <w:lang w:val="en-GB"/>
        </w:rPr>
      </w:pPr>
    </w:p>
    <w:p w:rsidR="00A02284" w:rsidRPr="00082E11" w:rsidRDefault="003E3ABA" w:rsidP="006A68A3">
      <w:pPr>
        <w:spacing w:after="0"/>
        <w:rPr>
          <w:szCs w:val="20"/>
          <w:u w:val="single"/>
          <w:lang w:val="en-GB"/>
        </w:rPr>
      </w:pPr>
      <w:r w:rsidRPr="00082E11">
        <w:rPr>
          <w:szCs w:val="20"/>
          <w:u w:val="single"/>
          <w:lang w:val="en-GB"/>
        </w:rPr>
        <w:t>Budget Revision and Tolerance</w:t>
      </w:r>
      <w:r w:rsidR="00AF4698" w:rsidRPr="00082E11">
        <w:rPr>
          <w:szCs w:val="20"/>
          <w:lang w:val="en-GB"/>
        </w:rPr>
        <w:t xml:space="preserve">:  As per </w:t>
      </w:r>
      <w:r w:rsidRPr="00082E11">
        <w:rPr>
          <w:szCs w:val="20"/>
          <w:lang w:val="en-GB"/>
        </w:rPr>
        <w:t xml:space="preserve">UNDP requirements outlined in the UNDP POPP, the project board </w:t>
      </w:r>
      <w:r w:rsidR="005E4C83" w:rsidRPr="00082E11">
        <w:rPr>
          <w:szCs w:val="20"/>
          <w:lang w:val="en-GB"/>
        </w:rPr>
        <w:t>will</w:t>
      </w:r>
      <w:r w:rsidRPr="00082E11">
        <w:rPr>
          <w:szCs w:val="20"/>
          <w:lang w:val="en-GB"/>
        </w:rPr>
        <w:t xml:space="preserve"> agree on a budget tolerance level for each plan under the overall annual work plan allowing the project </w:t>
      </w:r>
      <w:r w:rsidR="005E4C83" w:rsidRPr="00082E11">
        <w:rPr>
          <w:szCs w:val="20"/>
          <w:lang w:val="en-GB"/>
        </w:rPr>
        <w:t>m</w:t>
      </w:r>
      <w:r w:rsidRPr="00082E11">
        <w:rPr>
          <w:szCs w:val="20"/>
          <w:lang w:val="en-GB"/>
        </w:rPr>
        <w:t>anager to expend up to the tolerance level beyond the approved project budget amount for the year without requiri</w:t>
      </w:r>
      <w:r w:rsidR="005E4C83" w:rsidRPr="00082E11">
        <w:rPr>
          <w:szCs w:val="20"/>
          <w:lang w:val="en-GB"/>
        </w:rPr>
        <w:t>ng a revision from the Project B</w:t>
      </w:r>
      <w:r w:rsidRPr="00082E11">
        <w:rPr>
          <w:szCs w:val="20"/>
          <w:lang w:val="en-GB"/>
        </w:rPr>
        <w:t xml:space="preserve">oard. Should the following deviations occur, the Project Manager and UNDP Country Office will seek the approval of the UNDP-GEF team </w:t>
      </w:r>
      <w:r w:rsidR="009D75BD" w:rsidRPr="00082E11">
        <w:rPr>
          <w:szCs w:val="20"/>
          <w:lang w:val="en-GB"/>
        </w:rPr>
        <w:t>to ensure accurate reporting to the</w:t>
      </w:r>
      <w:r w:rsidRPr="00082E11">
        <w:rPr>
          <w:szCs w:val="20"/>
          <w:lang w:val="en-GB"/>
        </w:rPr>
        <w:t xml:space="preserve"> GEF: </w:t>
      </w:r>
      <w:r w:rsidR="005E4C83" w:rsidRPr="00082E11">
        <w:rPr>
          <w:szCs w:val="20"/>
          <w:lang w:val="en-GB"/>
        </w:rPr>
        <w:t>a) B</w:t>
      </w:r>
      <w:r w:rsidRPr="00082E11">
        <w:rPr>
          <w:szCs w:val="20"/>
          <w:lang w:val="en-GB"/>
        </w:rPr>
        <w:t xml:space="preserve">udget re-allocations among components in the project with amounts involving 10% of the total project grant or more; </w:t>
      </w:r>
      <w:r w:rsidR="005E4C83" w:rsidRPr="00082E11">
        <w:rPr>
          <w:szCs w:val="20"/>
          <w:lang w:val="en-GB"/>
        </w:rPr>
        <w:t>b) I</w:t>
      </w:r>
      <w:r w:rsidRPr="00082E11">
        <w:rPr>
          <w:szCs w:val="20"/>
          <w:lang w:val="en-GB"/>
        </w:rPr>
        <w:t>ntroduction of new budget items/or components that exceed 5% of original GEF allocation.</w:t>
      </w:r>
      <w:r w:rsidR="00740F26" w:rsidRPr="00082E11">
        <w:rPr>
          <w:szCs w:val="20"/>
          <w:lang w:val="en-GB"/>
        </w:rPr>
        <w:t xml:space="preserve"> Any over expenditure incurred beyond the available GEF grant amount will be absorbed by non-GEF resources (e.g. UNDP TRAC or cash co-financing).</w:t>
      </w:r>
      <w:r w:rsidR="00A02284" w:rsidRPr="00082E11">
        <w:rPr>
          <w:szCs w:val="20"/>
          <w:u w:val="single"/>
          <w:lang w:val="en-GB"/>
        </w:rPr>
        <w:t xml:space="preserve"> </w:t>
      </w:r>
    </w:p>
    <w:p w:rsidR="00A02284" w:rsidRPr="00082E11" w:rsidRDefault="00A02284" w:rsidP="006A68A3">
      <w:pPr>
        <w:spacing w:after="0"/>
        <w:rPr>
          <w:szCs w:val="20"/>
          <w:u w:val="single"/>
          <w:lang w:val="en-GB"/>
        </w:rPr>
      </w:pPr>
    </w:p>
    <w:p w:rsidR="00A02284" w:rsidRPr="00082E11" w:rsidRDefault="00A02284" w:rsidP="006A68A3">
      <w:pPr>
        <w:spacing w:after="0"/>
        <w:rPr>
          <w:szCs w:val="20"/>
          <w:lang w:val="en-GB"/>
        </w:rPr>
      </w:pPr>
      <w:r w:rsidRPr="00082E11">
        <w:rPr>
          <w:szCs w:val="20"/>
          <w:u w:val="single"/>
          <w:lang w:val="en-GB"/>
        </w:rPr>
        <w:t>Refund to Donor:</w:t>
      </w:r>
      <w:r w:rsidRPr="00082E11">
        <w:rPr>
          <w:szCs w:val="20"/>
          <w:lang w:val="en-GB"/>
        </w:rPr>
        <w:t xml:space="preserve">  Should a refund of unspent funds to the GEF be necessary, this will be managed directly by the UNDP-GEF Unit in New York. </w:t>
      </w:r>
    </w:p>
    <w:p w:rsidR="00393350" w:rsidRPr="00082E11" w:rsidRDefault="00393350" w:rsidP="006A68A3">
      <w:pPr>
        <w:pStyle w:val="ListParagraph"/>
        <w:ind w:left="0"/>
        <w:jc w:val="both"/>
        <w:rPr>
          <w:rFonts w:ascii="Calibri" w:hAnsi="Calibri"/>
          <w:sz w:val="20"/>
          <w:szCs w:val="20"/>
          <w:u w:val="single"/>
          <w:lang w:val="en-GB"/>
        </w:rPr>
      </w:pPr>
    </w:p>
    <w:p w:rsidR="003E3ABA" w:rsidRPr="00082E11" w:rsidRDefault="003E3ABA" w:rsidP="006A68A3">
      <w:pPr>
        <w:spacing w:after="0"/>
        <w:rPr>
          <w:szCs w:val="20"/>
          <w:lang w:val="en-GB"/>
        </w:rPr>
      </w:pPr>
      <w:r w:rsidRPr="00082E11">
        <w:rPr>
          <w:szCs w:val="20"/>
          <w:u w:val="single"/>
          <w:lang w:val="en-GB"/>
        </w:rPr>
        <w:t>Operational completion</w:t>
      </w:r>
      <w:r w:rsidRPr="00082E11">
        <w:rPr>
          <w:szCs w:val="20"/>
          <w:lang w:val="en-GB"/>
        </w:rPr>
        <w:t>: The project will be operationally completed when the last UNDP-financed inputs have been provided and the related activities have been completed</w:t>
      </w:r>
      <w:r w:rsidR="00AF4698" w:rsidRPr="00082E11">
        <w:rPr>
          <w:szCs w:val="20"/>
          <w:lang w:val="en-GB"/>
        </w:rPr>
        <w:t xml:space="preserve">. </w:t>
      </w:r>
      <w:r w:rsidR="00393350" w:rsidRPr="00082E11">
        <w:rPr>
          <w:szCs w:val="20"/>
          <w:lang w:val="en-GB"/>
        </w:rPr>
        <w:t xml:space="preserve">This </w:t>
      </w:r>
      <w:r w:rsidRPr="00082E11">
        <w:rPr>
          <w:szCs w:val="20"/>
          <w:lang w:val="en-GB"/>
        </w:rPr>
        <w:t>includ</w:t>
      </w:r>
      <w:r w:rsidR="00393350" w:rsidRPr="00082E11">
        <w:rPr>
          <w:szCs w:val="20"/>
          <w:lang w:val="en-GB"/>
        </w:rPr>
        <w:t>es</w:t>
      </w:r>
      <w:r w:rsidRPr="00082E11">
        <w:rPr>
          <w:szCs w:val="20"/>
          <w:lang w:val="en-GB"/>
        </w:rPr>
        <w:t xml:space="preserve"> the final clearance of the Terminal Evaluation Report </w:t>
      </w:r>
      <w:r w:rsidR="00393350" w:rsidRPr="00082E11">
        <w:rPr>
          <w:szCs w:val="20"/>
          <w:lang w:val="en-GB"/>
        </w:rPr>
        <w:t>(</w:t>
      </w:r>
      <w:r w:rsidR="005E4C83" w:rsidRPr="00082E11">
        <w:rPr>
          <w:szCs w:val="20"/>
          <w:lang w:val="en-GB"/>
        </w:rPr>
        <w:t xml:space="preserve">that will be available </w:t>
      </w:r>
      <w:r w:rsidR="00393350" w:rsidRPr="00082E11">
        <w:rPr>
          <w:szCs w:val="20"/>
          <w:lang w:val="en-GB"/>
        </w:rPr>
        <w:t xml:space="preserve">in </w:t>
      </w:r>
      <w:r w:rsidRPr="00082E11">
        <w:rPr>
          <w:szCs w:val="20"/>
          <w:lang w:val="en-GB"/>
        </w:rPr>
        <w:t>English</w:t>
      </w:r>
      <w:r w:rsidR="00393350" w:rsidRPr="00082E11">
        <w:rPr>
          <w:szCs w:val="20"/>
          <w:lang w:val="en-GB"/>
        </w:rPr>
        <w:t xml:space="preserve">) and </w:t>
      </w:r>
      <w:r w:rsidR="005E4C83" w:rsidRPr="00082E11">
        <w:rPr>
          <w:szCs w:val="20"/>
          <w:lang w:val="en-GB"/>
        </w:rPr>
        <w:t xml:space="preserve">the corresponding management response, and </w:t>
      </w:r>
      <w:r w:rsidR="00393350" w:rsidRPr="00082E11">
        <w:rPr>
          <w:szCs w:val="20"/>
          <w:lang w:val="en-GB"/>
        </w:rPr>
        <w:t xml:space="preserve">the end-of-project </w:t>
      </w:r>
      <w:r w:rsidR="005E4C83" w:rsidRPr="00082E11">
        <w:rPr>
          <w:szCs w:val="20"/>
          <w:lang w:val="en-GB"/>
        </w:rPr>
        <w:t xml:space="preserve">review </w:t>
      </w:r>
      <w:r w:rsidR="00393350" w:rsidRPr="00082E11">
        <w:rPr>
          <w:szCs w:val="20"/>
          <w:lang w:val="en-GB"/>
        </w:rPr>
        <w:t>Project Board m</w:t>
      </w:r>
      <w:r w:rsidRPr="00082E11">
        <w:rPr>
          <w:szCs w:val="20"/>
          <w:lang w:val="en-GB"/>
        </w:rPr>
        <w:t xml:space="preserve">eeting. The Implementing Partner through a Project Board decision will notify </w:t>
      </w:r>
      <w:r w:rsidR="005E4C83" w:rsidRPr="00082E11">
        <w:rPr>
          <w:szCs w:val="20"/>
          <w:lang w:val="en-GB"/>
        </w:rPr>
        <w:t xml:space="preserve">the UNDP Country Office when </w:t>
      </w:r>
      <w:r w:rsidRPr="00082E11">
        <w:rPr>
          <w:szCs w:val="20"/>
          <w:lang w:val="en-GB"/>
        </w:rPr>
        <w:t xml:space="preserve">operational closure has been completed. </w:t>
      </w:r>
      <w:r w:rsidR="009E3075" w:rsidRPr="00082E11">
        <w:rPr>
          <w:szCs w:val="20"/>
          <w:lang w:val="en-GB"/>
        </w:rPr>
        <w:t>At this time, t</w:t>
      </w:r>
      <w:r w:rsidRPr="00082E11">
        <w:rPr>
          <w:szCs w:val="20"/>
          <w:lang w:val="en-GB"/>
        </w:rPr>
        <w:t xml:space="preserve">he relevant parties </w:t>
      </w:r>
      <w:r w:rsidR="005E4C83" w:rsidRPr="00082E11">
        <w:rPr>
          <w:szCs w:val="20"/>
          <w:lang w:val="en-GB"/>
        </w:rPr>
        <w:t>will</w:t>
      </w:r>
      <w:r w:rsidR="00740F26" w:rsidRPr="00082E11">
        <w:rPr>
          <w:szCs w:val="20"/>
          <w:lang w:val="en-GB"/>
        </w:rPr>
        <w:t xml:space="preserve"> have already agreed and confirmed in writing o</w:t>
      </w:r>
      <w:r w:rsidRPr="00082E11">
        <w:rPr>
          <w:szCs w:val="20"/>
          <w:lang w:val="en-GB"/>
        </w:rPr>
        <w:t xml:space="preserve">n the </w:t>
      </w:r>
      <w:r w:rsidR="00740F26" w:rsidRPr="00082E11">
        <w:rPr>
          <w:szCs w:val="20"/>
          <w:lang w:val="en-GB"/>
        </w:rPr>
        <w:t xml:space="preserve">arrangements for the </w:t>
      </w:r>
      <w:r w:rsidRPr="00082E11">
        <w:rPr>
          <w:szCs w:val="20"/>
          <w:lang w:val="en-GB"/>
        </w:rPr>
        <w:t xml:space="preserve">disposal of any equipment that is still the property of UNDP. </w:t>
      </w:r>
    </w:p>
    <w:p w:rsidR="00393350" w:rsidRPr="00082E11" w:rsidRDefault="00393350" w:rsidP="006A68A3">
      <w:pPr>
        <w:spacing w:after="0"/>
        <w:rPr>
          <w:szCs w:val="20"/>
          <w:u w:val="single"/>
          <w:lang w:val="en-GB"/>
        </w:rPr>
      </w:pPr>
    </w:p>
    <w:p w:rsidR="003E3ABA" w:rsidRPr="00082E11" w:rsidRDefault="003E3ABA" w:rsidP="006A68A3">
      <w:pPr>
        <w:spacing w:after="0"/>
        <w:rPr>
          <w:szCs w:val="20"/>
          <w:lang w:val="en-GB"/>
        </w:rPr>
      </w:pPr>
      <w:r w:rsidRPr="00082E11">
        <w:rPr>
          <w:szCs w:val="20"/>
          <w:u w:val="single"/>
          <w:lang w:val="en-GB"/>
        </w:rPr>
        <w:t>Financial completion</w:t>
      </w:r>
      <w:r w:rsidRPr="00082E11">
        <w:rPr>
          <w:szCs w:val="20"/>
          <w:lang w:val="en-GB"/>
        </w:rPr>
        <w:t>:  The project will be financially closed when the following conditions have been met:</w:t>
      </w:r>
      <w:r w:rsidR="003F1173" w:rsidRPr="00082E11">
        <w:rPr>
          <w:szCs w:val="20"/>
          <w:lang w:val="en-GB"/>
        </w:rPr>
        <w:t xml:space="preserve"> </w:t>
      </w:r>
      <w:r w:rsidRPr="00082E11">
        <w:rPr>
          <w:szCs w:val="20"/>
          <w:lang w:val="en-GB"/>
        </w:rPr>
        <w:t xml:space="preserve">a) </w:t>
      </w:r>
      <w:r w:rsidR="005E4C83" w:rsidRPr="00082E11">
        <w:rPr>
          <w:szCs w:val="20"/>
          <w:lang w:val="en-GB"/>
        </w:rPr>
        <w:t>T</w:t>
      </w:r>
      <w:r w:rsidRPr="00082E11">
        <w:rPr>
          <w:szCs w:val="20"/>
          <w:lang w:val="en-GB"/>
        </w:rPr>
        <w:t xml:space="preserve">he project is operationally completed or has been </w:t>
      </w:r>
      <w:r w:rsidRPr="00082E11">
        <w:rPr>
          <w:noProof/>
          <w:szCs w:val="20"/>
          <w:lang w:val="en-GB"/>
        </w:rPr>
        <w:t>cancelled</w:t>
      </w:r>
      <w:r w:rsidRPr="00082E11">
        <w:rPr>
          <w:szCs w:val="20"/>
          <w:lang w:val="en-GB"/>
        </w:rPr>
        <w:t xml:space="preserve">; b) </w:t>
      </w:r>
      <w:r w:rsidR="005E4C83" w:rsidRPr="00082E11">
        <w:rPr>
          <w:szCs w:val="20"/>
          <w:lang w:val="en-GB"/>
        </w:rPr>
        <w:t>T</w:t>
      </w:r>
      <w:r w:rsidRPr="00082E11">
        <w:rPr>
          <w:szCs w:val="20"/>
          <w:lang w:val="en-GB"/>
        </w:rPr>
        <w:t xml:space="preserve">he </w:t>
      </w:r>
      <w:r w:rsidR="005E4C83" w:rsidRPr="00082E11">
        <w:rPr>
          <w:szCs w:val="20"/>
          <w:lang w:val="en-GB"/>
        </w:rPr>
        <w:t>Implementing P</w:t>
      </w:r>
      <w:r w:rsidRPr="00082E11">
        <w:rPr>
          <w:szCs w:val="20"/>
          <w:lang w:val="en-GB"/>
        </w:rPr>
        <w:t>artner has reported all financial transactions to UNDP; c) UNDP has closed the accounts for the project;</w:t>
      </w:r>
      <w:r w:rsidR="003F1173" w:rsidRPr="00082E11">
        <w:rPr>
          <w:szCs w:val="20"/>
          <w:lang w:val="en-GB"/>
        </w:rPr>
        <w:t xml:space="preserve"> </w:t>
      </w:r>
      <w:r w:rsidRPr="00082E11">
        <w:rPr>
          <w:szCs w:val="20"/>
          <w:lang w:val="en-GB"/>
        </w:rPr>
        <w:t xml:space="preserve">d) UNDP and the </w:t>
      </w:r>
      <w:r w:rsidR="003F1173" w:rsidRPr="00082E11">
        <w:rPr>
          <w:szCs w:val="20"/>
          <w:lang w:val="en-GB"/>
        </w:rPr>
        <w:t>Implementing P</w:t>
      </w:r>
      <w:r w:rsidRPr="00082E11">
        <w:rPr>
          <w:szCs w:val="20"/>
          <w:lang w:val="en-GB"/>
        </w:rPr>
        <w:t xml:space="preserve">artner have certified a final Combined Delivery Report (which serves as final budget revision). </w:t>
      </w:r>
    </w:p>
    <w:p w:rsidR="00A02284" w:rsidRPr="00082E11" w:rsidRDefault="00A02284" w:rsidP="006A68A3">
      <w:pPr>
        <w:spacing w:after="0"/>
        <w:rPr>
          <w:szCs w:val="20"/>
          <w:lang w:val="en-GB"/>
        </w:rPr>
      </w:pPr>
    </w:p>
    <w:p w:rsidR="00740F26" w:rsidRPr="00082E11" w:rsidRDefault="00DE5A77" w:rsidP="006A68A3">
      <w:pPr>
        <w:spacing w:after="0"/>
        <w:rPr>
          <w:b/>
          <w:smallCaps/>
          <w:spacing w:val="-2"/>
          <w:sz w:val="28"/>
          <w:szCs w:val="28"/>
          <w:lang w:val="en-GB"/>
        </w:rPr>
        <w:sectPr w:rsidR="00740F26" w:rsidRPr="00082E11" w:rsidSect="00BA3966">
          <w:headerReference w:type="default" r:id="rId80"/>
          <w:footerReference w:type="default" r:id="rId81"/>
          <w:pgSz w:w="12240" w:h="15840" w:code="1"/>
          <w:pgMar w:top="1440" w:right="1134" w:bottom="1440" w:left="1134" w:header="720" w:footer="432" w:gutter="0"/>
          <w:cols w:space="708"/>
          <w:docGrid w:linePitch="360"/>
        </w:sectPr>
      </w:pPr>
      <w:r w:rsidRPr="00082E11">
        <w:rPr>
          <w:szCs w:val="20"/>
          <w:u w:val="single"/>
          <w:lang w:val="en-GB"/>
        </w:rPr>
        <w:t>Project closure:</w:t>
      </w:r>
      <w:r w:rsidRPr="00082E11">
        <w:rPr>
          <w:szCs w:val="20"/>
          <w:lang w:val="en-GB"/>
        </w:rPr>
        <w:t xml:space="preserve"> </w:t>
      </w:r>
      <w:r w:rsidR="003E3ABA" w:rsidRPr="00082E11">
        <w:rPr>
          <w:szCs w:val="20"/>
          <w:lang w:val="en-GB"/>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082E11">
        <w:rPr>
          <w:szCs w:val="20"/>
          <w:lang w:val="en-GB"/>
        </w:rPr>
        <w:t xml:space="preserve">UNDP </w:t>
      </w:r>
      <w:r w:rsidR="003E3ABA" w:rsidRPr="00082E11">
        <w:rPr>
          <w:szCs w:val="20"/>
          <w:lang w:val="en-GB"/>
        </w:rPr>
        <w:t>Country Office.</w:t>
      </w:r>
    </w:p>
    <w:p w:rsidR="003E3ABA" w:rsidRPr="00666B27" w:rsidRDefault="003E3ABA" w:rsidP="001E1DBB">
      <w:pPr>
        <w:pStyle w:val="Heading1"/>
        <w:spacing w:before="0"/>
        <w:ind w:left="567" w:hanging="567"/>
        <w:rPr>
          <w:rFonts w:ascii="Arial" w:hAnsi="Arial"/>
        </w:rPr>
      </w:pPr>
      <w:bookmarkStart w:id="171" w:name="_Toc497848312"/>
      <w:bookmarkStart w:id="172" w:name="_Toc340772"/>
      <w:r w:rsidRPr="00666B27">
        <w:rPr>
          <w:rFonts w:ascii="Arial" w:hAnsi="Arial"/>
        </w:rPr>
        <w:lastRenderedPageBreak/>
        <w:t xml:space="preserve">Total </w:t>
      </w:r>
      <w:r w:rsidR="00C0799D" w:rsidRPr="00666B27">
        <w:rPr>
          <w:rFonts w:ascii="Arial" w:hAnsi="Arial"/>
        </w:rPr>
        <w:t xml:space="preserve">UNDP </w:t>
      </w:r>
      <w:r w:rsidRPr="00666B27">
        <w:rPr>
          <w:rFonts w:ascii="Arial" w:hAnsi="Arial"/>
        </w:rPr>
        <w:t>Budget and Work Plan</w:t>
      </w:r>
      <w:bookmarkEnd w:id="171"/>
      <w:bookmarkEnd w:id="172"/>
    </w:p>
    <w:p w:rsidR="00E67B2B" w:rsidRPr="00666B27" w:rsidRDefault="00E67B2B" w:rsidP="00E67B2B">
      <w:pPr>
        <w:rPr>
          <w:lang w:val="en-GB" w:eastAsia="en-GB"/>
        </w:rPr>
      </w:pPr>
    </w:p>
    <w:p w:rsidR="005B5391" w:rsidRDefault="005B5391" w:rsidP="005B5391">
      <w:pPr>
        <w:rPr>
          <w:rFonts w:cs="Arial"/>
          <w:noProof/>
          <w:szCs w:val="20"/>
          <w:lang w:val="en-GB" w:eastAsia="zh-CN"/>
        </w:rPr>
      </w:pPr>
      <w:r w:rsidRPr="00666B27">
        <w:rPr>
          <w:rFonts w:cs="Arial"/>
          <w:noProof/>
          <w:szCs w:val="20"/>
          <w:lang w:val="en-GB" w:eastAsia="zh-CN"/>
        </w:rPr>
        <w:t xml:space="preserve">This Table is for the </w:t>
      </w:r>
      <w:r w:rsidRPr="008062CB">
        <w:rPr>
          <w:rFonts w:cs="Arial"/>
          <w:b/>
          <w:noProof/>
          <w:szCs w:val="20"/>
          <w:lang w:val="en-GB" w:eastAsia="zh-CN"/>
        </w:rPr>
        <w:t>UNDP budget only</w:t>
      </w:r>
      <w:r w:rsidRPr="00666B27">
        <w:rPr>
          <w:rFonts w:cs="Arial"/>
          <w:noProof/>
          <w:szCs w:val="20"/>
          <w:lang w:val="en-GB" w:eastAsia="zh-CN"/>
        </w:rPr>
        <w:t>. The CEO ER template will have  budget of all the GEF funding managed by both UNDP and DBSA, while details of both budgets are also presented in Annex H.</w:t>
      </w:r>
      <w:r w:rsidR="004335A3">
        <w:rPr>
          <w:rFonts w:cs="Arial"/>
          <w:noProof/>
          <w:szCs w:val="20"/>
          <w:lang w:val="en-GB" w:eastAsia="zh-CN"/>
        </w:rPr>
        <w:t xml:space="preserve">  The DBSA budget (USD 5 million) is in the DBSA Project Document</w:t>
      </w:r>
    </w:p>
    <w:p w:rsidR="008062CB" w:rsidRPr="00F4042B" w:rsidRDefault="008062CB" w:rsidP="008062CB">
      <w:pPr>
        <w:rPr>
          <w:rFonts w:cs="Calibri"/>
          <w:i/>
          <w:noProof/>
          <w:sz w:val="4"/>
          <w:szCs w:val="20"/>
          <w:lang w:val="en-GB" w:eastAsia="zh-C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000" w:firstRow="0" w:lastRow="0" w:firstColumn="0" w:lastColumn="0" w:noHBand="0" w:noVBand="0"/>
      </w:tblPr>
      <w:tblGrid>
        <w:gridCol w:w="3082"/>
        <w:gridCol w:w="2722"/>
        <w:gridCol w:w="4460"/>
        <w:gridCol w:w="2686"/>
      </w:tblGrid>
      <w:tr w:rsidR="008062CB" w:rsidRPr="00F453EB" w:rsidTr="00F4042B">
        <w:trPr>
          <w:cantSplit/>
        </w:trPr>
        <w:tc>
          <w:tcPr>
            <w:tcW w:w="5000" w:type="pct"/>
            <w:gridSpan w:val="4"/>
            <w:shd w:val="clear" w:color="auto" w:fill="D9D9D9"/>
            <w:noWrap/>
            <w:vAlign w:val="bottom"/>
          </w:tcPr>
          <w:p w:rsidR="008062CB" w:rsidRPr="00F453EB" w:rsidRDefault="008062CB" w:rsidP="008062CB">
            <w:pPr>
              <w:rPr>
                <w:rFonts w:cs="Calibri"/>
                <w:b/>
                <w:bCs/>
                <w:szCs w:val="20"/>
                <w:lang w:val="en-GB"/>
              </w:rPr>
            </w:pPr>
            <w:r w:rsidRPr="00F453EB">
              <w:rPr>
                <w:rFonts w:cs="Calibri"/>
                <w:b/>
                <w:bCs/>
                <w:szCs w:val="20"/>
                <w:lang w:val="en-GB"/>
              </w:rPr>
              <w:t>Total Budget and Work Plan</w:t>
            </w:r>
          </w:p>
        </w:tc>
      </w:tr>
      <w:tr w:rsidR="008062CB" w:rsidRPr="00F453EB" w:rsidTr="00F4042B">
        <w:trPr>
          <w:cantSplit/>
        </w:trPr>
        <w:tc>
          <w:tcPr>
            <w:tcW w:w="1190" w:type="pct"/>
            <w:shd w:val="clear" w:color="auto" w:fill="auto"/>
            <w:noWrap/>
            <w:vAlign w:val="bottom"/>
          </w:tcPr>
          <w:p w:rsidR="008062CB" w:rsidRPr="00F453EB" w:rsidRDefault="008062CB" w:rsidP="008062CB">
            <w:pPr>
              <w:rPr>
                <w:rFonts w:cs="Calibri"/>
                <w:b/>
                <w:bCs/>
                <w:szCs w:val="20"/>
                <w:lang w:val="en-GB"/>
              </w:rPr>
            </w:pPr>
            <w:r w:rsidRPr="00F453EB">
              <w:rPr>
                <w:rFonts w:cs="Calibri"/>
                <w:bCs/>
                <w:color w:val="000000"/>
                <w:szCs w:val="20"/>
                <w:lang w:val="en-GB" w:eastAsia="zh-CN"/>
              </w:rPr>
              <w:t>Atlas</w:t>
            </w:r>
            <w:r>
              <w:rPr>
                <w:rFonts w:cs="Calibri"/>
                <w:bCs/>
                <w:color w:val="000000"/>
                <w:szCs w:val="20"/>
                <w:lang w:val="en-GB" w:eastAsia="zh-CN"/>
              </w:rPr>
              <w:t xml:space="preserve"> </w:t>
            </w:r>
            <w:r w:rsidRPr="00F453EB">
              <w:rPr>
                <w:rFonts w:cs="Calibri"/>
                <w:bCs/>
                <w:color w:val="000000"/>
                <w:szCs w:val="20"/>
                <w:lang w:val="en-GB" w:eastAsia="zh-CN"/>
              </w:rPr>
              <w:t xml:space="preserve">Proposal or Award ID:  </w:t>
            </w:r>
          </w:p>
        </w:tc>
        <w:tc>
          <w:tcPr>
            <w:tcW w:w="1051" w:type="pct"/>
            <w:tcBorders>
              <w:bottom w:val="single" w:sz="4" w:space="0" w:color="auto"/>
            </w:tcBorders>
            <w:shd w:val="clear" w:color="auto" w:fill="auto"/>
            <w:vAlign w:val="center"/>
          </w:tcPr>
          <w:p w:rsidR="008062CB" w:rsidRPr="000E248B" w:rsidRDefault="008062CB" w:rsidP="008062CB">
            <w:pPr>
              <w:rPr>
                <w:rFonts w:cs="Calibri"/>
                <w:bCs/>
                <w:szCs w:val="20"/>
                <w:lang w:val="en-GB"/>
              </w:rPr>
            </w:pPr>
            <w:r w:rsidRPr="00666B27">
              <w:rPr>
                <w:rFonts w:cs="Arial"/>
                <w:szCs w:val="20"/>
                <w:lang w:val="en-GB"/>
              </w:rPr>
              <w:t>00100653</w:t>
            </w:r>
          </w:p>
        </w:tc>
        <w:tc>
          <w:tcPr>
            <w:tcW w:w="1722" w:type="pct"/>
            <w:shd w:val="clear" w:color="auto" w:fill="auto"/>
            <w:vAlign w:val="center"/>
          </w:tcPr>
          <w:p w:rsidR="008062CB" w:rsidRPr="00A4739F" w:rsidRDefault="008062CB" w:rsidP="008062CB">
            <w:pPr>
              <w:rPr>
                <w:rFonts w:cs="Calibri"/>
                <w:bCs/>
                <w:color w:val="000000"/>
                <w:szCs w:val="20"/>
                <w:lang w:val="en-GB" w:eastAsia="zh-CN"/>
              </w:rPr>
            </w:pPr>
            <w:r w:rsidRPr="00A4739F">
              <w:rPr>
                <w:rFonts w:cs="Calibri"/>
                <w:bCs/>
                <w:color w:val="000000"/>
                <w:szCs w:val="20"/>
                <w:lang w:val="en-GB" w:eastAsia="zh-CN"/>
              </w:rPr>
              <w:t>Atlas Primary Output Project ID:</w:t>
            </w:r>
          </w:p>
        </w:tc>
        <w:tc>
          <w:tcPr>
            <w:tcW w:w="1037" w:type="pct"/>
            <w:shd w:val="clear" w:color="auto" w:fill="auto"/>
            <w:vAlign w:val="center"/>
          </w:tcPr>
          <w:p w:rsidR="008062CB" w:rsidRPr="00A4739F" w:rsidRDefault="008062CB" w:rsidP="008062CB">
            <w:pPr>
              <w:rPr>
                <w:rFonts w:cs="Calibri"/>
                <w:bCs/>
                <w:szCs w:val="20"/>
                <w:lang w:val="en-GB"/>
              </w:rPr>
            </w:pPr>
            <w:r w:rsidRPr="00666B27">
              <w:rPr>
                <w:rFonts w:cs="Arial"/>
                <w:szCs w:val="20"/>
                <w:lang w:val="en-GB"/>
              </w:rPr>
              <w:t>00096730</w:t>
            </w:r>
          </w:p>
        </w:tc>
      </w:tr>
      <w:tr w:rsidR="008062CB" w:rsidRPr="00F453EB" w:rsidTr="00F4042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190" w:type="pct"/>
            <w:tcBorders>
              <w:top w:val="nil"/>
              <w:left w:val="single" w:sz="4" w:space="0" w:color="auto"/>
              <w:bottom w:val="single" w:sz="4" w:space="0" w:color="auto"/>
              <w:right w:val="single" w:sz="4" w:space="0" w:color="auto"/>
            </w:tcBorders>
            <w:shd w:val="clear" w:color="auto" w:fill="auto"/>
            <w:noWrap/>
            <w:vAlign w:val="center"/>
          </w:tcPr>
          <w:p w:rsidR="008062CB" w:rsidRPr="00F453EB" w:rsidRDefault="008062CB" w:rsidP="008062CB">
            <w:pPr>
              <w:rPr>
                <w:rFonts w:cs="Calibri"/>
                <w:bCs/>
                <w:i/>
                <w:color w:val="000000"/>
                <w:szCs w:val="20"/>
                <w:lang w:val="en-GB" w:eastAsia="zh-CN"/>
              </w:rPr>
            </w:pPr>
            <w:r w:rsidRPr="00F453EB">
              <w:rPr>
                <w:rFonts w:cs="Calibri"/>
                <w:bCs/>
                <w:color w:val="000000"/>
                <w:szCs w:val="20"/>
                <w:lang w:val="en-GB" w:eastAsia="zh-CN"/>
              </w:rPr>
              <w:t>Atlas Proposal or Award Title:</w:t>
            </w:r>
          </w:p>
        </w:tc>
        <w:tc>
          <w:tcPr>
            <w:tcW w:w="3810" w:type="pct"/>
            <w:gridSpan w:val="3"/>
            <w:tcBorders>
              <w:top w:val="single" w:sz="4" w:space="0" w:color="auto"/>
              <w:left w:val="nil"/>
              <w:bottom w:val="single" w:sz="4" w:space="0" w:color="auto"/>
              <w:right w:val="single" w:sz="4" w:space="0" w:color="000000"/>
            </w:tcBorders>
            <w:shd w:val="clear" w:color="auto" w:fill="auto"/>
            <w:noWrap/>
            <w:vAlign w:val="center"/>
          </w:tcPr>
          <w:p w:rsidR="008062CB" w:rsidRPr="00A4739F" w:rsidRDefault="008062CB" w:rsidP="008062CB">
            <w:pPr>
              <w:rPr>
                <w:rFonts w:cs="Calibri"/>
                <w:bCs/>
                <w:i/>
                <w:iCs/>
                <w:color w:val="000000"/>
                <w:szCs w:val="20"/>
                <w:lang w:val="en-GB" w:eastAsia="zh-CN"/>
              </w:rPr>
            </w:pPr>
            <w:r w:rsidRPr="0057545E">
              <w:rPr>
                <w:rFonts w:cs="Arial"/>
                <w:b/>
                <w:szCs w:val="20"/>
                <w:lang w:val="en-GB"/>
              </w:rPr>
              <w:t xml:space="preserve">Leapfrogging South Africa’s markets to high-efficiency LED lighting and </w:t>
            </w:r>
            <w:r w:rsidRPr="0057545E">
              <w:rPr>
                <w:rFonts w:cs="Arial"/>
                <w:b/>
                <w:noProof/>
                <w:szCs w:val="20"/>
                <w:lang w:val="en-GB"/>
              </w:rPr>
              <w:t>high efficiency</w:t>
            </w:r>
            <w:r w:rsidRPr="0057545E">
              <w:rPr>
                <w:rFonts w:cs="Arial"/>
                <w:b/>
                <w:szCs w:val="20"/>
                <w:lang w:val="en-GB"/>
              </w:rPr>
              <w:t xml:space="preserve"> distribution transformers</w:t>
            </w:r>
          </w:p>
        </w:tc>
      </w:tr>
      <w:tr w:rsidR="008062CB" w:rsidRPr="00F453EB" w:rsidTr="00F4042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190" w:type="pct"/>
            <w:tcBorders>
              <w:top w:val="nil"/>
              <w:left w:val="single" w:sz="4" w:space="0" w:color="auto"/>
              <w:bottom w:val="single" w:sz="4" w:space="0" w:color="auto"/>
              <w:right w:val="single" w:sz="4" w:space="0" w:color="auto"/>
            </w:tcBorders>
            <w:shd w:val="clear" w:color="auto" w:fill="auto"/>
            <w:noWrap/>
            <w:vAlign w:val="center"/>
            <w:hideMark/>
          </w:tcPr>
          <w:p w:rsidR="008062CB" w:rsidRPr="00F453EB" w:rsidRDefault="008062CB" w:rsidP="008062CB">
            <w:pPr>
              <w:rPr>
                <w:rFonts w:cs="Calibri"/>
                <w:bCs/>
                <w:i/>
                <w:color w:val="000000"/>
                <w:szCs w:val="20"/>
                <w:lang w:val="en-GB" w:eastAsia="zh-CN"/>
              </w:rPr>
            </w:pPr>
            <w:r w:rsidRPr="00F453EB">
              <w:rPr>
                <w:rFonts w:cs="Calibri"/>
                <w:bCs/>
                <w:i/>
                <w:color w:val="000000"/>
                <w:szCs w:val="20"/>
                <w:lang w:val="en-GB" w:eastAsia="zh-CN"/>
              </w:rPr>
              <w:t>Atlas Business Unit</w:t>
            </w:r>
          </w:p>
        </w:tc>
        <w:tc>
          <w:tcPr>
            <w:tcW w:w="3810" w:type="pct"/>
            <w:gridSpan w:val="3"/>
            <w:tcBorders>
              <w:top w:val="single" w:sz="4" w:space="0" w:color="auto"/>
              <w:left w:val="nil"/>
              <w:bottom w:val="single" w:sz="4" w:space="0" w:color="auto"/>
              <w:right w:val="single" w:sz="4" w:space="0" w:color="000000"/>
            </w:tcBorders>
            <w:shd w:val="clear" w:color="auto" w:fill="auto"/>
            <w:noWrap/>
            <w:vAlign w:val="center"/>
            <w:hideMark/>
          </w:tcPr>
          <w:p w:rsidR="008062CB" w:rsidRPr="000E248B" w:rsidRDefault="008062CB" w:rsidP="008062CB">
            <w:pPr>
              <w:rPr>
                <w:rFonts w:cs="Calibri"/>
                <w:bCs/>
                <w:i/>
                <w:iCs/>
                <w:color w:val="000000"/>
                <w:szCs w:val="20"/>
                <w:lang w:val="en-GB" w:eastAsia="zh-CN"/>
              </w:rPr>
            </w:pPr>
            <w:r>
              <w:rPr>
                <w:rFonts w:cs="Calibri"/>
                <w:bCs/>
                <w:i/>
                <w:iCs/>
                <w:color w:val="000000"/>
                <w:szCs w:val="20"/>
                <w:lang w:val="en-GB" w:eastAsia="zh-CN"/>
              </w:rPr>
              <w:t>ZAF</w:t>
            </w:r>
            <w:r w:rsidRPr="00A4739F">
              <w:rPr>
                <w:rFonts w:cs="Calibri"/>
                <w:bCs/>
                <w:i/>
                <w:iCs/>
                <w:color w:val="000000"/>
                <w:szCs w:val="20"/>
                <w:lang w:val="en-GB" w:eastAsia="zh-CN"/>
              </w:rPr>
              <w:t>10</w:t>
            </w:r>
          </w:p>
        </w:tc>
      </w:tr>
      <w:tr w:rsidR="008062CB" w:rsidRPr="00F453EB" w:rsidTr="00F4042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190" w:type="pct"/>
            <w:tcBorders>
              <w:top w:val="nil"/>
              <w:left w:val="single" w:sz="4" w:space="0" w:color="auto"/>
              <w:bottom w:val="single" w:sz="4" w:space="0" w:color="auto"/>
              <w:right w:val="single" w:sz="4" w:space="0" w:color="auto"/>
            </w:tcBorders>
            <w:shd w:val="clear" w:color="auto" w:fill="auto"/>
            <w:noWrap/>
            <w:vAlign w:val="center"/>
            <w:hideMark/>
          </w:tcPr>
          <w:p w:rsidR="008062CB" w:rsidRPr="00F453EB" w:rsidRDefault="008062CB" w:rsidP="008062CB">
            <w:pPr>
              <w:rPr>
                <w:rFonts w:cs="Calibri"/>
                <w:bCs/>
                <w:color w:val="000000"/>
                <w:szCs w:val="20"/>
                <w:lang w:val="en-GB" w:eastAsia="zh-CN"/>
              </w:rPr>
            </w:pPr>
            <w:r w:rsidRPr="00F453EB">
              <w:rPr>
                <w:rFonts w:cs="Calibri"/>
                <w:bCs/>
                <w:color w:val="000000"/>
                <w:szCs w:val="20"/>
                <w:lang w:val="en-GB" w:eastAsia="zh-CN"/>
              </w:rPr>
              <w:t xml:space="preserve">UNDP-GEF PIMS No. </w:t>
            </w:r>
          </w:p>
        </w:tc>
        <w:tc>
          <w:tcPr>
            <w:tcW w:w="3810" w:type="pct"/>
            <w:gridSpan w:val="3"/>
            <w:tcBorders>
              <w:top w:val="single" w:sz="4" w:space="0" w:color="auto"/>
              <w:left w:val="nil"/>
              <w:bottom w:val="single" w:sz="4" w:space="0" w:color="auto"/>
              <w:right w:val="single" w:sz="4" w:space="0" w:color="auto"/>
            </w:tcBorders>
            <w:shd w:val="clear" w:color="auto" w:fill="auto"/>
            <w:noWrap/>
            <w:vAlign w:val="center"/>
            <w:hideMark/>
          </w:tcPr>
          <w:p w:rsidR="008062CB" w:rsidRPr="00F453EB" w:rsidRDefault="008062CB" w:rsidP="008062CB">
            <w:pPr>
              <w:rPr>
                <w:rFonts w:cs="Calibri"/>
                <w:bCs/>
                <w:color w:val="000000"/>
                <w:szCs w:val="20"/>
                <w:lang w:val="en-GB" w:eastAsia="zh-CN"/>
              </w:rPr>
            </w:pPr>
            <w:r w:rsidRPr="00F453EB">
              <w:rPr>
                <w:rFonts w:cs="Calibri"/>
                <w:bCs/>
                <w:color w:val="000000"/>
                <w:szCs w:val="20"/>
                <w:lang w:val="en-GB" w:eastAsia="zh-CN"/>
              </w:rPr>
              <w:t>5509</w:t>
            </w:r>
          </w:p>
        </w:tc>
      </w:tr>
      <w:tr w:rsidR="008062CB" w:rsidRPr="00F453EB" w:rsidTr="00F4042B">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1190" w:type="pct"/>
            <w:tcBorders>
              <w:top w:val="nil"/>
              <w:left w:val="single" w:sz="4" w:space="0" w:color="auto"/>
              <w:bottom w:val="single" w:sz="4" w:space="0" w:color="auto"/>
              <w:right w:val="single" w:sz="4" w:space="0" w:color="auto"/>
            </w:tcBorders>
            <w:shd w:val="clear" w:color="auto" w:fill="auto"/>
            <w:vAlign w:val="center"/>
            <w:hideMark/>
          </w:tcPr>
          <w:p w:rsidR="008062CB" w:rsidRPr="00F453EB" w:rsidRDefault="008062CB" w:rsidP="008062CB">
            <w:pPr>
              <w:rPr>
                <w:rFonts w:cs="Calibri"/>
                <w:bCs/>
                <w:color w:val="000000"/>
                <w:szCs w:val="20"/>
                <w:lang w:val="en-GB" w:eastAsia="zh-CN"/>
              </w:rPr>
            </w:pPr>
            <w:r w:rsidRPr="00F453EB">
              <w:rPr>
                <w:rFonts w:cs="Calibri"/>
                <w:bCs/>
                <w:color w:val="000000"/>
                <w:szCs w:val="20"/>
                <w:lang w:val="en-GB" w:eastAsia="zh-CN"/>
              </w:rPr>
              <w:t xml:space="preserve">Implementing Partner </w:t>
            </w:r>
          </w:p>
        </w:tc>
        <w:tc>
          <w:tcPr>
            <w:tcW w:w="3810" w:type="pct"/>
            <w:gridSpan w:val="3"/>
            <w:tcBorders>
              <w:top w:val="single" w:sz="4" w:space="0" w:color="auto"/>
              <w:left w:val="nil"/>
              <w:bottom w:val="single" w:sz="4" w:space="0" w:color="auto"/>
              <w:right w:val="single" w:sz="4" w:space="0" w:color="000000"/>
            </w:tcBorders>
            <w:shd w:val="clear" w:color="auto" w:fill="auto"/>
            <w:noWrap/>
            <w:vAlign w:val="center"/>
            <w:hideMark/>
          </w:tcPr>
          <w:p w:rsidR="008062CB" w:rsidRPr="00F453EB" w:rsidRDefault="008062CB" w:rsidP="008062CB">
            <w:pPr>
              <w:rPr>
                <w:rFonts w:cs="Calibri"/>
                <w:bCs/>
                <w:color w:val="000000"/>
                <w:szCs w:val="20"/>
                <w:lang w:val="en-GB" w:eastAsia="zh-CN"/>
              </w:rPr>
            </w:pPr>
            <w:r w:rsidRPr="00666B27">
              <w:rPr>
                <w:rFonts w:cs="Arial"/>
                <w:szCs w:val="20"/>
                <w:lang w:val="en-GB"/>
              </w:rPr>
              <w:t>Department of Energy</w:t>
            </w:r>
          </w:p>
        </w:tc>
      </w:tr>
    </w:tbl>
    <w:p w:rsidR="008062CB" w:rsidRDefault="008062CB" w:rsidP="005B5391">
      <w:pPr>
        <w:rPr>
          <w:rFonts w:cs="Arial"/>
          <w:noProof/>
          <w:szCs w:val="20"/>
          <w:lang w:val="en-GB" w:eastAsia="zh-CN"/>
        </w:rPr>
      </w:pPr>
    </w:p>
    <w:tbl>
      <w:tblPr>
        <w:tblW w:w="12940" w:type="dxa"/>
        <w:tblLook w:val="04A0" w:firstRow="1" w:lastRow="0" w:firstColumn="1" w:lastColumn="0" w:noHBand="0" w:noVBand="1"/>
      </w:tblPr>
      <w:tblGrid>
        <w:gridCol w:w="1547"/>
        <w:gridCol w:w="1264"/>
        <w:gridCol w:w="814"/>
        <w:gridCol w:w="690"/>
        <w:gridCol w:w="987"/>
        <w:gridCol w:w="1699"/>
        <w:gridCol w:w="1033"/>
        <w:gridCol w:w="1058"/>
        <w:gridCol w:w="1175"/>
        <w:gridCol w:w="824"/>
        <w:gridCol w:w="1005"/>
        <w:gridCol w:w="844"/>
      </w:tblGrid>
      <w:tr w:rsidR="00625F44" w:rsidRPr="008C776C" w:rsidTr="00B436AD">
        <w:trPr>
          <w:trHeight w:val="1210"/>
        </w:trPr>
        <w:tc>
          <w:tcPr>
            <w:tcW w:w="1547"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GEF Component/Atlas Activity</w:t>
            </w:r>
          </w:p>
        </w:tc>
        <w:tc>
          <w:tcPr>
            <w:tcW w:w="1264"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Responsible Party (ATLAS Implementing Agent)</w:t>
            </w:r>
          </w:p>
        </w:tc>
        <w:tc>
          <w:tcPr>
            <w:tcW w:w="814"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Funding ID</w:t>
            </w:r>
          </w:p>
        </w:tc>
        <w:tc>
          <w:tcPr>
            <w:tcW w:w="690"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Donor Name</w:t>
            </w:r>
          </w:p>
        </w:tc>
        <w:tc>
          <w:tcPr>
            <w:tcW w:w="987"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Atlas Budgetary Account Code</w:t>
            </w:r>
          </w:p>
        </w:tc>
        <w:tc>
          <w:tcPr>
            <w:tcW w:w="1699"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ATLAS Budget Description</w:t>
            </w:r>
          </w:p>
        </w:tc>
        <w:tc>
          <w:tcPr>
            <w:tcW w:w="1033"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Amount Year 1 (USD)</w:t>
            </w:r>
          </w:p>
        </w:tc>
        <w:tc>
          <w:tcPr>
            <w:tcW w:w="1058"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Amount Year 2 (USD)</w:t>
            </w:r>
          </w:p>
        </w:tc>
        <w:tc>
          <w:tcPr>
            <w:tcW w:w="1175"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Amount Year 3 (USD)</w:t>
            </w:r>
          </w:p>
        </w:tc>
        <w:tc>
          <w:tcPr>
            <w:tcW w:w="824"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 xml:space="preserve">Amount Year </w:t>
            </w:r>
            <w:proofErr w:type="gramStart"/>
            <w:r w:rsidRPr="008C776C">
              <w:rPr>
                <w:rFonts w:eastAsia="Times New Roman" w:cs="Calibri"/>
                <w:b/>
                <w:bCs/>
                <w:color w:val="000000"/>
                <w:sz w:val="16"/>
                <w:szCs w:val="16"/>
              </w:rPr>
              <w:t>4  (</w:t>
            </w:r>
            <w:proofErr w:type="gramEnd"/>
            <w:r w:rsidRPr="008C776C">
              <w:rPr>
                <w:rFonts w:eastAsia="Times New Roman" w:cs="Calibri"/>
                <w:b/>
                <w:bCs/>
                <w:color w:val="000000"/>
                <w:sz w:val="16"/>
                <w:szCs w:val="16"/>
              </w:rPr>
              <w:t>USD)</w:t>
            </w:r>
          </w:p>
        </w:tc>
        <w:tc>
          <w:tcPr>
            <w:tcW w:w="1005" w:type="dxa"/>
            <w:tcBorders>
              <w:top w:val="single" w:sz="8" w:space="0" w:color="auto"/>
              <w:left w:val="nil"/>
              <w:bottom w:val="single" w:sz="8" w:space="0" w:color="auto"/>
              <w:right w:val="single" w:sz="8" w:space="0" w:color="auto"/>
            </w:tcBorders>
            <w:shd w:val="clear" w:color="000000" w:fill="F2F2F2"/>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Total (USD)</w:t>
            </w:r>
          </w:p>
        </w:tc>
        <w:tc>
          <w:tcPr>
            <w:tcW w:w="844" w:type="dxa"/>
            <w:tcBorders>
              <w:top w:val="single" w:sz="8" w:space="0" w:color="auto"/>
              <w:left w:val="nil"/>
              <w:bottom w:val="single" w:sz="8" w:space="0" w:color="auto"/>
              <w:right w:val="single" w:sz="8" w:space="0" w:color="auto"/>
            </w:tcBorders>
            <w:shd w:val="clear" w:color="auto" w:fill="auto"/>
            <w:vAlign w:val="center"/>
            <w:hideMark/>
          </w:tcPr>
          <w:p w:rsidR="00625F44" w:rsidRPr="008C776C" w:rsidRDefault="00625F44" w:rsidP="00625F44">
            <w:pPr>
              <w:spacing w:after="0"/>
              <w:jc w:val="center"/>
              <w:rPr>
                <w:rFonts w:eastAsia="Times New Roman" w:cs="Calibri"/>
                <w:b/>
                <w:bCs/>
                <w:color w:val="000000"/>
                <w:sz w:val="16"/>
                <w:szCs w:val="16"/>
              </w:rPr>
            </w:pPr>
            <w:r w:rsidRPr="008C776C">
              <w:rPr>
                <w:rFonts w:eastAsia="Times New Roman" w:cs="Calibri"/>
                <w:b/>
                <w:bCs/>
                <w:color w:val="000000"/>
                <w:sz w:val="16"/>
                <w:szCs w:val="16"/>
              </w:rPr>
              <w:t>Budget Note:</w:t>
            </w:r>
          </w:p>
        </w:tc>
      </w:tr>
      <w:tr w:rsidR="00625F44" w:rsidRPr="008C776C" w:rsidTr="00B436AD">
        <w:trPr>
          <w:trHeight w:val="720"/>
        </w:trPr>
        <w:tc>
          <w:tcPr>
            <w:tcW w:w="1547" w:type="dxa"/>
            <w:vMerge w:val="restart"/>
            <w:tcBorders>
              <w:top w:val="nil"/>
              <w:left w:val="single" w:sz="8" w:space="0" w:color="auto"/>
              <w:bottom w:val="single" w:sz="8" w:space="0" w:color="000000"/>
              <w:right w:val="single" w:sz="8" w:space="0" w:color="auto"/>
            </w:tcBorders>
            <w:shd w:val="clear" w:color="000000" w:fill="DDEBF7"/>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Outcome 1: Strengthened government capacity and regulatory frameworks for LEDs and distribution transformers</w:t>
            </w:r>
          </w:p>
        </w:tc>
        <w:tc>
          <w:tcPr>
            <w:tcW w:w="126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UNDP</w:t>
            </w:r>
          </w:p>
        </w:tc>
        <w:tc>
          <w:tcPr>
            <w:tcW w:w="81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62000</w:t>
            </w:r>
          </w:p>
        </w:tc>
        <w:tc>
          <w:tcPr>
            <w:tcW w:w="6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GEF</w:t>
            </w: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71200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International consultants</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40,000</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30,000</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20,000</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36,000</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rPr>
            </w:pPr>
            <w:r w:rsidRPr="008C776C">
              <w:rPr>
                <w:rFonts w:eastAsia="Times New Roman" w:cs="Calibri"/>
                <w:color w:val="000000"/>
                <w:sz w:val="16"/>
                <w:szCs w:val="16"/>
              </w:rPr>
              <w:t>126,000</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w:t>
            </w:r>
          </w:p>
        </w:tc>
      </w:tr>
      <w:tr w:rsidR="00B436AD" w:rsidRPr="008C776C" w:rsidTr="00B436AD">
        <w:trPr>
          <w:trHeight w:val="720"/>
        </w:trPr>
        <w:tc>
          <w:tcPr>
            <w:tcW w:w="1547" w:type="dxa"/>
            <w:vMerge/>
            <w:tcBorders>
              <w:top w:val="nil"/>
              <w:left w:val="single" w:sz="8" w:space="0" w:color="auto"/>
              <w:bottom w:val="single" w:sz="8" w:space="0" w:color="000000"/>
              <w:right w:val="single" w:sz="8" w:space="0" w:color="auto"/>
            </w:tcBorders>
            <w:shd w:val="clear" w:color="000000" w:fill="DDEBF7"/>
            <w:vAlign w:val="center"/>
          </w:tcPr>
          <w:p w:rsidR="00B436AD" w:rsidRPr="008C776C" w:rsidRDefault="00B436AD" w:rsidP="00B436AD">
            <w:pPr>
              <w:spacing w:after="0"/>
              <w:jc w:val="center"/>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72300</w:t>
            </w:r>
          </w:p>
        </w:tc>
        <w:tc>
          <w:tcPr>
            <w:tcW w:w="1699"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left"/>
              <w:rPr>
                <w:rFonts w:eastAsia="Times New Roman" w:cs="Calibri"/>
                <w:color w:val="000000"/>
                <w:sz w:val="16"/>
                <w:szCs w:val="16"/>
              </w:rPr>
            </w:pPr>
            <w:r w:rsidRPr="008C776C">
              <w:rPr>
                <w:rFonts w:eastAsia="Times New Roman" w:cs="Calibri"/>
                <w:color w:val="000000"/>
                <w:sz w:val="16"/>
                <w:szCs w:val="16"/>
              </w:rPr>
              <w:t>Local consultants</w:t>
            </w:r>
          </w:p>
        </w:tc>
        <w:tc>
          <w:tcPr>
            <w:tcW w:w="1033"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35,000</w:t>
            </w:r>
          </w:p>
        </w:tc>
        <w:tc>
          <w:tcPr>
            <w:tcW w:w="1058"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32,000</w:t>
            </w:r>
          </w:p>
        </w:tc>
        <w:tc>
          <w:tcPr>
            <w:tcW w:w="1175"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32,000</w:t>
            </w:r>
          </w:p>
        </w:tc>
        <w:tc>
          <w:tcPr>
            <w:tcW w:w="824"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35,000</w:t>
            </w:r>
          </w:p>
        </w:tc>
        <w:tc>
          <w:tcPr>
            <w:tcW w:w="1005" w:type="dxa"/>
            <w:tcBorders>
              <w:top w:val="nil"/>
              <w:left w:val="nil"/>
              <w:bottom w:val="single" w:sz="8" w:space="0" w:color="auto"/>
              <w:right w:val="single" w:sz="8" w:space="0" w:color="auto"/>
            </w:tcBorders>
            <w:shd w:val="clear" w:color="000000" w:fill="F2F2F2"/>
            <w:noWrap/>
            <w:vAlign w:val="center"/>
          </w:tcPr>
          <w:p w:rsidR="00B436AD" w:rsidRPr="008C776C" w:rsidRDefault="00B436AD" w:rsidP="00B436AD">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134,000</w:t>
            </w:r>
          </w:p>
        </w:tc>
        <w:tc>
          <w:tcPr>
            <w:tcW w:w="844"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1a</w:t>
            </w:r>
          </w:p>
        </w:tc>
      </w:tr>
      <w:tr w:rsidR="00625F44"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71400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Contractual services - individual</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75,132</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2</w:t>
            </w:r>
          </w:p>
        </w:tc>
      </w:tr>
      <w:tr w:rsidR="00625F44"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71600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Travel</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10,000</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10,000</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13,800</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rPr>
            </w:pPr>
            <w:r w:rsidRPr="008C776C">
              <w:rPr>
                <w:rFonts w:eastAsia="Times New Roman" w:cs="Calibri"/>
                <w:color w:val="000000"/>
                <w:sz w:val="16"/>
                <w:szCs w:val="16"/>
              </w:rPr>
              <w:t>48,800</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3</w:t>
            </w:r>
          </w:p>
        </w:tc>
      </w:tr>
      <w:tr w:rsidR="00625F44"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72100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Contractual services -company</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190,000</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190,000</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100,000</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140,000</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rPr>
            </w:pPr>
            <w:r w:rsidRPr="008C776C">
              <w:rPr>
                <w:rFonts w:eastAsia="Times New Roman" w:cs="Calibri"/>
                <w:color w:val="000000"/>
                <w:sz w:val="16"/>
                <w:szCs w:val="16"/>
              </w:rPr>
              <w:t>620,000</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4</w:t>
            </w:r>
          </w:p>
        </w:tc>
      </w:tr>
      <w:tr w:rsidR="00625F44"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72200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 xml:space="preserve">Equipment and furniture </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400,000</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rPr>
            </w:pPr>
            <w:r w:rsidRPr="008C776C">
              <w:rPr>
                <w:rFonts w:eastAsia="Times New Roman" w:cs="Calibri"/>
                <w:color w:val="000000"/>
                <w:sz w:val="16"/>
                <w:szCs w:val="16"/>
              </w:rPr>
              <w:t>500,000</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5</w:t>
            </w:r>
          </w:p>
        </w:tc>
      </w:tr>
      <w:tr w:rsidR="00625F44"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625F44" w:rsidRPr="008C776C" w:rsidRDefault="00625F44" w:rsidP="00625F44">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74200</w:t>
            </w:r>
          </w:p>
        </w:tc>
        <w:tc>
          <w:tcPr>
            <w:tcW w:w="1699"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left"/>
              <w:rPr>
                <w:rFonts w:eastAsia="Times New Roman" w:cs="Calibri"/>
                <w:color w:val="000000"/>
                <w:sz w:val="16"/>
                <w:szCs w:val="16"/>
              </w:rPr>
            </w:pPr>
            <w:r w:rsidRPr="008C776C">
              <w:rPr>
                <w:rFonts w:eastAsia="Times New Roman" w:cs="Calibri"/>
                <w:color w:val="000000"/>
                <w:sz w:val="16"/>
                <w:szCs w:val="16"/>
              </w:rPr>
              <w:t>AV &amp; printing cost</w:t>
            </w:r>
          </w:p>
        </w:tc>
        <w:tc>
          <w:tcPr>
            <w:tcW w:w="1033"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58"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175"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82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05" w:type="dxa"/>
            <w:tcBorders>
              <w:top w:val="nil"/>
              <w:left w:val="nil"/>
              <w:bottom w:val="single" w:sz="8" w:space="0" w:color="auto"/>
              <w:right w:val="single" w:sz="8" w:space="0" w:color="auto"/>
            </w:tcBorders>
            <w:shd w:val="clear" w:color="000000" w:fill="F2F2F2"/>
            <w:noWrap/>
            <w:vAlign w:val="center"/>
            <w:hideMark/>
          </w:tcPr>
          <w:p w:rsidR="00625F44" w:rsidRPr="008C776C" w:rsidRDefault="00625F44" w:rsidP="00625F44">
            <w:pPr>
              <w:spacing w:after="0"/>
              <w:jc w:val="right"/>
              <w:rPr>
                <w:rFonts w:eastAsia="Times New Roman" w:cs="Calibri"/>
                <w:color w:val="000000"/>
                <w:sz w:val="16"/>
                <w:szCs w:val="16"/>
              </w:rPr>
            </w:pPr>
            <w:r w:rsidRPr="008C776C">
              <w:rPr>
                <w:rFonts w:eastAsia="Times New Roman" w:cs="Calibri"/>
                <w:color w:val="000000"/>
                <w:sz w:val="16"/>
                <w:szCs w:val="16"/>
              </w:rPr>
              <w:t>20,000</w:t>
            </w:r>
          </w:p>
        </w:tc>
        <w:tc>
          <w:tcPr>
            <w:tcW w:w="844" w:type="dxa"/>
            <w:tcBorders>
              <w:top w:val="nil"/>
              <w:left w:val="nil"/>
              <w:bottom w:val="single" w:sz="8" w:space="0" w:color="auto"/>
              <w:right w:val="single" w:sz="8" w:space="0" w:color="auto"/>
            </w:tcBorders>
            <w:shd w:val="clear" w:color="auto" w:fill="auto"/>
            <w:noWrap/>
            <w:vAlign w:val="center"/>
            <w:hideMark/>
          </w:tcPr>
          <w:p w:rsidR="00625F44" w:rsidRPr="008C776C" w:rsidRDefault="00625F44" w:rsidP="00625F44">
            <w:pPr>
              <w:spacing w:after="0"/>
              <w:jc w:val="center"/>
              <w:rPr>
                <w:rFonts w:eastAsia="Times New Roman" w:cs="Calibri"/>
                <w:color w:val="000000"/>
                <w:sz w:val="16"/>
                <w:szCs w:val="16"/>
              </w:rPr>
            </w:pPr>
            <w:r w:rsidRPr="008C776C">
              <w:rPr>
                <w:rFonts w:eastAsia="Times New Roman" w:cs="Calibri"/>
                <w:color w:val="000000"/>
                <w:sz w:val="16"/>
                <w:szCs w:val="16"/>
              </w:rPr>
              <w:t>6</w:t>
            </w:r>
          </w:p>
        </w:tc>
      </w:tr>
      <w:tr w:rsidR="00B436AD"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tcPr>
          <w:p w:rsidR="00B436AD" w:rsidRPr="008C776C" w:rsidRDefault="00B436AD" w:rsidP="00B436AD">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tcPr>
          <w:p w:rsidR="00B436AD" w:rsidRPr="008C776C" w:rsidRDefault="00B436AD" w:rsidP="00B436AD">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tcPr>
          <w:p w:rsidR="00B436AD" w:rsidRPr="008C776C" w:rsidRDefault="00B436AD" w:rsidP="00B436AD">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tcPr>
          <w:p w:rsidR="00B436AD" w:rsidRPr="008C776C" w:rsidRDefault="00B436AD" w:rsidP="00B436AD">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75700</w:t>
            </w:r>
          </w:p>
        </w:tc>
        <w:tc>
          <w:tcPr>
            <w:tcW w:w="1699"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left"/>
              <w:rPr>
                <w:rFonts w:eastAsia="Times New Roman" w:cs="Calibri"/>
                <w:color w:val="000000"/>
                <w:sz w:val="16"/>
                <w:szCs w:val="16"/>
              </w:rPr>
            </w:pPr>
            <w:r w:rsidRPr="008C776C">
              <w:rPr>
                <w:rFonts w:eastAsia="Times New Roman" w:cs="Calibri"/>
                <w:color w:val="000000"/>
                <w:sz w:val="16"/>
                <w:szCs w:val="16"/>
              </w:rPr>
              <w:t>Training, workshops</w:t>
            </w:r>
          </w:p>
        </w:tc>
        <w:tc>
          <w:tcPr>
            <w:tcW w:w="1033"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1058"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1175"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824"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005" w:type="dxa"/>
            <w:tcBorders>
              <w:top w:val="nil"/>
              <w:left w:val="nil"/>
              <w:bottom w:val="single" w:sz="8" w:space="0" w:color="auto"/>
              <w:right w:val="single" w:sz="8" w:space="0" w:color="auto"/>
            </w:tcBorders>
            <w:shd w:val="clear" w:color="000000" w:fill="F2F2F2"/>
            <w:noWrap/>
            <w:vAlign w:val="center"/>
          </w:tcPr>
          <w:p w:rsidR="00B436AD" w:rsidRPr="008C776C" w:rsidRDefault="00B436AD" w:rsidP="00B436AD">
            <w:pPr>
              <w:spacing w:after="0"/>
              <w:jc w:val="right"/>
              <w:rPr>
                <w:rFonts w:eastAsia="Times New Roman" w:cs="Calibri"/>
                <w:color w:val="000000"/>
                <w:sz w:val="16"/>
                <w:szCs w:val="16"/>
              </w:rPr>
            </w:pPr>
            <w:r w:rsidRPr="008C776C">
              <w:rPr>
                <w:rFonts w:eastAsia="Times New Roman" w:cs="Calibri"/>
                <w:color w:val="000000"/>
                <w:sz w:val="16"/>
                <w:szCs w:val="16"/>
              </w:rPr>
              <w:t>175,000</w:t>
            </w:r>
          </w:p>
        </w:tc>
        <w:tc>
          <w:tcPr>
            <w:tcW w:w="844" w:type="dxa"/>
            <w:tcBorders>
              <w:top w:val="nil"/>
              <w:left w:val="nil"/>
              <w:bottom w:val="single" w:sz="8" w:space="0" w:color="auto"/>
              <w:right w:val="single" w:sz="8" w:space="0" w:color="auto"/>
            </w:tcBorders>
            <w:shd w:val="clear" w:color="auto" w:fill="auto"/>
            <w:noWrap/>
            <w:vAlign w:val="center"/>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w:t>
            </w:r>
          </w:p>
        </w:tc>
      </w:tr>
      <w:tr w:rsidR="00B436AD"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B436AD" w:rsidRPr="008C776C" w:rsidRDefault="00B436AD" w:rsidP="00B436AD">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B436AD" w:rsidRPr="008C776C" w:rsidRDefault="00B436AD" w:rsidP="00B436AD">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B436AD" w:rsidRPr="008C776C" w:rsidRDefault="00B436AD" w:rsidP="00B436AD">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B436AD" w:rsidRPr="008C776C" w:rsidRDefault="00B436AD" w:rsidP="00B436AD">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74500</w:t>
            </w:r>
          </w:p>
        </w:tc>
        <w:tc>
          <w:tcPr>
            <w:tcW w:w="1699"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left"/>
              <w:rPr>
                <w:rFonts w:eastAsia="Times New Roman" w:cs="Calibri"/>
                <w:color w:val="000000"/>
                <w:sz w:val="16"/>
                <w:szCs w:val="16"/>
              </w:rPr>
            </w:pPr>
            <w:r w:rsidRPr="008C776C">
              <w:rPr>
                <w:rFonts w:eastAsia="Times New Roman" w:cs="Calibri"/>
                <w:color w:val="000000"/>
                <w:sz w:val="16"/>
                <w:szCs w:val="16"/>
              </w:rPr>
              <w:t>Miscellaneous</w:t>
            </w:r>
          </w:p>
        </w:tc>
        <w:tc>
          <w:tcPr>
            <w:tcW w:w="1033"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58"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175"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824"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05" w:type="dxa"/>
            <w:tcBorders>
              <w:top w:val="nil"/>
              <w:left w:val="nil"/>
              <w:bottom w:val="single" w:sz="8" w:space="0" w:color="auto"/>
              <w:right w:val="single" w:sz="8" w:space="0" w:color="auto"/>
            </w:tcBorders>
            <w:shd w:val="clear" w:color="000000" w:fill="F2F2F2"/>
            <w:noWrap/>
            <w:vAlign w:val="center"/>
            <w:hideMark/>
          </w:tcPr>
          <w:p w:rsidR="00B436AD" w:rsidRPr="008C776C" w:rsidRDefault="00B436AD" w:rsidP="00B436AD">
            <w:pPr>
              <w:spacing w:after="0"/>
              <w:jc w:val="right"/>
              <w:rPr>
                <w:rFonts w:eastAsia="Times New Roman" w:cs="Calibri"/>
                <w:color w:val="000000"/>
                <w:sz w:val="16"/>
                <w:szCs w:val="16"/>
              </w:rPr>
            </w:pPr>
            <w:r w:rsidRPr="008C776C">
              <w:rPr>
                <w:rFonts w:eastAsia="Times New Roman" w:cs="Calibri"/>
                <w:color w:val="000000"/>
                <w:sz w:val="16"/>
                <w:szCs w:val="16"/>
              </w:rPr>
              <w:t>20,000</w:t>
            </w:r>
          </w:p>
        </w:tc>
        <w:tc>
          <w:tcPr>
            <w:tcW w:w="844"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13</w:t>
            </w:r>
          </w:p>
        </w:tc>
      </w:tr>
      <w:tr w:rsidR="00B436AD" w:rsidRPr="008C776C" w:rsidTr="00B436AD">
        <w:trPr>
          <w:trHeight w:val="300"/>
        </w:trPr>
        <w:tc>
          <w:tcPr>
            <w:tcW w:w="1547" w:type="dxa"/>
            <w:tcBorders>
              <w:top w:val="nil"/>
              <w:left w:val="single" w:sz="8" w:space="0" w:color="auto"/>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264"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14"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690"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987"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699"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left"/>
              <w:rPr>
                <w:rFonts w:eastAsia="Times New Roman" w:cs="Calibri"/>
                <w:b/>
                <w:bCs/>
                <w:color w:val="000000"/>
                <w:sz w:val="16"/>
                <w:szCs w:val="16"/>
              </w:rPr>
            </w:pPr>
            <w:r w:rsidRPr="008C776C">
              <w:rPr>
                <w:rFonts w:eastAsia="Times New Roman" w:cs="Calibri"/>
                <w:b/>
                <w:bCs/>
                <w:color w:val="000000"/>
                <w:sz w:val="16"/>
                <w:szCs w:val="16"/>
              </w:rPr>
              <w:t>Total outcome 1</w:t>
            </w:r>
          </w:p>
        </w:tc>
        <w:tc>
          <w:tcPr>
            <w:tcW w:w="1033"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433,783</w:t>
            </w:r>
          </w:p>
        </w:tc>
        <w:tc>
          <w:tcPr>
            <w:tcW w:w="1058"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390,783</w:t>
            </w:r>
          </w:p>
        </w:tc>
        <w:tc>
          <w:tcPr>
            <w:tcW w:w="1175"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615,783</w:t>
            </w:r>
          </w:p>
        </w:tc>
        <w:tc>
          <w:tcPr>
            <w:tcW w:w="824"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278,583</w:t>
            </w:r>
          </w:p>
        </w:tc>
        <w:tc>
          <w:tcPr>
            <w:tcW w:w="1005"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1,718,932</w:t>
            </w:r>
          </w:p>
        </w:tc>
        <w:tc>
          <w:tcPr>
            <w:tcW w:w="844" w:type="dxa"/>
            <w:tcBorders>
              <w:top w:val="nil"/>
              <w:left w:val="nil"/>
              <w:bottom w:val="single" w:sz="8" w:space="0" w:color="auto"/>
              <w:right w:val="single" w:sz="8" w:space="0" w:color="auto"/>
            </w:tcBorders>
            <w:shd w:val="clear" w:color="000000" w:fill="DDEBF7"/>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w:t>
            </w:r>
          </w:p>
        </w:tc>
      </w:tr>
      <w:tr w:rsidR="00B436AD" w:rsidRPr="008C776C" w:rsidTr="00B436AD">
        <w:trPr>
          <w:trHeight w:val="300"/>
        </w:trPr>
        <w:tc>
          <w:tcPr>
            <w:tcW w:w="1547" w:type="dxa"/>
            <w:vMerge w:val="restart"/>
            <w:tcBorders>
              <w:top w:val="nil"/>
              <w:left w:val="single" w:sz="8" w:space="0" w:color="auto"/>
              <w:bottom w:val="single" w:sz="8" w:space="0" w:color="000000"/>
              <w:right w:val="single" w:sz="8" w:space="0" w:color="auto"/>
            </w:tcBorders>
            <w:shd w:val="clear" w:color="000000" w:fill="E2EFDA"/>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 xml:space="preserve">Outcome 2: Awareness, </w:t>
            </w:r>
            <w:r w:rsidRPr="008C776C">
              <w:rPr>
                <w:rFonts w:eastAsia="Times New Roman" w:cs="Calibri"/>
                <w:color w:val="000000"/>
                <w:sz w:val="16"/>
                <w:szCs w:val="16"/>
              </w:rPr>
              <w:lastRenderedPageBreak/>
              <w:t xml:space="preserve">knowledge and capacity enhanced of end-users, municipalities and private sector </w:t>
            </w:r>
          </w:p>
        </w:tc>
        <w:tc>
          <w:tcPr>
            <w:tcW w:w="126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lastRenderedPageBreak/>
              <w:t>UNDP</w:t>
            </w:r>
          </w:p>
        </w:tc>
        <w:tc>
          <w:tcPr>
            <w:tcW w:w="81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62000</w:t>
            </w:r>
          </w:p>
        </w:tc>
        <w:tc>
          <w:tcPr>
            <w:tcW w:w="6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GEF</w:t>
            </w:r>
          </w:p>
        </w:tc>
        <w:tc>
          <w:tcPr>
            <w:tcW w:w="987"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71200</w:t>
            </w:r>
          </w:p>
        </w:tc>
        <w:tc>
          <w:tcPr>
            <w:tcW w:w="1699"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left"/>
              <w:rPr>
                <w:rFonts w:eastAsia="Times New Roman" w:cs="Calibri"/>
                <w:color w:val="000000"/>
                <w:sz w:val="16"/>
                <w:szCs w:val="16"/>
              </w:rPr>
            </w:pPr>
            <w:r w:rsidRPr="008C776C">
              <w:rPr>
                <w:rFonts w:eastAsia="Times New Roman" w:cs="Calibri"/>
                <w:color w:val="000000"/>
                <w:sz w:val="16"/>
                <w:szCs w:val="16"/>
              </w:rPr>
              <w:t>International consultants</w:t>
            </w:r>
          </w:p>
        </w:tc>
        <w:tc>
          <w:tcPr>
            <w:tcW w:w="1033"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40,000</w:t>
            </w:r>
          </w:p>
        </w:tc>
        <w:tc>
          <w:tcPr>
            <w:tcW w:w="1058"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1175"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824"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59,500</w:t>
            </w:r>
          </w:p>
        </w:tc>
        <w:tc>
          <w:tcPr>
            <w:tcW w:w="1005" w:type="dxa"/>
            <w:tcBorders>
              <w:top w:val="nil"/>
              <w:left w:val="nil"/>
              <w:bottom w:val="single" w:sz="8" w:space="0" w:color="auto"/>
              <w:right w:val="single" w:sz="8" w:space="0" w:color="auto"/>
            </w:tcBorders>
            <w:shd w:val="clear" w:color="000000" w:fill="F2F2F2"/>
            <w:noWrap/>
            <w:vAlign w:val="center"/>
            <w:hideMark/>
          </w:tcPr>
          <w:p w:rsidR="00B436AD" w:rsidRPr="008C776C" w:rsidRDefault="00B436AD" w:rsidP="00B436AD">
            <w:pPr>
              <w:spacing w:after="0"/>
              <w:jc w:val="right"/>
              <w:rPr>
                <w:rFonts w:eastAsia="Times New Roman" w:cs="Calibri"/>
                <w:color w:val="000000"/>
                <w:sz w:val="16"/>
                <w:szCs w:val="16"/>
              </w:rPr>
            </w:pPr>
            <w:r w:rsidRPr="008C776C">
              <w:rPr>
                <w:rFonts w:eastAsia="Times New Roman" w:cs="Calibri"/>
                <w:color w:val="000000"/>
                <w:sz w:val="16"/>
                <w:szCs w:val="16"/>
              </w:rPr>
              <w:t>199,500</w:t>
            </w:r>
          </w:p>
        </w:tc>
        <w:tc>
          <w:tcPr>
            <w:tcW w:w="844" w:type="dxa"/>
            <w:tcBorders>
              <w:top w:val="nil"/>
              <w:left w:val="nil"/>
              <w:bottom w:val="single" w:sz="8" w:space="0" w:color="auto"/>
              <w:right w:val="single" w:sz="8" w:space="0" w:color="auto"/>
            </w:tcBorders>
            <w:shd w:val="clear" w:color="auto" w:fill="auto"/>
            <w:noWrap/>
            <w:vAlign w:val="center"/>
            <w:hideMark/>
          </w:tcPr>
          <w:p w:rsidR="00B436AD" w:rsidRPr="008C776C" w:rsidRDefault="00B436AD" w:rsidP="00B436AD">
            <w:pPr>
              <w:spacing w:after="0"/>
              <w:jc w:val="center"/>
              <w:rPr>
                <w:rFonts w:eastAsia="Times New Roman" w:cs="Calibri"/>
                <w:color w:val="000000"/>
                <w:sz w:val="16"/>
                <w:szCs w:val="16"/>
              </w:rPr>
            </w:pPr>
            <w:r w:rsidRPr="008C776C">
              <w:rPr>
                <w:rFonts w:eastAsia="Times New Roman" w:cs="Calibri"/>
                <w:color w:val="000000"/>
                <w:sz w:val="16"/>
                <w:szCs w:val="16"/>
              </w:rPr>
              <w:t>8</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shd w:val="clear" w:color="000000" w:fill="E2EFDA"/>
            <w:vAlign w:val="center"/>
          </w:tcPr>
          <w:p w:rsidR="008C776C" w:rsidRPr="008C776C" w:rsidRDefault="008C776C" w:rsidP="008C776C">
            <w:pPr>
              <w:spacing w:after="0"/>
              <w:jc w:val="center"/>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72300</w:t>
            </w:r>
          </w:p>
        </w:tc>
        <w:tc>
          <w:tcPr>
            <w:tcW w:w="1699"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Local consultants</w:t>
            </w:r>
          </w:p>
        </w:tc>
        <w:tc>
          <w:tcPr>
            <w:tcW w:w="1033"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1058"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1175"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82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77,500</w:t>
            </w:r>
          </w:p>
        </w:tc>
        <w:tc>
          <w:tcPr>
            <w:tcW w:w="1005" w:type="dxa"/>
            <w:tcBorders>
              <w:top w:val="nil"/>
              <w:left w:val="nil"/>
              <w:bottom w:val="single" w:sz="8" w:space="0" w:color="auto"/>
              <w:right w:val="single" w:sz="8" w:space="0" w:color="auto"/>
            </w:tcBorders>
            <w:shd w:val="clear" w:color="000000" w:fill="F2F2F2"/>
            <w:noWrap/>
            <w:vAlign w:val="center"/>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277,500</w:t>
            </w:r>
          </w:p>
        </w:tc>
        <w:tc>
          <w:tcPr>
            <w:tcW w:w="84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8</w:t>
            </w:r>
            <w:r>
              <w:rPr>
                <w:rFonts w:eastAsia="Times New Roman" w:cs="Calibri"/>
                <w:color w:val="000000"/>
                <w:sz w:val="16"/>
                <w:szCs w:val="16"/>
              </w:rPr>
              <w:t>a</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71400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Contractual services - individual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11,350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56,350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9</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71600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Travel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20,000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27,500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18,600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91,100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10</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72100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Contractual services -company</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200,000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250,000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250,000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205,000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905,000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11</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 xml:space="preserve">Equipment and Furniture </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50,000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12</w:t>
            </w:r>
          </w:p>
        </w:tc>
      </w:tr>
      <w:tr w:rsidR="008C776C" w:rsidRPr="008C776C" w:rsidTr="00412140">
        <w:trPr>
          <w:trHeight w:val="201"/>
        </w:trPr>
        <w:tc>
          <w:tcPr>
            <w:tcW w:w="1547"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74500</w:t>
            </w:r>
          </w:p>
        </w:tc>
        <w:tc>
          <w:tcPr>
            <w:tcW w:w="1699"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Miscellaneous</w:t>
            </w:r>
          </w:p>
        </w:tc>
        <w:tc>
          <w:tcPr>
            <w:tcW w:w="1033"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58"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175"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4,000</w:t>
            </w:r>
          </w:p>
        </w:tc>
        <w:tc>
          <w:tcPr>
            <w:tcW w:w="82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6,350</w:t>
            </w:r>
          </w:p>
        </w:tc>
        <w:tc>
          <w:tcPr>
            <w:tcW w:w="1005" w:type="dxa"/>
            <w:tcBorders>
              <w:top w:val="nil"/>
              <w:left w:val="nil"/>
              <w:bottom w:val="single" w:sz="8" w:space="0" w:color="auto"/>
              <w:right w:val="single" w:sz="8" w:space="0" w:color="auto"/>
            </w:tcBorders>
            <w:shd w:val="clear" w:color="000000" w:fill="F2F2F2"/>
            <w:noWrap/>
            <w:vAlign w:val="center"/>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20,350</w:t>
            </w:r>
          </w:p>
        </w:tc>
        <w:tc>
          <w:tcPr>
            <w:tcW w:w="84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13</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72500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Supplies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20,000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14</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AV &amp; printing cost</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11,000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11,150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52,150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14</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75700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Training, workshops and conferences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60,000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75,500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435,500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w:t>
            </w:r>
          </w:p>
        </w:tc>
      </w:tr>
      <w:tr w:rsidR="008C776C" w:rsidRPr="008C776C" w:rsidTr="00B436AD">
        <w:trPr>
          <w:trHeight w:val="300"/>
        </w:trPr>
        <w:tc>
          <w:tcPr>
            <w:tcW w:w="1547" w:type="dxa"/>
            <w:tcBorders>
              <w:top w:val="nil"/>
              <w:left w:val="single" w:sz="8" w:space="0" w:color="auto"/>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264"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14"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690"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987"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699"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left"/>
              <w:rPr>
                <w:rFonts w:eastAsia="Times New Roman" w:cs="Calibri"/>
                <w:b/>
                <w:bCs/>
                <w:color w:val="000000"/>
                <w:sz w:val="16"/>
                <w:szCs w:val="16"/>
              </w:rPr>
            </w:pPr>
            <w:r w:rsidRPr="008C776C">
              <w:rPr>
                <w:rFonts w:eastAsia="Times New Roman" w:cs="Calibri"/>
                <w:b/>
                <w:bCs/>
                <w:color w:val="000000"/>
                <w:sz w:val="16"/>
                <w:szCs w:val="16"/>
              </w:rPr>
              <w:t>Total outcome</w:t>
            </w:r>
          </w:p>
        </w:tc>
        <w:tc>
          <w:tcPr>
            <w:tcW w:w="1033"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551,000</w:t>
            </w:r>
          </w:p>
        </w:tc>
        <w:tc>
          <w:tcPr>
            <w:tcW w:w="1058"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610,000</w:t>
            </w:r>
          </w:p>
        </w:tc>
        <w:tc>
          <w:tcPr>
            <w:tcW w:w="1175"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476,500</w:t>
            </w:r>
          </w:p>
        </w:tc>
        <w:tc>
          <w:tcPr>
            <w:tcW w:w="824"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469,950</w:t>
            </w:r>
          </w:p>
        </w:tc>
        <w:tc>
          <w:tcPr>
            <w:tcW w:w="1005"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right"/>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2,107,450</w:t>
            </w:r>
          </w:p>
        </w:tc>
        <w:tc>
          <w:tcPr>
            <w:tcW w:w="844" w:type="dxa"/>
            <w:tcBorders>
              <w:top w:val="nil"/>
              <w:left w:val="nil"/>
              <w:bottom w:val="single" w:sz="8" w:space="0" w:color="auto"/>
              <w:right w:val="single" w:sz="8" w:space="0" w:color="auto"/>
            </w:tcBorders>
            <w:shd w:val="clear" w:color="000000" w:fill="E2EFDA"/>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 </w:t>
            </w:r>
          </w:p>
        </w:tc>
      </w:tr>
      <w:tr w:rsidR="008C776C" w:rsidRPr="008C776C" w:rsidTr="00B436AD">
        <w:trPr>
          <w:trHeight w:val="300"/>
        </w:trPr>
        <w:tc>
          <w:tcPr>
            <w:tcW w:w="1547" w:type="dxa"/>
            <w:vMerge w:val="restart"/>
            <w:tcBorders>
              <w:top w:val="nil"/>
              <w:left w:val="single" w:sz="8" w:space="0" w:color="auto"/>
              <w:bottom w:val="single" w:sz="8" w:space="0" w:color="000000"/>
              <w:right w:val="single" w:sz="8" w:space="0" w:color="auto"/>
            </w:tcBorders>
            <w:shd w:val="clear" w:color="000000" w:fill="FCE4D6"/>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Outcome 4: Environmentally sound management and waste disposal practices</w:t>
            </w:r>
          </w:p>
        </w:tc>
        <w:tc>
          <w:tcPr>
            <w:tcW w:w="126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UNDP</w:t>
            </w:r>
          </w:p>
        </w:tc>
        <w:tc>
          <w:tcPr>
            <w:tcW w:w="814"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62000</w:t>
            </w:r>
          </w:p>
        </w:tc>
        <w:tc>
          <w:tcPr>
            <w:tcW w:w="69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GEF</w:t>
            </w: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International consultants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16,000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16,000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rPr>
                <w:rFonts w:eastAsia="Times New Roman" w:cs="Calibri"/>
                <w:color w:val="000000"/>
                <w:sz w:val="16"/>
                <w:szCs w:val="16"/>
              </w:rPr>
            </w:pPr>
            <w:r w:rsidRPr="008C776C">
              <w:rPr>
                <w:rFonts w:eastAsia="Times New Roman" w:cs="Calibri"/>
                <w:color w:val="000000"/>
                <w:sz w:val="16"/>
                <w:szCs w:val="16"/>
              </w:rPr>
              <w:t>27,000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84,000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16</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shd w:val="clear" w:color="000000" w:fill="FCE4D6"/>
            <w:vAlign w:val="center"/>
          </w:tcPr>
          <w:p w:rsidR="008C776C" w:rsidRPr="008C776C" w:rsidRDefault="008C776C" w:rsidP="008C776C">
            <w:pPr>
              <w:spacing w:after="0"/>
              <w:jc w:val="center"/>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72300</w:t>
            </w:r>
          </w:p>
        </w:tc>
        <w:tc>
          <w:tcPr>
            <w:tcW w:w="1699"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Local consultants</w:t>
            </w:r>
          </w:p>
        </w:tc>
        <w:tc>
          <w:tcPr>
            <w:tcW w:w="1033"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058"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175"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10,000</w:t>
            </w:r>
          </w:p>
        </w:tc>
        <w:tc>
          <w:tcPr>
            <w:tcW w:w="82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10,000</w:t>
            </w:r>
          </w:p>
        </w:tc>
        <w:tc>
          <w:tcPr>
            <w:tcW w:w="1005" w:type="dxa"/>
            <w:tcBorders>
              <w:top w:val="nil"/>
              <w:left w:val="nil"/>
              <w:bottom w:val="single" w:sz="8" w:space="0" w:color="auto"/>
              <w:right w:val="single" w:sz="8" w:space="0" w:color="auto"/>
            </w:tcBorders>
            <w:shd w:val="clear" w:color="000000" w:fill="F2F2F2"/>
            <w:noWrap/>
            <w:vAlign w:val="center"/>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50,000</w:t>
            </w:r>
          </w:p>
        </w:tc>
        <w:tc>
          <w:tcPr>
            <w:tcW w:w="84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16a</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71400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Contractual services - individual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18,783</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75,132</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17</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71600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Travel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8,000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8,000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8,000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6,200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30,200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18</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72100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Contractual services -company</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100,000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300,000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19</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 xml:space="preserve">Equipment and furniture </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100,000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20</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AV &amp; printing cost</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4,000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4,000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4,000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810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12,810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21</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75700</w:t>
            </w:r>
          </w:p>
        </w:tc>
        <w:tc>
          <w:tcPr>
            <w:tcW w:w="1699"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Training, workshops and conferences</w:t>
            </w:r>
          </w:p>
        </w:tc>
        <w:tc>
          <w:tcPr>
            <w:tcW w:w="1033"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058"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1175"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15,000</w:t>
            </w:r>
          </w:p>
        </w:tc>
        <w:tc>
          <w:tcPr>
            <w:tcW w:w="82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05" w:type="dxa"/>
            <w:tcBorders>
              <w:top w:val="nil"/>
              <w:left w:val="nil"/>
              <w:bottom w:val="single" w:sz="8" w:space="0" w:color="auto"/>
              <w:right w:val="single" w:sz="8" w:space="0" w:color="auto"/>
            </w:tcBorders>
            <w:shd w:val="clear" w:color="000000" w:fill="F2F2F2"/>
            <w:noWrap/>
            <w:vAlign w:val="center"/>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50,000</w:t>
            </w:r>
          </w:p>
        </w:tc>
        <w:tc>
          <w:tcPr>
            <w:tcW w:w="844" w:type="dxa"/>
            <w:tcBorders>
              <w:top w:val="nil"/>
              <w:left w:val="nil"/>
              <w:bottom w:val="single" w:sz="8" w:space="0" w:color="auto"/>
              <w:right w:val="single" w:sz="8" w:space="0" w:color="auto"/>
            </w:tcBorders>
            <w:shd w:val="clear" w:color="auto" w:fill="auto"/>
            <w:noWrap/>
            <w:vAlign w:val="center"/>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22</w:t>
            </w:r>
          </w:p>
        </w:tc>
      </w:tr>
      <w:tr w:rsidR="008C776C" w:rsidRPr="008C776C" w:rsidTr="00B436AD">
        <w:trPr>
          <w:trHeight w:val="300"/>
        </w:trPr>
        <w:tc>
          <w:tcPr>
            <w:tcW w:w="1547"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single" w:sz="8" w:space="0" w:color="000000"/>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74500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Miscellaneous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4,233</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4,233</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4,233</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4,233</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16,932</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13</w:t>
            </w:r>
          </w:p>
        </w:tc>
      </w:tr>
      <w:tr w:rsidR="008C776C" w:rsidRPr="008C776C" w:rsidTr="00B436AD">
        <w:trPr>
          <w:trHeight w:val="300"/>
        </w:trPr>
        <w:tc>
          <w:tcPr>
            <w:tcW w:w="1547" w:type="dxa"/>
            <w:tcBorders>
              <w:top w:val="nil"/>
              <w:left w:val="single" w:sz="8" w:space="0" w:color="auto"/>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264"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14"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690"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987"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699"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left"/>
              <w:rPr>
                <w:rFonts w:eastAsia="Times New Roman" w:cs="Calibri"/>
                <w:b/>
                <w:bCs/>
                <w:color w:val="000000"/>
                <w:sz w:val="16"/>
                <w:szCs w:val="16"/>
              </w:rPr>
            </w:pPr>
            <w:r w:rsidRPr="008C776C">
              <w:rPr>
                <w:rFonts w:eastAsia="Times New Roman" w:cs="Calibri"/>
                <w:b/>
                <w:bCs/>
                <w:color w:val="000000"/>
                <w:sz w:val="16"/>
                <w:szCs w:val="16"/>
              </w:rPr>
              <w:t>Total outcome</w:t>
            </w:r>
          </w:p>
        </w:tc>
        <w:tc>
          <w:tcPr>
            <w:tcW w:w="1033"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190,016</w:t>
            </w:r>
          </w:p>
        </w:tc>
        <w:tc>
          <w:tcPr>
            <w:tcW w:w="1058"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206,016</w:t>
            </w:r>
          </w:p>
        </w:tc>
        <w:tc>
          <w:tcPr>
            <w:tcW w:w="1175"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201,016</w:t>
            </w:r>
          </w:p>
        </w:tc>
        <w:tc>
          <w:tcPr>
            <w:tcW w:w="824"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122,026</w:t>
            </w:r>
          </w:p>
        </w:tc>
        <w:tc>
          <w:tcPr>
            <w:tcW w:w="1005"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right"/>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719,074</w:t>
            </w:r>
          </w:p>
        </w:tc>
        <w:tc>
          <w:tcPr>
            <w:tcW w:w="844" w:type="dxa"/>
            <w:tcBorders>
              <w:top w:val="nil"/>
              <w:left w:val="nil"/>
              <w:bottom w:val="single" w:sz="8" w:space="0" w:color="auto"/>
              <w:right w:val="single" w:sz="8" w:space="0" w:color="auto"/>
            </w:tcBorders>
            <w:shd w:val="clear" w:color="000000" w:fill="FCE4D6"/>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r>
      <w:tr w:rsidR="008C776C" w:rsidRPr="008C776C" w:rsidTr="00B436AD">
        <w:trPr>
          <w:trHeight w:val="300"/>
        </w:trPr>
        <w:tc>
          <w:tcPr>
            <w:tcW w:w="1547" w:type="dxa"/>
            <w:vMerge w:val="restart"/>
            <w:tcBorders>
              <w:top w:val="nil"/>
              <w:left w:val="single" w:sz="8" w:space="0" w:color="auto"/>
              <w:bottom w:val="nil"/>
              <w:right w:val="single" w:sz="8" w:space="0" w:color="auto"/>
            </w:tcBorders>
            <w:shd w:val="clear" w:color="000000" w:fill="D6DCE4"/>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Project management</w:t>
            </w:r>
          </w:p>
        </w:tc>
        <w:tc>
          <w:tcPr>
            <w:tcW w:w="1264" w:type="dxa"/>
            <w:vMerge w:val="restart"/>
            <w:tcBorders>
              <w:top w:val="nil"/>
              <w:left w:val="single" w:sz="8" w:space="0" w:color="auto"/>
              <w:bottom w:val="nil"/>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UNDP</w:t>
            </w:r>
          </w:p>
        </w:tc>
        <w:tc>
          <w:tcPr>
            <w:tcW w:w="814" w:type="dxa"/>
            <w:vMerge w:val="restart"/>
            <w:tcBorders>
              <w:top w:val="nil"/>
              <w:left w:val="single" w:sz="8" w:space="0" w:color="auto"/>
              <w:bottom w:val="nil"/>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62000</w:t>
            </w:r>
          </w:p>
        </w:tc>
        <w:tc>
          <w:tcPr>
            <w:tcW w:w="690" w:type="dxa"/>
            <w:vMerge w:val="restart"/>
            <w:tcBorders>
              <w:top w:val="nil"/>
              <w:left w:val="single" w:sz="8" w:space="0" w:color="auto"/>
              <w:bottom w:val="nil"/>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GEF</w:t>
            </w: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International consultants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 </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71400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Contractual services - individual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106,066</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106,066</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106,066</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106,066</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424264</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24</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72300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Local consultants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71600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Travel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2,025</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2,025</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2,025</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2,205</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8280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25</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74100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Professional Services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4,000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4,000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3,000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15000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26</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 xml:space="preserve">Equipment and furniture </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5000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27</w:t>
            </w: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72500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highlight w:val="yellow"/>
              </w:rPr>
            </w:pPr>
            <w:r w:rsidRPr="008C776C">
              <w:rPr>
                <w:rFonts w:eastAsia="Times New Roman" w:cs="Calibri"/>
                <w:color w:val="000000"/>
                <w:sz w:val="16"/>
                <w:szCs w:val="16"/>
                <w:highlight w:val="yellow"/>
              </w:rPr>
              <w:t>Supplies</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highlight w:val="yellow"/>
              </w:rPr>
            </w:pPr>
            <w:r w:rsidRPr="008C776C">
              <w:rPr>
                <w:rFonts w:eastAsia="Times New Roman" w:cs="Calibri"/>
                <w:color w:val="000000"/>
                <w:sz w:val="16"/>
                <w:szCs w:val="16"/>
                <w:highlight w:val="yellow"/>
              </w:rPr>
              <w:t>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highlight w:val="yellow"/>
              </w:rPr>
            </w:pPr>
            <w:r w:rsidRPr="008C776C">
              <w:rPr>
                <w:rFonts w:eastAsia="Times New Roman" w:cs="Calibri"/>
                <w:color w:val="000000"/>
                <w:sz w:val="16"/>
                <w:szCs w:val="16"/>
                <w:highlight w:val="yellow"/>
              </w:rPr>
              <w:t>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p>
        </w:tc>
      </w:tr>
      <w:tr w:rsidR="008C776C" w:rsidRPr="008C776C" w:rsidTr="00B436AD">
        <w:trPr>
          <w:trHeight w:val="300"/>
        </w:trPr>
        <w:tc>
          <w:tcPr>
            <w:tcW w:w="1547"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126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814"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690" w:type="dxa"/>
            <w:vMerge/>
            <w:tcBorders>
              <w:top w:val="nil"/>
              <w:left w:val="single" w:sz="8" w:space="0" w:color="auto"/>
              <w:bottom w:val="nil"/>
              <w:right w:val="single" w:sz="8" w:space="0" w:color="auto"/>
            </w:tcBorders>
            <w:vAlign w:val="center"/>
            <w:hideMark/>
          </w:tcPr>
          <w:p w:rsidR="008C776C" w:rsidRPr="008C776C" w:rsidRDefault="008C776C" w:rsidP="008C776C">
            <w:pPr>
              <w:spacing w:after="0"/>
              <w:jc w:val="left"/>
              <w:rPr>
                <w:rFonts w:eastAsia="Times New Roman" w:cs="Calibri"/>
                <w:color w:val="000000"/>
                <w:sz w:val="16"/>
                <w:szCs w:val="16"/>
              </w:rPr>
            </w:pPr>
          </w:p>
        </w:tc>
        <w:tc>
          <w:tcPr>
            <w:tcW w:w="987"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74200</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color w:val="000000"/>
                <w:sz w:val="16"/>
                <w:szCs w:val="16"/>
              </w:rPr>
            </w:pPr>
            <w:r w:rsidRPr="008C776C">
              <w:rPr>
                <w:rFonts w:eastAsia="Times New Roman" w:cs="Calibri"/>
                <w:color w:val="000000"/>
                <w:sz w:val="16"/>
                <w:szCs w:val="16"/>
              </w:rPr>
              <w:t>AV &amp; printing cost</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500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color w:val="000000"/>
                <w:sz w:val="16"/>
                <w:szCs w:val="16"/>
              </w:rPr>
            </w:pPr>
            <w:r w:rsidRPr="008C776C">
              <w:rPr>
                <w:rFonts w:eastAsia="Times New Roman" w:cs="Calibri"/>
                <w:color w:val="000000"/>
                <w:sz w:val="16"/>
                <w:szCs w:val="16"/>
              </w:rPr>
              <w:t>2000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6</w:t>
            </w:r>
          </w:p>
        </w:tc>
      </w:tr>
      <w:tr w:rsidR="008C776C" w:rsidRPr="008C776C" w:rsidTr="00B436AD">
        <w:trPr>
          <w:trHeight w:val="300"/>
        </w:trPr>
        <w:tc>
          <w:tcPr>
            <w:tcW w:w="1547" w:type="dxa"/>
            <w:tcBorders>
              <w:top w:val="nil"/>
              <w:left w:val="single" w:sz="8" w:space="0" w:color="auto"/>
              <w:bottom w:val="single" w:sz="8" w:space="0" w:color="auto"/>
              <w:right w:val="nil"/>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264" w:type="dxa"/>
            <w:tcBorders>
              <w:top w:val="nil"/>
              <w:left w:val="nil"/>
              <w:bottom w:val="single" w:sz="8" w:space="0" w:color="auto"/>
              <w:right w:val="nil"/>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14" w:type="dxa"/>
            <w:tcBorders>
              <w:top w:val="nil"/>
              <w:left w:val="nil"/>
              <w:bottom w:val="single" w:sz="8" w:space="0" w:color="auto"/>
              <w:right w:val="nil"/>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690" w:type="dxa"/>
            <w:tcBorders>
              <w:top w:val="nil"/>
              <w:left w:val="nil"/>
              <w:bottom w:val="single" w:sz="8" w:space="0" w:color="auto"/>
              <w:right w:val="nil"/>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987" w:type="dxa"/>
            <w:tcBorders>
              <w:top w:val="nil"/>
              <w:left w:val="nil"/>
              <w:bottom w:val="single" w:sz="8" w:space="0" w:color="auto"/>
              <w:right w:val="single" w:sz="8" w:space="0" w:color="000000"/>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699"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left"/>
              <w:rPr>
                <w:rFonts w:eastAsia="Times New Roman" w:cs="Calibri"/>
                <w:b/>
                <w:bCs/>
                <w:color w:val="000000"/>
                <w:sz w:val="16"/>
                <w:szCs w:val="16"/>
              </w:rPr>
            </w:pPr>
            <w:r w:rsidRPr="008C776C">
              <w:rPr>
                <w:rFonts w:eastAsia="Times New Roman" w:cs="Calibri"/>
                <w:b/>
                <w:bCs/>
                <w:color w:val="000000"/>
                <w:sz w:val="16"/>
                <w:szCs w:val="16"/>
              </w:rPr>
              <w:t>Total PM</w:t>
            </w:r>
          </w:p>
        </w:tc>
        <w:tc>
          <w:tcPr>
            <w:tcW w:w="1033"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117,591</w:t>
            </w:r>
          </w:p>
        </w:tc>
        <w:tc>
          <w:tcPr>
            <w:tcW w:w="1058"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112,591</w:t>
            </w:r>
          </w:p>
        </w:tc>
        <w:tc>
          <w:tcPr>
            <w:tcW w:w="1175"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112,591</w:t>
            </w:r>
          </w:p>
        </w:tc>
        <w:tc>
          <w:tcPr>
            <w:tcW w:w="824"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center"/>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111,771</w:t>
            </w:r>
          </w:p>
        </w:tc>
        <w:tc>
          <w:tcPr>
            <w:tcW w:w="1005"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right"/>
              <w:rPr>
                <w:rFonts w:eastAsia="Times New Roman" w:cs="Calibri"/>
                <w:b/>
                <w:bCs/>
                <w:color w:val="000000"/>
                <w:sz w:val="16"/>
                <w:szCs w:val="16"/>
                <w:highlight w:val="yellow"/>
              </w:rPr>
            </w:pPr>
            <w:r w:rsidRPr="008C776C">
              <w:rPr>
                <w:rFonts w:eastAsia="Times New Roman" w:cs="Calibri"/>
                <w:b/>
                <w:bCs/>
                <w:color w:val="000000"/>
                <w:sz w:val="16"/>
                <w:szCs w:val="16"/>
                <w:highlight w:val="yellow"/>
              </w:rPr>
              <w:t>454,544</w:t>
            </w:r>
          </w:p>
        </w:tc>
        <w:tc>
          <w:tcPr>
            <w:tcW w:w="844" w:type="dxa"/>
            <w:tcBorders>
              <w:top w:val="nil"/>
              <w:left w:val="nil"/>
              <w:bottom w:val="single" w:sz="8" w:space="0" w:color="auto"/>
              <w:right w:val="single" w:sz="8" w:space="0" w:color="auto"/>
            </w:tcBorders>
            <w:shd w:val="clear" w:color="000000" w:fill="D6DCE4"/>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r>
      <w:tr w:rsidR="008C776C" w:rsidRPr="008C776C" w:rsidTr="00B436AD">
        <w:trPr>
          <w:trHeight w:val="300"/>
        </w:trPr>
        <w:tc>
          <w:tcPr>
            <w:tcW w:w="1547" w:type="dxa"/>
            <w:tcBorders>
              <w:top w:val="nil"/>
              <w:left w:val="single" w:sz="8" w:space="0" w:color="auto"/>
              <w:bottom w:val="single" w:sz="8" w:space="0" w:color="auto"/>
              <w:right w:val="nil"/>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264" w:type="dxa"/>
            <w:tcBorders>
              <w:top w:val="nil"/>
              <w:left w:val="nil"/>
              <w:bottom w:val="single" w:sz="8" w:space="0" w:color="auto"/>
              <w:right w:val="nil"/>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814" w:type="dxa"/>
            <w:tcBorders>
              <w:top w:val="nil"/>
              <w:left w:val="nil"/>
              <w:bottom w:val="single" w:sz="8" w:space="0" w:color="auto"/>
              <w:right w:val="nil"/>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690" w:type="dxa"/>
            <w:tcBorders>
              <w:top w:val="nil"/>
              <w:left w:val="nil"/>
              <w:bottom w:val="single" w:sz="8" w:space="0" w:color="auto"/>
              <w:right w:val="nil"/>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987" w:type="dxa"/>
            <w:tcBorders>
              <w:top w:val="nil"/>
              <w:left w:val="nil"/>
              <w:bottom w:val="single" w:sz="8" w:space="0" w:color="auto"/>
              <w:right w:val="single" w:sz="8" w:space="0" w:color="000000"/>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c>
          <w:tcPr>
            <w:tcW w:w="1699"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left"/>
              <w:rPr>
                <w:rFonts w:eastAsia="Times New Roman" w:cs="Calibri"/>
                <w:b/>
                <w:bCs/>
                <w:i/>
                <w:iCs/>
                <w:color w:val="000000"/>
                <w:sz w:val="16"/>
                <w:szCs w:val="16"/>
              </w:rPr>
            </w:pPr>
            <w:r w:rsidRPr="008C776C">
              <w:rPr>
                <w:rFonts w:eastAsia="Times New Roman" w:cs="Calibri"/>
                <w:b/>
                <w:bCs/>
                <w:i/>
                <w:iCs/>
                <w:color w:val="000000"/>
                <w:sz w:val="16"/>
                <w:szCs w:val="16"/>
              </w:rPr>
              <w:t>PROJECT TOTAL</w:t>
            </w:r>
          </w:p>
        </w:tc>
        <w:tc>
          <w:tcPr>
            <w:tcW w:w="1033"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b/>
                <w:bCs/>
                <w:i/>
                <w:iCs/>
                <w:color w:val="000000"/>
                <w:sz w:val="16"/>
                <w:szCs w:val="16"/>
                <w:highlight w:val="yellow"/>
              </w:rPr>
            </w:pPr>
            <w:r w:rsidRPr="008C776C">
              <w:rPr>
                <w:rFonts w:eastAsia="Times New Roman" w:cs="Calibri"/>
                <w:b/>
                <w:bCs/>
                <w:i/>
                <w:iCs/>
                <w:color w:val="000000"/>
                <w:sz w:val="16"/>
                <w:szCs w:val="16"/>
                <w:highlight w:val="yellow"/>
              </w:rPr>
              <w:t>1,292,390</w:t>
            </w:r>
          </w:p>
        </w:tc>
        <w:tc>
          <w:tcPr>
            <w:tcW w:w="1058"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b/>
                <w:bCs/>
                <w:i/>
                <w:iCs/>
                <w:color w:val="000000"/>
                <w:sz w:val="16"/>
                <w:szCs w:val="16"/>
                <w:highlight w:val="yellow"/>
              </w:rPr>
            </w:pPr>
            <w:r w:rsidRPr="008C776C">
              <w:rPr>
                <w:rFonts w:eastAsia="Times New Roman" w:cs="Calibri"/>
                <w:b/>
                <w:bCs/>
                <w:i/>
                <w:iCs/>
                <w:color w:val="000000"/>
                <w:sz w:val="16"/>
                <w:szCs w:val="16"/>
                <w:highlight w:val="yellow"/>
              </w:rPr>
              <w:t>1,319,390</w:t>
            </w:r>
          </w:p>
        </w:tc>
        <w:tc>
          <w:tcPr>
            <w:tcW w:w="1175"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b/>
                <w:bCs/>
                <w:i/>
                <w:iCs/>
                <w:color w:val="000000"/>
                <w:sz w:val="16"/>
                <w:szCs w:val="16"/>
                <w:highlight w:val="yellow"/>
              </w:rPr>
            </w:pPr>
            <w:r w:rsidRPr="008C776C">
              <w:rPr>
                <w:rFonts w:eastAsia="Times New Roman" w:cs="Calibri"/>
                <w:b/>
                <w:bCs/>
                <w:i/>
                <w:iCs/>
                <w:color w:val="000000"/>
                <w:sz w:val="16"/>
                <w:szCs w:val="16"/>
                <w:highlight w:val="yellow"/>
              </w:rPr>
              <w:t>1,405,890</w:t>
            </w:r>
          </w:p>
        </w:tc>
        <w:tc>
          <w:tcPr>
            <w:tcW w:w="82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b/>
                <w:bCs/>
                <w:i/>
                <w:iCs/>
                <w:color w:val="000000"/>
                <w:sz w:val="16"/>
                <w:szCs w:val="16"/>
                <w:highlight w:val="yellow"/>
              </w:rPr>
            </w:pPr>
            <w:r w:rsidRPr="008C776C">
              <w:rPr>
                <w:rFonts w:eastAsia="Times New Roman" w:cs="Calibri"/>
                <w:b/>
                <w:bCs/>
                <w:i/>
                <w:iCs/>
                <w:color w:val="000000"/>
                <w:sz w:val="16"/>
                <w:szCs w:val="16"/>
                <w:highlight w:val="yellow"/>
              </w:rPr>
              <w:t>982,330</w:t>
            </w:r>
          </w:p>
        </w:tc>
        <w:tc>
          <w:tcPr>
            <w:tcW w:w="1005" w:type="dxa"/>
            <w:tcBorders>
              <w:top w:val="nil"/>
              <w:left w:val="nil"/>
              <w:bottom w:val="single" w:sz="8" w:space="0" w:color="auto"/>
              <w:right w:val="single" w:sz="8" w:space="0" w:color="auto"/>
            </w:tcBorders>
            <w:shd w:val="clear" w:color="000000" w:fill="F2F2F2"/>
            <w:noWrap/>
            <w:vAlign w:val="center"/>
            <w:hideMark/>
          </w:tcPr>
          <w:p w:rsidR="008C776C" w:rsidRPr="008C776C" w:rsidRDefault="008C776C" w:rsidP="008C776C">
            <w:pPr>
              <w:spacing w:after="0"/>
              <w:jc w:val="right"/>
              <w:rPr>
                <w:rFonts w:eastAsia="Times New Roman" w:cs="Calibri"/>
                <w:b/>
                <w:bCs/>
                <w:i/>
                <w:iCs/>
                <w:color w:val="000000"/>
                <w:sz w:val="16"/>
                <w:szCs w:val="16"/>
                <w:highlight w:val="yellow"/>
              </w:rPr>
            </w:pPr>
            <w:r w:rsidRPr="008C776C">
              <w:rPr>
                <w:rFonts w:eastAsia="Times New Roman" w:cs="Calibri"/>
                <w:b/>
                <w:bCs/>
                <w:i/>
                <w:iCs/>
                <w:color w:val="000000"/>
                <w:sz w:val="16"/>
                <w:szCs w:val="16"/>
                <w:highlight w:val="yellow"/>
              </w:rPr>
              <w:t>5,000,000</w:t>
            </w:r>
          </w:p>
        </w:tc>
        <w:tc>
          <w:tcPr>
            <w:tcW w:w="844" w:type="dxa"/>
            <w:tcBorders>
              <w:top w:val="nil"/>
              <w:left w:val="nil"/>
              <w:bottom w:val="single" w:sz="8" w:space="0" w:color="auto"/>
              <w:right w:val="single" w:sz="8" w:space="0" w:color="auto"/>
            </w:tcBorders>
            <w:shd w:val="clear" w:color="auto" w:fill="auto"/>
            <w:noWrap/>
            <w:vAlign w:val="center"/>
            <w:hideMark/>
          </w:tcPr>
          <w:p w:rsidR="008C776C" w:rsidRPr="008C776C" w:rsidRDefault="008C776C" w:rsidP="008C776C">
            <w:pPr>
              <w:spacing w:after="0"/>
              <w:jc w:val="center"/>
              <w:rPr>
                <w:rFonts w:eastAsia="Times New Roman" w:cs="Calibri"/>
                <w:color w:val="000000"/>
                <w:sz w:val="16"/>
                <w:szCs w:val="16"/>
              </w:rPr>
            </w:pPr>
            <w:r w:rsidRPr="008C776C">
              <w:rPr>
                <w:rFonts w:eastAsia="Times New Roman" w:cs="Calibri"/>
                <w:color w:val="000000"/>
                <w:sz w:val="16"/>
                <w:szCs w:val="16"/>
              </w:rPr>
              <w:t> </w:t>
            </w:r>
          </w:p>
        </w:tc>
      </w:tr>
    </w:tbl>
    <w:p w:rsidR="00625F44" w:rsidRDefault="00625F44" w:rsidP="005B5391">
      <w:pPr>
        <w:rPr>
          <w:rFonts w:cs="Arial"/>
          <w:noProof/>
          <w:szCs w:val="20"/>
          <w:lang w:val="en-GB" w:eastAsia="zh-CN"/>
        </w:rPr>
      </w:pPr>
    </w:p>
    <w:p w:rsidR="00625F44" w:rsidRDefault="00625F44" w:rsidP="005B5391">
      <w:pPr>
        <w:rPr>
          <w:rFonts w:cs="Arial"/>
          <w:noProof/>
          <w:szCs w:val="20"/>
          <w:lang w:val="en-GB" w:eastAsia="zh-CN"/>
        </w:rPr>
      </w:pPr>
    </w:p>
    <w:p w:rsidR="008062CB" w:rsidRPr="00666B27" w:rsidRDefault="008062CB" w:rsidP="005B5391">
      <w:pPr>
        <w:rPr>
          <w:rFonts w:cs="Arial"/>
          <w:noProof/>
          <w:szCs w:val="20"/>
          <w:lang w:val="en-GB" w:eastAsia="zh-CN"/>
        </w:rPr>
      </w:pPr>
    </w:p>
    <w:tbl>
      <w:tblPr>
        <w:tblW w:w="11460" w:type="dxa"/>
        <w:tblInd w:w="70" w:type="dxa"/>
        <w:tblCellMar>
          <w:left w:w="70" w:type="dxa"/>
          <w:right w:w="70" w:type="dxa"/>
        </w:tblCellMar>
        <w:tblLook w:val="04A0" w:firstRow="1" w:lastRow="0" w:firstColumn="1" w:lastColumn="0" w:noHBand="0" w:noVBand="1"/>
      </w:tblPr>
      <w:tblGrid>
        <w:gridCol w:w="948"/>
        <w:gridCol w:w="1472"/>
        <w:gridCol w:w="960"/>
        <w:gridCol w:w="960"/>
        <w:gridCol w:w="1360"/>
        <w:gridCol w:w="960"/>
        <w:gridCol w:w="960"/>
        <w:gridCol w:w="960"/>
        <w:gridCol w:w="960"/>
        <w:gridCol w:w="960"/>
        <w:gridCol w:w="960"/>
      </w:tblGrid>
      <w:tr w:rsidR="00F4042B" w:rsidRPr="00F4042B" w:rsidTr="00F4042B">
        <w:trPr>
          <w:trHeight w:val="735"/>
        </w:trPr>
        <w:tc>
          <w:tcPr>
            <w:tcW w:w="96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 </w:t>
            </w:r>
          </w:p>
        </w:tc>
        <w:tc>
          <w:tcPr>
            <w:tcW w:w="14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left"/>
              <w:rPr>
                <w:rFonts w:eastAsia="Times New Roman"/>
                <w:b/>
                <w:bCs/>
                <w:color w:val="000000"/>
                <w:sz w:val="18"/>
                <w:szCs w:val="18"/>
                <w:lang w:val="fr-FR" w:eastAsia="fr-FR"/>
              </w:rPr>
            </w:pPr>
            <w:r w:rsidRPr="00F4042B">
              <w:rPr>
                <w:rFonts w:eastAsia="Times New Roman" w:cs="Calibri"/>
                <w:b/>
                <w:bCs/>
                <w:color w:val="000000"/>
                <w:sz w:val="18"/>
                <w:szCs w:val="18"/>
                <w:lang w:eastAsia="fr-FR"/>
              </w:rPr>
              <w:t>GEF Component/Atlas Activity</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Executing agency</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Donor Name</w:t>
            </w:r>
          </w:p>
        </w:tc>
        <w:tc>
          <w:tcPr>
            <w:tcW w:w="13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 xml:space="preserve"> Budget Description</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Amount Year 1 (USD)</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Amount Year 2 (USD)</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Amount Year 3 (USD)</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 xml:space="preserve">Amount </w:t>
            </w:r>
            <w:r w:rsidR="00C9319D">
              <w:rPr>
                <w:rFonts w:eastAsia="Times New Roman" w:cs="Calibri"/>
                <w:b/>
                <w:bCs/>
                <w:color w:val="000000"/>
                <w:sz w:val="18"/>
                <w:szCs w:val="18"/>
                <w:lang w:eastAsia="fr-FR"/>
              </w:rPr>
              <w:t xml:space="preserve">Year </w:t>
            </w:r>
            <w:proofErr w:type="gramStart"/>
            <w:r w:rsidR="00C9319D">
              <w:rPr>
                <w:rFonts w:eastAsia="Times New Roman" w:cs="Calibri"/>
                <w:b/>
                <w:bCs/>
                <w:color w:val="000000"/>
                <w:sz w:val="18"/>
                <w:szCs w:val="18"/>
                <w:lang w:eastAsia="fr-FR"/>
              </w:rPr>
              <w:t>4</w:t>
            </w:r>
            <w:r w:rsidRPr="00F4042B">
              <w:rPr>
                <w:rFonts w:eastAsia="Times New Roman" w:cs="Calibri"/>
                <w:b/>
                <w:bCs/>
                <w:color w:val="000000"/>
                <w:sz w:val="18"/>
                <w:szCs w:val="18"/>
                <w:lang w:eastAsia="fr-FR"/>
              </w:rPr>
              <w:t xml:space="preserve">  (</w:t>
            </w:r>
            <w:proofErr w:type="gramEnd"/>
            <w:r w:rsidRPr="00F4042B">
              <w:rPr>
                <w:rFonts w:eastAsia="Times New Roman" w:cs="Calibri"/>
                <w:b/>
                <w:bCs/>
                <w:color w:val="000000"/>
                <w:sz w:val="18"/>
                <w:szCs w:val="18"/>
                <w:lang w:eastAsia="fr-FR"/>
              </w:rPr>
              <w:t>USD)</w:t>
            </w:r>
          </w:p>
        </w:tc>
        <w:tc>
          <w:tcPr>
            <w:tcW w:w="960" w:type="dxa"/>
            <w:tcBorders>
              <w:top w:val="single" w:sz="8" w:space="0" w:color="auto"/>
              <w:left w:val="nil"/>
              <w:bottom w:val="single" w:sz="8" w:space="0" w:color="auto"/>
              <w:right w:val="single" w:sz="8" w:space="0" w:color="auto"/>
            </w:tcBorders>
            <w:shd w:val="clear" w:color="000000" w:fill="F2F2F2"/>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Total (USD)</w:t>
            </w:r>
          </w:p>
        </w:tc>
        <w:tc>
          <w:tcPr>
            <w:tcW w:w="960" w:type="dxa"/>
            <w:tcBorders>
              <w:top w:val="single" w:sz="8" w:space="0" w:color="auto"/>
              <w:left w:val="nil"/>
              <w:bottom w:val="single" w:sz="8" w:space="0" w:color="auto"/>
              <w:right w:val="single" w:sz="8" w:space="0" w:color="auto"/>
            </w:tcBorders>
            <w:shd w:val="clear" w:color="auto" w:fill="auto"/>
            <w:vAlign w:val="center"/>
            <w:hideMark/>
          </w:tcPr>
          <w:p w:rsidR="00F4042B" w:rsidRPr="00F4042B" w:rsidRDefault="00F4042B" w:rsidP="00F4042B">
            <w:pPr>
              <w:spacing w:after="0"/>
              <w:jc w:val="center"/>
              <w:rPr>
                <w:rFonts w:eastAsia="Times New Roman"/>
                <w:b/>
                <w:bCs/>
                <w:color w:val="000000"/>
                <w:sz w:val="18"/>
                <w:szCs w:val="18"/>
                <w:lang w:val="fr-FR" w:eastAsia="fr-FR"/>
              </w:rPr>
            </w:pPr>
            <w:r w:rsidRPr="00F4042B">
              <w:rPr>
                <w:rFonts w:eastAsia="Times New Roman" w:cs="Calibri"/>
                <w:b/>
                <w:bCs/>
                <w:color w:val="000000"/>
                <w:sz w:val="18"/>
                <w:szCs w:val="18"/>
                <w:lang w:eastAsia="fr-FR"/>
              </w:rPr>
              <w:t>Budget Note:</w:t>
            </w:r>
          </w:p>
        </w:tc>
      </w:tr>
      <w:tr w:rsidR="00F4042B" w:rsidRPr="00F4042B" w:rsidTr="00F4042B">
        <w:trPr>
          <w:trHeight w:val="315"/>
        </w:trPr>
        <w:tc>
          <w:tcPr>
            <w:tcW w:w="960" w:type="dxa"/>
            <w:vMerge w:val="restart"/>
            <w:tcBorders>
              <w:top w:val="nil"/>
              <w:left w:val="single" w:sz="8" w:space="0" w:color="auto"/>
              <w:bottom w:val="single" w:sz="8" w:space="0" w:color="000000"/>
              <w:right w:val="single" w:sz="8" w:space="0" w:color="auto"/>
            </w:tcBorders>
            <w:shd w:val="clear" w:color="000000" w:fill="FCE4D6"/>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 </w:t>
            </w:r>
          </w:p>
        </w:tc>
        <w:tc>
          <w:tcPr>
            <w:tcW w:w="1460" w:type="dxa"/>
            <w:vMerge w:val="restart"/>
            <w:tcBorders>
              <w:top w:val="nil"/>
              <w:left w:val="single" w:sz="8" w:space="0" w:color="auto"/>
              <w:bottom w:val="single" w:sz="8" w:space="0" w:color="000000"/>
              <w:right w:val="single" w:sz="8" w:space="0" w:color="auto"/>
            </w:tcBorders>
            <w:shd w:val="clear" w:color="auto" w:fill="auto"/>
            <w:vAlign w:val="center"/>
            <w:hideMark/>
          </w:tcPr>
          <w:p w:rsidR="00F4042B" w:rsidRPr="00F4042B" w:rsidRDefault="00F4042B" w:rsidP="00F4042B">
            <w:pPr>
              <w:spacing w:after="0"/>
              <w:jc w:val="left"/>
              <w:rPr>
                <w:rFonts w:eastAsia="Times New Roman"/>
                <w:color w:val="000000"/>
                <w:sz w:val="18"/>
                <w:szCs w:val="18"/>
                <w:lang w:eastAsia="fr-FR"/>
              </w:rPr>
            </w:pPr>
            <w:r w:rsidRPr="00F4042B">
              <w:rPr>
                <w:rFonts w:eastAsia="Times New Roman" w:cs="Calibri"/>
                <w:color w:val="000000"/>
                <w:sz w:val="18"/>
                <w:szCs w:val="18"/>
                <w:lang w:eastAsia="fr-FR"/>
              </w:rPr>
              <w:t xml:space="preserve">Outcome 3: Financial support </w:t>
            </w:r>
            <w:proofErr w:type="spellStart"/>
            <w:r w:rsidRPr="00F4042B">
              <w:rPr>
                <w:rFonts w:eastAsia="Times New Roman" w:cs="Calibri"/>
                <w:color w:val="000000"/>
                <w:sz w:val="18"/>
                <w:szCs w:val="18"/>
                <w:lang w:eastAsia="fr-FR"/>
              </w:rPr>
              <w:t>programmes</w:t>
            </w:r>
            <w:proofErr w:type="spellEnd"/>
            <w:r w:rsidRPr="00F4042B">
              <w:rPr>
                <w:rFonts w:eastAsia="Times New Roman" w:cs="Calibri"/>
                <w:color w:val="000000"/>
                <w:sz w:val="18"/>
                <w:szCs w:val="18"/>
                <w:lang w:eastAsia="fr-FR"/>
              </w:rPr>
              <w:t xml:space="preserve"> designed and operational</w:t>
            </w:r>
          </w:p>
        </w:tc>
        <w:tc>
          <w:tcPr>
            <w:tcW w:w="9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DBSA</w:t>
            </w:r>
          </w:p>
        </w:tc>
        <w:tc>
          <w:tcPr>
            <w:tcW w:w="960"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GEF</w:t>
            </w: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r w:rsidRPr="00F4042B">
              <w:rPr>
                <w:rFonts w:eastAsia="Times New Roman" w:cs="Calibri"/>
                <w:color w:val="000000"/>
                <w:sz w:val="16"/>
                <w:szCs w:val="16"/>
                <w:lang w:eastAsia="fr-FR"/>
              </w:rPr>
              <w:t>Staff</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154,000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154,000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154,000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154,000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6</w:t>
            </w:r>
            <w:r w:rsidR="00C9319D">
              <w:rPr>
                <w:rFonts w:eastAsia="Times New Roman" w:cs="Calibri"/>
                <w:color w:val="000000"/>
                <w:sz w:val="18"/>
                <w:szCs w:val="18"/>
                <w:lang w:eastAsia="fr-FR"/>
              </w:rPr>
              <w:t>1</w:t>
            </w:r>
            <w:r w:rsidRPr="00F4042B">
              <w:rPr>
                <w:rFonts w:eastAsia="Times New Roman" w:cs="Calibri"/>
                <w:color w:val="000000"/>
                <w:sz w:val="18"/>
                <w:szCs w:val="18"/>
                <w:lang w:eastAsia="fr-FR"/>
              </w:rPr>
              <w:t>6,000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1</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8"/>
                <w:szCs w:val="18"/>
                <w:lang w:val="fr-FR" w:eastAsia="fr-FR"/>
              </w:rPr>
            </w:pPr>
            <w:r w:rsidRPr="00F4042B">
              <w:rPr>
                <w:rFonts w:eastAsia="Times New Roman" w:cs="Calibri"/>
                <w:color w:val="000000"/>
                <w:sz w:val="18"/>
                <w:szCs w:val="18"/>
                <w:lang w:eastAsia="fr-FR"/>
              </w:rPr>
              <w:t>Consultants</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50,000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40,000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30,000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22,500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142,500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2</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r w:rsidRPr="00F4042B">
              <w:rPr>
                <w:rFonts w:eastAsia="Times New Roman" w:cs="Calibri"/>
                <w:color w:val="000000"/>
                <w:sz w:val="16"/>
                <w:szCs w:val="16"/>
                <w:lang w:eastAsia="fr-FR"/>
              </w:rPr>
              <w:t>Travel</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15,000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13,000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12,000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7,250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47,250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3</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r w:rsidRPr="00F4042B">
              <w:rPr>
                <w:rFonts w:eastAsia="Times New Roman" w:cs="Calibri"/>
                <w:color w:val="000000"/>
                <w:sz w:val="16"/>
                <w:szCs w:val="16"/>
                <w:lang w:eastAsia="fr-FR"/>
              </w:rPr>
              <w:t>Operating</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40,000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45,000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35,000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36,000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156,000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4</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r w:rsidRPr="00F4042B">
              <w:rPr>
                <w:rFonts w:eastAsia="Times New Roman" w:cs="Calibri"/>
                <w:color w:val="000000"/>
                <w:sz w:val="16"/>
                <w:szCs w:val="16"/>
                <w:lang w:eastAsia="fr-FR"/>
              </w:rPr>
              <w:t>Equipment</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15,000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6,000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21,000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5</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r w:rsidRPr="00F4042B">
              <w:rPr>
                <w:rFonts w:eastAsia="Times New Roman" w:cs="Calibri"/>
                <w:color w:val="000000"/>
                <w:sz w:val="16"/>
                <w:szCs w:val="16"/>
                <w:lang w:eastAsia="fr-FR"/>
              </w:rPr>
              <w:t>Grant</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800,000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1,100,000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1,200,000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900,000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4,000,000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6</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3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left"/>
              <w:rPr>
                <w:rFonts w:eastAsia="Times New Roman"/>
                <w:color w:val="000000"/>
                <w:sz w:val="16"/>
                <w:szCs w:val="16"/>
                <w:lang w:val="fr-FR" w:eastAsia="fr-FR"/>
              </w:rPr>
            </w:pPr>
            <w:proofErr w:type="spellStart"/>
            <w:r w:rsidRPr="00F4042B">
              <w:rPr>
                <w:rFonts w:eastAsia="Times New Roman" w:cs="Calibri"/>
                <w:color w:val="000000"/>
                <w:sz w:val="16"/>
                <w:szCs w:val="16"/>
                <w:lang w:eastAsia="fr-FR"/>
              </w:rPr>
              <w:t>Misc</w:t>
            </w:r>
            <w:proofErr w:type="spellEnd"/>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7,500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5,000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right"/>
              <w:rPr>
                <w:rFonts w:eastAsia="Times New Roman"/>
                <w:color w:val="000000"/>
                <w:sz w:val="18"/>
                <w:szCs w:val="18"/>
                <w:lang w:val="fr-FR" w:eastAsia="fr-FR"/>
              </w:rPr>
            </w:pPr>
            <w:r w:rsidRPr="00F4042B">
              <w:rPr>
                <w:rFonts w:eastAsia="Times New Roman" w:cs="Calibri"/>
                <w:color w:val="000000"/>
                <w:sz w:val="18"/>
                <w:szCs w:val="18"/>
                <w:lang w:eastAsia="fr-FR"/>
              </w:rPr>
              <w:t>2,500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1,750</w:t>
            </w:r>
          </w:p>
        </w:tc>
        <w:tc>
          <w:tcPr>
            <w:tcW w:w="960" w:type="dxa"/>
            <w:tcBorders>
              <w:top w:val="nil"/>
              <w:left w:val="nil"/>
              <w:bottom w:val="single" w:sz="8" w:space="0" w:color="auto"/>
              <w:right w:val="single" w:sz="8" w:space="0" w:color="auto"/>
            </w:tcBorders>
            <w:shd w:val="clear" w:color="000000" w:fill="F2F2F2"/>
            <w:noWrap/>
            <w:vAlign w:val="center"/>
            <w:hideMark/>
          </w:tcPr>
          <w:p w:rsidR="00F4042B" w:rsidRPr="00F4042B" w:rsidRDefault="00C9319D" w:rsidP="00F4042B">
            <w:pPr>
              <w:spacing w:after="0"/>
              <w:jc w:val="right"/>
              <w:rPr>
                <w:rFonts w:eastAsia="Times New Roman"/>
                <w:color w:val="000000"/>
                <w:sz w:val="18"/>
                <w:szCs w:val="18"/>
                <w:lang w:val="fr-FR" w:eastAsia="fr-FR"/>
              </w:rPr>
            </w:pPr>
            <w:r>
              <w:rPr>
                <w:rFonts w:eastAsia="Times New Roman" w:cs="Calibri"/>
                <w:color w:val="000000"/>
                <w:sz w:val="18"/>
                <w:szCs w:val="18"/>
                <w:lang w:eastAsia="fr-FR"/>
              </w:rPr>
              <w:t>16,750</w:t>
            </w:r>
          </w:p>
        </w:tc>
        <w:tc>
          <w:tcPr>
            <w:tcW w:w="960" w:type="dxa"/>
            <w:tcBorders>
              <w:top w:val="nil"/>
              <w:left w:val="nil"/>
              <w:bottom w:val="single" w:sz="8" w:space="0" w:color="auto"/>
              <w:right w:val="single" w:sz="8" w:space="0" w:color="auto"/>
            </w:tcBorders>
            <w:shd w:val="clear" w:color="auto" w:fill="auto"/>
            <w:noWrap/>
            <w:vAlign w:val="center"/>
            <w:hideMark/>
          </w:tcPr>
          <w:p w:rsidR="00F4042B" w:rsidRPr="00F4042B" w:rsidRDefault="00F4042B" w:rsidP="00F4042B">
            <w:pPr>
              <w:spacing w:after="0"/>
              <w:jc w:val="center"/>
              <w:rPr>
                <w:rFonts w:eastAsia="Times New Roman"/>
                <w:color w:val="000000"/>
                <w:sz w:val="18"/>
                <w:szCs w:val="18"/>
                <w:lang w:val="fr-FR" w:eastAsia="fr-FR"/>
              </w:rPr>
            </w:pPr>
            <w:r w:rsidRPr="00F4042B">
              <w:rPr>
                <w:rFonts w:eastAsia="Times New Roman" w:cs="Calibri"/>
                <w:color w:val="000000"/>
                <w:sz w:val="18"/>
                <w:szCs w:val="18"/>
                <w:lang w:eastAsia="fr-FR"/>
              </w:rPr>
              <w:t>7</w:t>
            </w:r>
          </w:p>
        </w:tc>
      </w:tr>
      <w:tr w:rsidR="00F4042B" w:rsidRPr="00F4042B" w:rsidTr="00F4042B">
        <w:trPr>
          <w:trHeight w:val="315"/>
        </w:trPr>
        <w:tc>
          <w:tcPr>
            <w:tcW w:w="960" w:type="dxa"/>
            <w:vMerge/>
            <w:tcBorders>
              <w:top w:val="nil"/>
              <w:left w:val="single" w:sz="8" w:space="0" w:color="auto"/>
              <w:bottom w:val="single" w:sz="8" w:space="0" w:color="000000"/>
              <w:right w:val="single" w:sz="8" w:space="0" w:color="auto"/>
            </w:tcBorders>
            <w:vAlign w:val="center"/>
            <w:hideMark/>
          </w:tcPr>
          <w:p w:rsidR="00F4042B" w:rsidRPr="00F4042B" w:rsidRDefault="00F4042B" w:rsidP="00F4042B">
            <w:pPr>
              <w:spacing w:after="0"/>
              <w:jc w:val="left"/>
              <w:rPr>
                <w:rFonts w:eastAsia="Times New Roman"/>
                <w:color w:val="000000"/>
                <w:sz w:val="18"/>
                <w:szCs w:val="18"/>
                <w:lang w:val="fr-FR" w:eastAsia="fr-FR"/>
              </w:rPr>
            </w:pPr>
          </w:p>
        </w:tc>
        <w:tc>
          <w:tcPr>
            <w:tcW w:w="1460" w:type="dxa"/>
            <w:tcBorders>
              <w:top w:val="nil"/>
              <w:left w:val="nil"/>
              <w:bottom w:val="single" w:sz="8" w:space="0" w:color="auto"/>
              <w:right w:val="nil"/>
            </w:tcBorders>
            <w:shd w:val="clear" w:color="000000" w:fill="FCE4D6"/>
            <w:noWrap/>
            <w:vAlign w:val="center"/>
            <w:hideMark/>
          </w:tcPr>
          <w:p w:rsidR="00F4042B" w:rsidRPr="00F4042B" w:rsidRDefault="00F4042B" w:rsidP="00F4042B">
            <w:pPr>
              <w:spacing w:after="0"/>
              <w:jc w:val="left"/>
              <w:rPr>
                <w:rFonts w:eastAsia="Times New Roman"/>
                <w:color w:val="000000"/>
                <w:sz w:val="18"/>
                <w:szCs w:val="18"/>
                <w:lang w:val="fr-FR" w:eastAsia="fr-FR"/>
              </w:rPr>
            </w:pPr>
            <w:r w:rsidRPr="00F4042B">
              <w:rPr>
                <w:rFonts w:eastAsia="Times New Roman" w:cs="Calibri"/>
                <w:color w:val="000000"/>
                <w:sz w:val="18"/>
                <w:szCs w:val="18"/>
                <w:lang w:eastAsia="fr-FR"/>
              </w:rPr>
              <w:t> </w:t>
            </w:r>
          </w:p>
        </w:tc>
        <w:tc>
          <w:tcPr>
            <w:tcW w:w="960" w:type="dxa"/>
            <w:tcBorders>
              <w:top w:val="nil"/>
              <w:left w:val="nil"/>
              <w:bottom w:val="single" w:sz="8" w:space="0" w:color="auto"/>
              <w:right w:val="nil"/>
            </w:tcBorders>
            <w:shd w:val="clear" w:color="000000" w:fill="FCE4D6"/>
            <w:noWrap/>
            <w:vAlign w:val="center"/>
            <w:hideMark/>
          </w:tcPr>
          <w:p w:rsidR="00F4042B" w:rsidRPr="00F4042B" w:rsidRDefault="00F4042B" w:rsidP="00F4042B">
            <w:pPr>
              <w:spacing w:after="0"/>
              <w:jc w:val="left"/>
              <w:rPr>
                <w:rFonts w:eastAsia="Times New Roman"/>
                <w:color w:val="000000"/>
                <w:sz w:val="18"/>
                <w:szCs w:val="18"/>
                <w:lang w:val="fr-FR" w:eastAsia="fr-FR"/>
              </w:rPr>
            </w:pPr>
            <w:r w:rsidRPr="00F4042B">
              <w:rPr>
                <w:rFonts w:eastAsia="Times New Roman"/>
                <w:color w:val="000000"/>
                <w:sz w:val="18"/>
                <w:szCs w:val="18"/>
                <w:lang w:val="fr-FR" w:eastAsia="fr-FR"/>
              </w:rPr>
              <w:t> </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left"/>
              <w:rPr>
                <w:rFonts w:eastAsia="Times New Roman"/>
                <w:color w:val="000000"/>
                <w:sz w:val="18"/>
                <w:szCs w:val="18"/>
                <w:lang w:val="fr-FR" w:eastAsia="fr-FR"/>
              </w:rPr>
            </w:pPr>
            <w:r w:rsidRPr="00F4042B">
              <w:rPr>
                <w:rFonts w:eastAsia="Times New Roman"/>
                <w:color w:val="000000"/>
                <w:sz w:val="18"/>
                <w:szCs w:val="18"/>
                <w:lang w:val="fr-FR" w:eastAsia="fr-FR"/>
              </w:rPr>
              <w:t> </w:t>
            </w:r>
          </w:p>
        </w:tc>
        <w:tc>
          <w:tcPr>
            <w:tcW w:w="13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left"/>
              <w:rPr>
                <w:rFonts w:eastAsia="Times New Roman"/>
                <w:b/>
                <w:bCs/>
                <w:color w:val="000000"/>
                <w:sz w:val="16"/>
                <w:szCs w:val="16"/>
                <w:lang w:val="fr-FR" w:eastAsia="fr-FR"/>
              </w:rPr>
            </w:pPr>
            <w:r w:rsidRPr="00F4042B">
              <w:rPr>
                <w:rFonts w:eastAsia="Times New Roman" w:cs="Calibri"/>
                <w:b/>
                <w:bCs/>
                <w:color w:val="000000"/>
                <w:sz w:val="16"/>
                <w:szCs w:val="16"/>
                <w:lang w:eastAsia="fr-FR"/>
              </w:rPr>
              <w:t>Total outcome</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right"/>
              <w:rPr>
                <w:rFonts w:eastAsia="Times New Roman"/>
                <w:b/>
                <w:bCs/>
                <w:color w:val="000000"/>
                <w:sz w:val="18"/>
                <w:szCs w:val="18"/>
                <w:lang w:val="fr-FR" w:eastAsia="fr-FR"/>
              </w:rPr>
            </w:pPr>
            <w:r w:rsidRPr="00F4042B">
              <w:rPr>
                <w:rFonts w:eastAsia="Times New Roman" w:cs="Calibri"/>
                <w:b/>
                <w:bCs/>
                <w:color w:val="000000"/>
                <w:sz w:val="18"/>
                <w:szCs w:val="18"/>
                <w:lang w:eastAsia="fr-FR"/>
              </w:rPr>
              <w:t>1,08</w:t>
            </w:r>
            <w:r w:rsidR="00C9319D">
              <w:rPr>
                <w:rFonts w:eastAsia="Times New Roman" w:cs="Calibri"/>
                <w:b/>
                <w:bCs/>
                <w:color w:val="000000"/>
                <w:sz w:val="18"/>
                <w:szCs w:val="18"/>
                <w:lang w:eastAsia="fr-FR"/>
              </w:rPr>
              <w:t>1</w:t>
            </w:r>
            <w:r w:rsidRPr="00F4042B">
              <w:rPr>
                <w:rFonts w:eastAsia="Times New Roman" w:cs="Calibri"/>
                <w:b/>
                <w:bCs/>
                <w:color w:val="000000"/>
                <w:sz w:val="18"/>
                <w:szCs w:val="18"/>
                <w:lang w:eastAsia="fr-FR"/>
              </w:rPr>
              <w:t>,500</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right"/>
              <w:rPr>
                <w:rFonts w:eastAsia="Times New Roman"/>
                <w:b/>
                <w:bCs/>
                <w:color w:val="000000"/>
                <w:sz w:val="18"/>
                <w:szCs w:val="18"/>
                <w:lang w:val="fr-FR" w:eastAsia="fr-FR"/>
              </w:rPr>
            </w:pPr>
            <w:r w:rsidRPr="00F4042B">
              <w:rPr>
                <w:rFonts w:eastAsia="Times New Roman" w:cs="Calibri"/>
                <w:b/>
                <w:bCs/>
                <w:color w:val="000000"/>
                <w:sz w:val="18"/>
                <w:szCs w:val="18"/>
                <w:lang w:eastAsia="fr-FR"/>
              </w:rPr>
              <w:t>1,360,</w:t>
            </w:r>
            <w:r w:rsidR="00C9319D">
              <w:rPr>
                <w:rFonts w:eastAsia="Times New Roman" w:cs="Calibri"/>
                <w:b/>
                <w:bCs/>
                <w:color w:val="000000"/>
                <w:sz w:val="18"/>
                <w:szCs w:val="18"/>
                <w:lang w:eastAsia="fr-FR"/>
              </w:rPr>
              <w:t>0</w:t>
            </w:r>
            <w:r w:rsidRPr="00F4042B">
              <w:rPr>
                <w:rFonts w:eastAsia="Times New Roman" w:cs="Calibri"/>
                <w:b/>
                <w:bCs/>
                <w:color w:val="000000"/>
                <w:sz w:val="18"/>
                <w:szCs w:val="18"/>
                <w:lang w:eastAsia="fr-FR"/>
              </w:rPr>
              <w:t>00</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right"/>
              <w:rPr>
                <w:rFonts w:eastAsia="Times New Roman"/>
                <w:b/>
                <w:bCs/>
                <w:color w:val="000000"/>
                <w:sz w:val="18"/>
                <w:szCs w:val="18"/>
                <w:lang w:val="fr-FR" w:eastAsia="fr-FR"/>
              </w:rPr>
            </w:pPr>
            <w:r w:rsidRPr="00F4042B">
              <w:rPr>
                <w:rFonts w:eastAsia="Times New Roman" w:cs="Calibri"/>
                <w:b/>
                <w:bCs/>
                <w:color w:val="000000"/>
                <w:sz w:val="18"/>
                <w:szCs w:val="18"/>
                <w:lang w:eastAsia="fr-FR"/>
              </w:rPr>
              <w:t>1,4</w:t>
            </w:r>
            <w:r w:rsidR="00C9319D">
              <w:rPr>
                <w:rFonts w:eastAsia="Times New Roman" w:cs="Calibri"/>
                <w:b/>
                <w:bCs/>
                <w:color w:val="000000"/>
                <w:sz w:val="18"/>
                <w:szCs w:val="18"/>
                <w:lang w:eastAsia="fr-FR"/>
              </w:rPr>
              <w:t>33,5</w:t>
            </w:r>
            <w:r w:rsidRPr="00F4042B">
              <w:rPr>
                <w:rFonts w:eastAsia="Times New Roman" w:cs="Calibri"/>
                <w:b/>
                <w:bCs/>
                <w:color w:val="000000"/>
                <w:sz w:val="18"/>
                <w:szCs w:val="18"/>
                <w:lang w:eastAsia="fr-FR"/>
              </w:rPr>
              <w:t>00</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right"/>
              <w:rPr>
                <w:rFonts w:eastAsia="Times New Roman"/>
                <w:b/>
                <w:bCs/>
                <w:color w:val="000000"/>
                <w:sz w:val="18"/>
                <w:szCs w:val="18"/>
                <w:lang w:val="fr-FR" w:eastAsia="fr-FR"/>
              </w:rPr>
            </w:pPr>
            <w:r w:rsidRPr="00F4042B">
              <w:rPr>
                <w:rFonts w:eastAsia="Times New Roman" w:cs="Calibri"/>
                <w:b/>
                <w:bCs/>
                <w:color w:val="000000"/>
                <w:sz w:val="18"/>
                <w:szCs w:val="18"/>
                <w:lang w:eastAsia="fr-FR"/>
              </w:rPr>
              <w:t>1,122,000</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right"/>
              <w:rPr>
                <w:rFonts w:eastAsia="Times New Roman"/>
                <w:b/>
                <w:bCs/>
                <w:color w:val="000000"/>
                <w:sz w:val="18"/>
                <w:szCs w:val="18"/>
                <w:lang w:val="fr-FR" w:eastAsia="fr-FR"/>
              </w:rPr>
            </w:pPr>
            <w:r w:rsidRPr="00F4042B">
              <w:rPr>
                <w:rFonts w:eastAsia="Times New Roman" w:cs="Calibri"/>
                <w:b/>
                <w:bCs/>
                <w:color w:val="000000"/>
                <w:sz w:val="18"/>
                <w:szCs w:val="18"/>
                <w:lang w:eastAsia="fr-FR"/>
              </w:rPr>
              <w:t>5,000,000</w:t>
            </w:r>
          </w:p>
        </w:tc>
        <w:tc>
          <w:tcPr>
            <w:tcW w:w="960" w:type="dxa"/>
            <w:tcBorders>
              <w:top w:val="nil"/>
              <w:left w:val="nil"/>
              <w:bottom w:val="single" w:sz="8" w:space="0" w:color="auto"/>
              <w:right w:val="single" w:sz="8" w:space="0" w:color="auto"/>
            </w:tcBorders>
            <w:shd w:val="clear" w:color="000000" w:fill="FCE4D6"/>
            <w:noWrap/>
            <w:vAlign w:val="center"/>
            <w:hideMark/>
          </w:tcPr>
          <w:p w:rsidR="00F4042B" w:rsidRPr="00F4042B" w:rsidRDefault="00F4042B" w:rsidP="00F4042B">
            <w:pPr>
              <w:spacing w:after="0"/>
              <w:jc w:val="left"/>
              <w:rPr>
                <w:rFonts w:eastAsia="Times New Roman"/>
                <w:color w:val="000000"/>
                <w:sz w:val="18"/>
                <w:szCs w:val="18"/>
                <w:lang w:val="fr-FR" w:eastAsia="fr-FR"/>
              </w:rPr>
            </w:pPr>
            <w:r w:rsidRPr="00F4042B">
              <w:rPr>
                <w:rFonts w:eastAsia="Times New Roman" w:cs="Calibri"/>
                <w:color w:val="000000"/>
                <w:sz w:val="18"/>
                <w:szCs w:val="18"/>
                <w:lang w:eastAsia="fr-FR"/>
              </w:rPr>
              <w:t> </w:t>
            </w:r>
          </w:p>
        </w:tc>
      </w:tr>
    </w:tbl>
    <w:p w:rsidR="00111F0E" w:rsidRPr="002D32CE" w:rsidRDefault="00F737AD" w:rsidP="008207DB">
      <w:pPr>
        <w:ind w:left="-284"/>
        <w:rPr>
          <w:rFonts w:cs="Arial"/>
          <w:noProof/>
          <w:color w:val="FF0000"/>
          <w:szCs w:val="20"/>
          <w:lang w:val="en-GB" w:eastAsia="zh-CN"/>
        </w:rPr>
      </w:pPr>
      <w:r w:rsidRPr="002D32CE" w:rsidDel="008062CB">
        <w:rPr>
          <w:rFonts w:cs="Arial"/>
          <w:noProof/>
          <w:color w:val="FF0000"/>
          <w:szCs w:val="20"/>
          <w:lang w:val="en-GB" w:eastAsia="zh-CN"/>
        </w:rPr>
        <w:t xml:space="preserve"> </w:t>
      </w:r>
    </w:p>
    <w:p w:rsidR="00111F0E" w:rsidRDefault="00F737AD" w:rsidP="002E2FB7">
      <w:pPr>
        <w:ind w:left="-284"/>
        <w:rPr>
          <w:rFonts w:cs="Arial"/>
          <w:noProof/>
          <w:color w:val="FF0000"/>
          <w:szCs w:val="20"/>
          <w:lang w:val="en-GB" w:eastAsia="zh-CN"/>
        </w:rPr>
      </w:pPr>
      <w:bookmarkStart w:id="173" w:name="_Hlk10033260"/>
      <w:bookmarkStart w:id="174" w:name="_Hlk10033200"/>
      <w:r w:rsidRPr="002D32CE">
        <w:rPr>
          <w:rFonts w:cs="Arial"/>
          <w:noProof/>
          <w:color w:val="FF0000"/>
          <w:szCs w:val="20"/>
          <w:lang w:val="en-GB" w:eastAsia="zh-CN"/>
        </w:rPr>
        <w:t>Summary table of finance</w:t>
      </w:r>
    </w:p>
    <w:p w:rsidR="00A25281" w:rsidRDefault="00A25281" w:rsidP="002E2FB7">
      <w:pPr>
        <w:ind w:left="-284"/>
        <w:rPr>
          <w:rFonts w:cs="Arial"/>
          <w:noProof/>
          <w:color w:val="FF0000"/>
          <w:szCs w:val="20"/>
          <w:lang w:val="en-GB" w:eastAsia="zh-CN"/>
        </w:rPr>
      </w:pPr>
    </w:p>
    <w:tbl>
      <w:tblPr>
        <w:tblW w:w="8625" w:type="dxa"/>
        <w:tblLook w:val="04A0" w:firstRow="1" w:lastRow="0" w:firstColumn="1" w:lastColumn="0" w:noHBand="0" w:noVBand="1"/>
      </w:tblPr>
      <w:tblGrid>
        <w:gridCol w:w="2065"/>
        <w:gridCol w:w="1312"/>
        <w:gridCol w:w="1312"/>
        <w:gridCol w:w="1312"/>
        <w:gridCol w:w="1312"/>
        <w:gridCol w:w="1312"/>
      </w:tblGrid>
      <w:tr w:rsidR="00A25281" w:rsidRPr="00A25281" w:rsidTr="00F378FF">
        <w:trPr>
          <w:trHeight w:val="557"/>
        </w:trPr>
        <w:tc>
          <w:tcPr>
            <w:tcW w:w="206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Summary of project finance</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Amount Year 1 (USD)</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Amount Year 2 (USD)</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Amount Year 3 (USD)</w:t>
            </w:r>
          </w:p>
        </w:tc>
        <w:tc>
          <w:tcPr>
            <w:tcW w:w="1312" w:type="dxa"/>
            <w:tcBorders>
              <w:top w:val="single" w:sz="4" w:space="0" w:color="auto"/>
              <w:left w:val="nil"/>
              <w:bottom w:val="single" w:sz="4" w:space="0" w:color="auto"/>
              <w:right w:val="single" w:sz="4" w:space="0" w:color="auto"/>
            </w:tcBorders>
            <w:shd w:val="clear" w:color="auto" w:fill="auto"/>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 xml:space="preserve">Amount Year </w:t>
            </w:r>
            <w:proofErr w:type="gramStart"/>
            <w:r w:rsidRPr="00A25281">
              <w:rPr>
                <w:rFonts w:eastAsia="Times New Roman" w:cs="Calibri"/>
                <w:b/>
                <w:bCs/>
                <w:color w:val="000000"/>
                <w:sz w:val="18"/>
                <w:szCs w:val="18"/>
              </w:rPr>
              <w:t>4  (</w:t>
            </w:r>
            <w:proofErr w:type="gramEnd"/>
            <w:r w:rsidRPr="00A25281">
              <w:rPr>
                <w:rFonts w:eastAsia="Times New Roman" w:cs="Calibri"/>
                <w:b/>
                <w:bCs/>
                <w:color w:val="000000"/>
                <w:sz w:val="18"/>
                <w:szCs w:val="18"/>
              </w:rPr>
              <w:t>USD)</w:t>
            </w:r>
          </w:p>
        </w:tc>
        <w:tc>
          <w:tcPr>
            <w:tcW w:w="1312" w:type="dxa"/>
            <w:tcBorders>
              <w:top w:val="single" w:sz="4" w:space="0" w:color="auto"/>
              <w:left w:val="nil"/>
              <w:bottom w:val="single" w:sz="4" w:space="0" w:color="auto"/>
              <w:right w:val="single" w:sz="4" w:space="0" w:color="auto"/>
            </w:tcBorders>
            <w:shd w:val="clear" w:color="000000" w:fill="F2F2F2"/>
            <w:vAlign w:val="center"/>
            <w:hideMark/>
          </w:tcPr>
          <w:p w:rsidR="00A25281" w:rsidRPr="00A25281" w:rsidRDefault="00A25281" w:rsidP="00A25281">
            <w:pPr>
              <w:spacing w:after="0"/>
              <w:jc w:val="center"/>
              <w:rPr>
                <w:rFonts w:eastAsia="Times New Roman" w:cs="Calibri"/>
                <w:b/>
                <w:bCs/>
                <w:color w:val="000000"/>
                <w:sz w:val="18"/>
                <w:szCs w:val="18"/>
              </w:rPr>
            </w:pPr>
            <w:r w:rsidRPr="00A25281">
              <w:rPr>
                <w:rFonts w:eastAsia="Times New Roman" w:cs="Calibri"/>
                <w:b/>
                <w:bCs/>
                <w:color w:val="000000"/>
                <w:sz w:val="18"/>
                <w:szCs w:val="18"/>
              </w:rPr>
              <w:t>Total (USD)</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F378FF" w:rsidRDefault="00A25281" w:rsidP="00A25281">
            <w:pPr>
              <w:spacing w:after="0"/>
              <w:jc w:val="right"/>
              <w:rPr>
                <w:rFonts w:eastAsia="Times New Roman" w:cs="Calibri"/>
                <w:color w:val="000000"/>
                <w:sz w:val="18"/>
                <w:szCs w:val="18"/>
                <w:highlight w:val="yellow"/>
              </w:rPr>
            </w:pPr>
            <w:r w:rsidRPr="00F378FF">
              <w:rPr>
                <w:rFonts w:eastAsia="Times New Roman" w:cs="Calibri"/>
                <w:color w:val="000000"/>
                <w:sz w:val="18"/>
                <w:szCs w:val="18"/>
                <w:highlight w:val="yellow"/>
              </w:rPr>
              <w:t>GEF (UNDP-managed)</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F378FF" w:rsidRDefault="00A25281" w:rsidP="00A25281">
            <w:pPr>
              <w:spacing w:after="0"/>
              <w:jc w:val="center"/>
              <w:rPr>
                <w:rFonts w:eastAsia="Times New Roman" w:cs="Calibri"/>
                <w:b/>
                <w:bCs/>
                <w:i/>
                <w:iCs/>
                <w:color w:val="000000"/>
                <w:sz w:val="18"/>
                <w:szCs w:val="18"/>
                <w:highlight w:val="yellow"/>
              </w:rPr>
            </w:pPr>
            <w:r w:rsidRPr="00F378FF">
              <w:rPr>
                <w:rFonts w:eastAsia="Times New Roman" w:cs="Calibri"/>
                <w:b/>
                <w:bCs/>
                <w:i/>
                <w:iCs/>
                <w:color w:val="000000"/>
                <w:sz w:val="18"/>
                <w:szCs w:val="18"/>
                <w:highlight w:val="yellow"/>
              </w:rPr>
              <w:t>1,292,390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F378FF" w:rsidRDefault="00A25281" w:rsidP="00A25281">
            <w:pPr>
              <w:spacing w:after="0"/>
              <w:jc w:val="center"/>
              <w:rPr>
                <w:rFonts w:eastAsia="Times New Roman" w:cs="Calibri"/>
                <w:b/>
                <w:bCs/>
                <w:i/>
                <w:iCs/>
                <w:color w:val="000000"/>
                <w:sz w:val="18"/>
                <w:szCs w:val="18"/>
                <w:highlight w:val="yellow"/>
              </w:rPr>
            </w:pPr>
            <w:r w:rsidRPr="00F378FF">
              <w:rPr>
                <w:rFonts w:eastAsia="Times New Roman" w:cs="Calibri"/>
                <w:b/>
                <w:bCs/>
                <w:i/>
                <w:iCs/>
                <w:color w:val="000000"/>
                <w:sz w:val="18"/>
                <w:szCs w:val="18"/>
                <w:highlight w:val="yellow"/>
              </w:rPr>
              <w:t>1,319,390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F378FF" w:rsidRDefault="00A25281" w:rsidP="00A25281">
            <w:pPr>
              <w:spacing w:after="0"/>
              <w:jc w:val="center"/>
              <w:rPr>
                <w:rFonts w:eastAsia="Times New Roman" w:cs="Calibri"/>
                <w:b/>
                <w:bCs/>
                <w:i/>
                <w:iCs/>
                <w:color w:val="000000"/>
                <w:sz w:val="18"/>
                <w:szCs w:val="18"/>
                <w:highlight w:val="yellow"/>
              </w:rPr>
            </w:pPr>
            <w:r w:rsidRPr="00F378FF">
              <w:rPr>
                <w:rFonts w:eastAsia="Times New Roman" w:cs="Calibri"/>
                <w:b/>
                <w:bCs/>
                <w:i/>
                <w:iCs/>
                <w:color w:val="000000"/>
                <w:sz w:val="18"/>
                <w:szCs w:val="18"/>
                <w:highlight w:val="yellow"/>
              </w:rPr>
              <w:t>1,405,890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F378FF" w:rsidRDefault="00A25281" w:rsidP="00A25281">
            <w:pPr>
              <w:spacing w:after="0"/>
              <w:jc w:val="center"/>
              <w:rPr>
                <w:rFonts w:eastAsia="Times New Roman" w:cs="Calibri"/>
                <w:b/>
                <w:bCs/>
                <w:i/>
                <w:iCs/>
                <w:color w:val="000000"/>
                <w:sz w:val="18"/>
                <w:szCs w:val="18"/>
                <w:highlight w:val="yellow"/>
              </w:rPr>
            </w:pPr>
            <w:r w:rsidRPr="00F378FF">
              <w:rPr>
                <w:rFonts w:eastAsia="Times New Roman" w:cs="Calibri"/>
                <w:b/>
                <w:bCs/>
                <w:i/>
                <w:iCs/>
                <w:color w:val="000000"/>
                <w:sz w:val="18"/>
                <w:szCs w:val="18"/>
                <w:highlight w:val="yellow"/>
              </w:rPr>
              <w:t>982,330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F378FF" w:rsidRDefault="00A25281" w:rsidP="00A25281">
            <w:pPr>
              <w:spacing w:after="0"/>
              <w:jc w:val="right"/>
              <w:rPr>
                <w:rFonts w:eastAsia="Times New Roman" w:cs="Calibri"/>
                <w:color w:val="000000"/>
                <w:sz w:val="18"/>
                <w:szCs w:val="18"/>
                <w:highlight w:val="yellow"/>
              </w:rPr>
            </w:pPr>
            <w:r w:rsidRPr="00F378FF">
              <w:rPr>
                <w:rFonts w:eastAsia="Times New Roman" w:cs="Calibri"/>
                <w:color w:val="000000"/>
                <w:sz w:val="18"/>
                <w:szCs w:val="18"/>
                <w:highlight w:val="yellow"/>
              </w:rPr>
              <w:t>5,000,000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GEF (DBSA-managed)</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1,086,500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1,360,500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1,431,000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1,122,000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DOE</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10,662,500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10,662,500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10,662,500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10,662,500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42,650,000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Eskom</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4,000,000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5,500,000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5,500,000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4,000,000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19,000,000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UNDP</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200,000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DBSA</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4,275,000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4,275,000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4,275,000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4,275,000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17,100,000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UNEP</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7,000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9,000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7,000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7,000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30,000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GELC</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50,000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left"/>
              <w:rPr>
                <w:rFonts w:eastAsia="Times New Roman" w:cs="Calibri"/>
                <w:color w:val="000000"/>
                <w:sz w:val="18"/>
                <w:szCs w:val="18"/>
              </w:rPr>
            </w:pPr>
            <w:r w:rsidRPr="00A25281">
              <w:rPr>
                <w:rFonts w:eastAsia="Times New Roman" w:cs="Calibri"/>
                <w:color w:val="000000"/>
                <w:sz w:val="18"/>
                <w:szCs w:val="18"/>
              </w:rPr>
              <w:t> </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color w:val="000000"/>
                <w:sz w:val="18"/>
                <w:szCs w:val="18"/>
              </w:rPr>
            </w:pPr>
            <w:r w:rsidRPr="00A25281">
              <w:rPr>
                <w:rFonts w:eastAsia="Times New Roman" w:cs="Calibri"/>
                <w:color w:val="000000"/>
                <w:sz w:val="18"/>
                <w:szCs w:val="18"/>
              </w:rPr>
              <w:t>150,000</w:t>
            </w:r>
          </w:p>
        </w:tc>
      </w:tr>
      <w:tr w:rsidR="00A25281" w:rsidRPr="00A25281" w:rsidTr="00F378FF">
        <w:trPr>
          <w:trHeight w:val="224"/>
        </w:trPr>
        <w:tc>
          <w:tcPr>
            <w:tcW w:w="2065" w:type="dxa"/>
            <w:tcBorders>
              <w:top w:val="nil"/>
              <w:left w:val="single" w:sz="4" w:space="0" w:color="auto"/>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Total</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21,423,390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23,226,390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23,381,390</w:t>
            </w:r>
          </w:p>
        </w:tc>
        <w:tc>
          <w:tcPr>
            <w:tcW w:w="1312" w:type="dxa"/>
            <w:tcBorders>
              <w:top w:val="nil"/>
              <w:left w:val="nil"/>
              <w:bottom w:val="single" w:sz="4" w:space="0" w:color="auto"/>
              <w:right w:val="single" w:sz="4" w:space="0" w:color="auto"/>
            </w:tcBorders>
            <w:shd w:val="clear" w:color="auto" w:fill="auto"/>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21,098,830</w:t>
            </w:r>
          </w:p>
        </w:tc>
        <w:tc>
          <w:tcPr>
            <w:tcW w:w="1312" w:type="dxa"/>
            <w:tcBorders>
              <w:top w:val="nil"/>
              <w:left w:val="nil"/>
              <w:bottom w:val="single" w:sz="4" w:space="0" w:color="auto"/>
              <w:right w:val="single" w:sz="4" w:space="0" w:color="auto"/>
            </w:tcBorders>
            <w:shd w:val="clear" w:color="000000" w:fill="F2F2F2"/>
            <w:noWrap/>
            <w:vAlign w:val="center"/>
            <w:hideMark/>
          </w:tcPr>
          <w:p w:rsidR="00A25281" w:rsidRPr="00A25281" w:rsidRDefault="00A25281" w:rsidP="00A25281">
            <w:pPr>
              <w:spacing w:after="0"/>
              <w:jc w:val="right"/>
              <w:rPr>
                <w:rFonts w:eastAsia="Times New Roman" w:cs="Calibri"/>
                <w:b/>
                <w:bCs/>
                <w:color w:val="000000"/>
                <w:sz w:val="18"/>
                <w:szCs w:val="18"/>
              </w:rPr>
            </w:pPr>
            <w:r w:rsidRPr="00A25281">
              <w:rPr>
                <w:rFonts w:eastAsia="Times New Roman" w:cs="Calibri"/>
                <w:b/>
                <w:bCs/>
                <w:color w:val="000000"/>
                <w:sz w:val="18"/>
                <w:szCs w:val="18"/>
              </w:rPr>
              <w:t>89,130,000</w:t>
            </w:r>
          </w:p>
        </w:tc>
      </w:tr>
    </w:tbl>
    <w:p w:rsidR="00A25281" w:rsidRDefault="00A25281" w:rsidP="002E2FB7">
      <w:pPr>
        <w:ind w:left="-284"/>
        <w:rPr>
          <w:rFonts w:cs="Arial"/>
          <w:noProof/>
          <w:color w:val="FF0000"/>
          <w:szCs w:val="20"/>
          <w:lang w:val="en-GB" w:eastAsia="zh-CN"/>
        </w:rPr>
      </w:pPr>
    </w:p>
    <w:p w:rsidR="00A25281" w:rsidRPr="002D32CE" w:rsidRDefault="00A25281" w:rsidP="002E2FB7">
      <w:pPr>
        <w:ind w:left="-284"/>
        <w:rPr>
          <w:rFonts w:cs="Arial"/>
          <w:noProof/>
          <w:color w:val="FF0000"/>
          <w:szCs w:val="20"/>
          <w:lang w:val="en-GB" w:eastAsia="zh-CN"/>
        </w:rPr>
      </w:pPr>
    </w:p>
    <w:p w:rsidR="008062CB" w:rsidRDefault="008062CB" w:rsidP="002E2FB7">
      <w:pPr>
        <w:rPr>
          <w:b/>
          <w:sz w:val="18"/>
          <w:szCs w:val="18"/>
          <w:lang w:val="en-GB"/>
        </w:rPr>
      </w:pPr>
      <w:bookmarkStart w:id="175" w:name="_Toc497848313"/>
      <w:bookmarkEnd w:id="173"/>
    </w:p>
    <w:p w:rsidR="008062CB" w:rsidRDefault="008062CB" w:rsidP="002E2FB7">
      <w:pPr>
        <w:rPr>
          <w:b/>
          <w:sz w:val="18"/>
          <w:szCs w:val="18"/>
          <w:lang w:val="en-GB"/>
        </w:rPr>
        <w:sectPr w:rsidR="008062CB" w:rsidSect="00F4042B">
          <w:pgSz w:w="15840" w:h="12240" w:orient="landscape" w:code="1"/>
          <w:pgMar w:top="1138" w:right="1440" w:bottom="851" w:left="1440" w:header="720" w:footer="432" w:gutter="0"/>
          <w:cols w:space="708"/>
          <w:docGrid w:linePitch="360"/>
        </w:sectPr>
      </w:pPr>
    </w:p>
    <w:bookmarkEnd w:id="174"/>
    <w:p w:rsidR="002E2FB7" w:rsidRPr="003B7D62" w:rsidRDefault="005B5391" w:rsidP="002E2FB7">
      <w:pPr>
        <w:rPr>
          <w:b/>
          <w:sz w:val="18"/>
          <w:szCs w:val="18"/>
          <w:lang w:val="en-GB"/>
        </w:rPr>
      </w:pPr>
      <w:r w:rsidRPr="00353542">
        <w:rPr>
          <w:b/>
          <w:sz w:val="18"/>
          <w:szCs w:val="18"/>
          <w:lang w:val="en-GB"/>
        </w:rPr>
        <w:lastRenderedPageBreak/>
        <w:t>Budget notes:</w:t>
      </w:r>
    </w:p>
    <w:p w:rsidR="00B436AD" w:rsidRDefault="008D742A"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highlight w:val="yellow"/>
          <w:lang w:val="en-GB"/>
        </w:rPr>
      </w:pPr>
      <w:r w:rsidRPr="00666B27">
        <w:rPr>
          <w:sz w:val="18"/>
          <w:szCs w:val="18"/>
          <w:lang w:val="en-GB"/>
        </w:rPr>
        <w:t>1)</w:t>
      </w:r>
      <w:r w:rsidRPr="00666B27">
        <w:rPr>
          <w:sz w:val="18"/>
          <w:szCs w:val="18"/>
          <w:lang w:val="en-GB"/>
        </w:rPr>
        <w:tab/>
      </w:r>
      <w:r w:rsidRPr="00F378FF">
        <w:rPr>
          <w:sz w:val="18"/>
          <w:szCs w:val="18"/>
          <w:highlight w:val="yellow"/>
          <w:lang w:val="en-GB"/>
        </w:rPr>
        <w:t>For international consultants (36 person</w:t>
      </w:r>
      <w:r w:rsidR="003B7D62" w:rsidRPr="00F378FF">
        <w:rPr>
          <w:sz w:val="18"/>
          <w:szCs w:val="18"/>
          <w:highlight w:val="yellow"/>
          <w:lang w:val="en-GB"/>
        </w:rPr>
        <w:t>-</w:t>
      </w:r>
      <w:r w:rsidRPr="00F378FF">
        <w:rPr>
          <w:sz w:val="18"/>
          <w:szCs w:val="18"/>
          <w:highlight w:val="yellow"/>
          <w:lang w:val="en-GB"/>
        </w:rPr>
        <w:t xml:space="preserve">weeks), of which </w:t>
      </w:r>
      <w:r w:rsidR="00C873C6" w:rsidRPr="00F378FF">
        <w:rPr>
          <w:sz w:val="18"/>
          <w:szCs w:val="18"/>
          <w:highlight w:val="yellow"/>
          <w:lang w:val="en-GB"/>
        </w:rPr>
        <w:t>11</w:t>
      </w:r>
      <w:r w:rsidRPr="00F378FF">
        <w:rPr>
          <w:sz w:val="18"/>
          <w:szCs w:val="18"/>
          <w:highlight w:val="yellow"/>
          <w:lang w:val="en-GB"/>
        </w:rPr>
        <w:t xml:space="preserve"> </w:t>
      </w:r>
      <w:proofErr w:type="gramStart"/>
      <w:r w:rsidRPr="00F378FF">
        <w:rPr>
          <w:sz w:val="18"/>
          <w:szCs w:val="18"/>
          <w:highlight w:val="yellow"/>
          <w:lang w:val="en-GB"/>
        </w:rPr>
        <w:t>weeks  S</w:t>
      </w:r>
      <w:proofErr w:type="gramEnd"/>
      <w:r w:rsidRPr="00F378FF">
        <w:rPr>
          <w:sz w:val="18"/>
          <w:szCs w:val="18"/>
          <w:highlight w:val="yellow"/>
          <w:lang w:val="en-GB"/>
        </w:rPr>
        <w:t>&amp;L and MVE expert, testing lab expert (</w:t>
      </w:r>
      <w:r w:rsidR="000D534D" w:rsidRPr="00F378FF">
        <w:rPr>
          <w:sz w:val="18"/>
          <w:szCs w:val="18"/>
          <w:highlight w:val="yellow"/>
          <w:lang w:val="en-GB"/>
        </w:rPr>
        <w:t>11</w:t>
      </w:r>
      <w:r w:rsidR="00B70163" w:rsidRPr="00F378FF">
        <w:rPr>
          <w:sz w:val="18"/>
          <w:szCs w:val="18"/>
          <w:highlight w:val="yellow"/>
          <w:lang w:val="en-GB"/>
        </w:rPr>
        <w:t xml:space="preserve"> weeks), lighting &amp; LED expert (</w:t>
      </w:r>
      <w:r w:rsidR="000D534D" w:rsidRPr="00F378FF">
        <w:rPr>
          <w:sz w:val="18"/>
          <w:szCs w:val="18"/>
          <w:highlight w:val="yellow"/>
          <w:lang w:val="en-GB"/>
        </w:rPr>
        <w:t>7</w:t>
      </w:r>
      <w:r w:rsidR="00B70163" w:rsidRPr="00F378FF">
        <w:rPr>
          <w:sz w:val="18"/>
          <w:szCs w:val="18"/>
          <w:highlight w:val="yellow"/>
          <w:lang w:val="en-GB"/>
        </w:rPr>
        <w:t xml:space="preserve"> weeks) and distribution transformer experts</w:t>
      </w:r>
      <w:r w:rsidR="004841B6" w:rsidRPr="00F378FF">
        <w:rPr>
          <w:sz w:val="18"/>
          <w:szCs w:val="18"/>
          <w:highlight w:val="yellow"/>
          <w:lang w:val="en-GB"/>
        </w:rPr>
        <w:t xml:space="preserve"> (</w:t>
      </w:r>
      <w:r w:rsidR="000D534D" w:rsidRPr="00F378FF">
        <w:rPr>
          <w:sz w:val="18"/>
          <w:szCs w:val="18"/>
          <w:highlight w:val="yellow"/>
          <w:lang w:val="en-GB"/>
        </w:rPr>
        <w:t>7</w:t>
      </w:r>
      <w:r w:rsidR="004841B6" w:rsidRPr="00F378FF">
        <w:rPr>
          <w:sz w:val="18"/>
          <w:szCs w:val="18"/>
          <w:highlight w:val="yellow"/>
          <w:lang w:val="en-GB"/>
        </w:rPr>
        <w:t xml:space="preserve"> weeks)</w:t>
      </w:r>
      <w:r w:rsidR="000D534D" w:rsidRPr="00F378FF">
        <w:rPr>
          <w:sz w:val="18"/>
          <w:szCs w:val="18"/>
          <w:highlight w:val="yellow"/>
          <w:lang w:val="en-GB"/>
        </w:rPr>
        <w:t>.</w:t>
      </w:r>
    </w:p>
    <w:p w:rsidR="008D742A" w:rsidRPr="00666B27" w:rsidRDefault="009F1E3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Pr>
          <w:sz w:val="18"/>
          <w:szCs w:val="18"/>
          <w:highlight w:val="yellow"/>
          <w:lang w:val="en-GB"/>
        </w:rPr>
        <w:t>1</w:t>
      </w:r>
      <w:proofErr w:type="gramStart"/>
      <w:r w:rsidR="00B436AD">
        <w:rPr>
          <w:sz w:val="18"/>
          <w:szCs w:val="18"/>
          <w:highlight w:val="yellow"/>
          <w:lang w:val="en-GB"/>
        </w:rPr>
        <w:t>a</w:t>
      </w:r>
      <w:r>
        <w:rPr>
          <w:sz w:val="18"/>
          <w:szCs w:val="18"/>
          <w:highlight w:val="yellow"/>
          <w:lang w:val="en-GB"/>
        </w:rPr>
        <w:t>)</w:t>
      </w:r>
      <w:r w:rsidR="00B436AD">
        <w:rPr>
          <w:sz w:val="18"/>
          <w:szCs w:val="18"/>
          <w:highlight w:val="yellow"/>
          <w:lang w:val="en-GB"/>
        </w:rPr>
        <w:t xml:space="preserve">  </w:t>
      </w:r>
      <w:r w:rsidR="00AF39FF" w:rsidRPr="00F378FF">
        <w:rPr>
          <w:sz w:val="18"/>
          <w:szCs w:val="18"/>
          <w:highlight w:val="yellow"/>
          <w:lang w:val="en-GB"/>
        </w:rPr>
        <w:t>F</w:t>
      </w:r>
      <w:r w:rsidR="00B70163" w:rsidRPr="00F378FF">
        <w:rPr>
          <w:sz w:val="18"/>
          <w:szCs w:val="18"/>
          <w:highlight w:val="yellow"/>
          <w:lang w:val="en-GB"/>
        </w:rPr>
        <w:t>or</w:t>
      </w:r>
      <w:proofErr w:type="gramEnd"/>
      <w:r w:rsidR="00B70163" w:rsidRPr="00F378FF">
        <w:rPr>
          <w:sz w:val="18"/>
          <w:szCs w:val="18"/>
          <w:highlight w:val="yellow"/>
          <w:lang w:val="en-GB"/>
        </w:rPr>
        <w:t xml:space="preserve"> national consultants (</w:t>
      </w:r>
      <w:r w:rsidR="000D534D" w:rsidRPr="00F378FF">
        <w:rPr>
          <w:sz w:val="18"/>
          <w:szCs w:val="18"/>
          <w:highlight w:val="yellow"/>
          <w:lang w:val="en-GB"/>
        </w:rPr>
        <w:t xml:space="preserve">44 </w:t>
      </w:r>
      <w:r w:rsidR="00B70163" w:rsidRPr="00F378FF">
        <w:rPr>
          <w:sz w:val="18"/>
          <w:szCs w:val="18"/>
          <w:highlight w:val="yellow"/>
          <w:lang w:val="en-GB"/>
        </w:rPr>
        <w:t>weeks), of which S&amp;L and MVE expert (8 weeks</w:t>
      </w:r>
      <w:r w:rsidR="000D534D" w:rsidRPr="00F378FF">
        <w:rPr>
          <w:sz w:val="18"/>
          <w:szCs w:val="18"/>
          <w:highlight w:val="yellow"/>
          <w:lang w:val="en-GB"/>
        </w:rPr>
        <w:t xml:space="preserve">), </w:t>
      </w:r>
      <w:r w:rsidR="00B70163" w:rsidRPr="00F378FF">
        <w:rPr>
          <w:sz w:val="18"/>
          <w:szCs w:val="18"/>
          <w:highlight w:val="yellow"/>
          <w:lang w:val="en-GB"/>
        </w:rPr>
        <w:t>lighting &amp; LED (</w:t>
      </w:r>
      <w:r w:rsidR="000D534D" w:rsidRPr="00F378FF">
        <w:rPr>
          <w:sz w:val="18"/>
          <w:szCs w:val="18"/>
          <w:highlight w:val="yellow"/>
          <w:lang w:val="en-GB"/>
        </w:rPr>
        <w:t>1</w:t>
      </w:r>
      <w:r w:rsidR="00B70163" w:rsidRPr="00F378FF">
        <w:rPr>
          <w:sz w:val="18"/>
          <w:szCs w:val="18"/>
          <w:highlight w:val="yellow"/>
          <w:lang w:val="en-GB"/>
        </w:rPr>
        <w:t>4 weeks) and distribution transformation experts (</w:t>
      </w:r>
      <w:r w:rsidR="000D534D" w:rsidRPr="00F378FF">
        <w:rPr>
          <w:sz w:val="18"/>
          <w:szCs w:val="18"/>
          <w:highlight w:val="yellow"/>
          <w:lang w:val="en-GB"/>
        </w:rPr>
        <w:t>1</w:t>
      </w:r>
      <w:r w:rsidR="00B70163" w:rsidRPr="00F378FF">
        <w:rPr>
          <w:sz w:val="18"/>
          <w:szCs w:val="18"/>
          <w:highlight w:val="yellow"/>
          <w:lang w:val="en-GB"/>
        </w:rPr>
        <w:t>4 weeks</w:t>
      </w:r>
      <w:r w:rsidR="00AF39FF" w:rsidRPr="00F378FF">
        <w:rPr>
          <w:sz w:val="18"/>
          <w:szCs w:val="18"/>
          <w:highlight w:val="yellow"/>
          <w:lang w:val="en-GB"/>
        </w:rPr>
        <w:t>), as well as gender expert (6 weeks) and communication consultant (2 weeks)</w:t>
      </w:r>
    </w:p>
    <w:p w:rsidR="00B70163" w:rsidRPr="00666B27" w:rsidRDefault="00B7016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2)</w:t>
      </w:r>
      <w:r w:rsidRPr="00666B27">
        <w:rPr>
          <w:sz w:val="18"/>
          <w:szCs w:val="18"/>
          <w:lang w:val="en-GB"/>
        </w:rPr>
        <w:tab/>
        <w:t xml:space="preserve">For time spent </w:t>
      </w:r>
      <w:proofErr w:type="gramStart"/>
      <w:r w:rsidRPr="00666B27">
        <w:rPr>
          <w:sz w:val="18"/>
          <w:szCs w:val="18"/>
          <w:lang w:val="en-GB"/>
        </w:rPr>
        <w:t xml:space="preserve">by </w:t>
      </w:r>
      <w:r w:rsidR="000D534D">
        <w:rPr>
          <w:sz w:val="18"/>
          <w:szCs w:val="18"/>
          <w:lang w:val="en-GB"/>
        </w:rPr>
        <w:t xml:space="preserve"> Technical</w:t>
      </w:r>
      <w:proofErr w:type="gramEnd"/>
      <w:r w:rsidR="000D534D">
        <w:rPr>
          <w:sz w:val="18"/>
          <w:szCs w:val="18"/>
          <w:lang w:val="en-GB"/>
        </w:rPr>
        <w:t xml:space="preserve"> Advisor (32 weeks)</w:t>
      </w:r>
    </w:p>
    <w:p w:rsidR="00B70163" w:rsidRPr="00666B27" w:rsidRDefault="00B7016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3)</w:t>
      </w:r>
      <w:r w:rsidRPr="00666B27">
        <w:rPr>
          <w:sz w:val="18"/>
          <w:szCs w:val="18"/>
          <w:lang w:val="en-GB"/>
        </w:rPr>
        <w:tab/>
      </w:r>
      <w:r w:rsidR="006524EC" w:rsidRPr="00666B27">
        <w:rPr>
          <w:sz w:val="18"/>
          <w:szCs w:val="18"/>
          <w:lang w:val="en-GB"/>
        </w:rPr>
        <w:t>Travel for project staff, international and national experts (Component 1)</w:t>
      </w:r>
    </w:p>
    <w:p w:rsidR="006524EC" w:rsidRPr="00666B27" w:rsidRDefault="006524EC"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 xml:space="preserve">4) </w:t>
      </w:r>
      <w:r w:rsidRPr="00666B27">
        <w:rPr>
          <w:sz w:val="18"/>
          <w:szCs w:val="18"/>
          <w:lang w:val="en-GB"/>
        </w:rPr>
        <w:tab/>
        <w:t>For subcontracts on a) Lighting market assessments and low-carbon data (USD 280,000) b) Market assessment distributor transformers (USD 100,000), and c) TA support testing laboratories (USD 240,000)</w:t>
      </w:r>
    </w:p>
    <w:p w:rsidR="006524EC" w:rsidRPr="00666B27" w:rsidRDefault="006524EC"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5)</w:t>
      </w:r>
      <w:r w:rsidRPr="00666B27">
        <w:rPr>
          <w:sz w:val="18"/>
          <w:szCs w:val="18"/>
          <w:lang w:val="en-GB"/>
        </w:rPr>
        <w:tab/>
        <w:t>Equipment includes office furniture and IT equipment</w:t>
      </w:r>
      <w:r w:rsidR="00AF39FF" w:rsidRPr="00666B27">
        <w:rPr>
          <w:sz w:val="18"/>
          <w:szCs w:val="18"/>
          <w:lang w:val="en-GB"/>
        </w:rPr>
        <w:t xml:space="preserve"> (Component 1)</w:t>
      </w:r>
      <w:r w:rsidRPr="00666B27">
        <w:rPr>
          <w:sz w:val="18"/>
          <w:szCs w:val="18"/>
          <w:lang w:val="en-GB"/>
        </w:rPr>
        <w:t>, as well as equipment purchased as part of the laboratory strengthening activities of Output 1.3</w:t>
      </w:r>
    </w:p>
    <w:p w:rsidR="00AF39FF" w:rsidRPr="00666B27" w:rsidRDefault="00AF39FF"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 xml:space="preserve">6) </w:t>
      </w:r>
      <w:r w:rsidRPr="00666B27">
        <w:rPr>
          <w:sz w:val="18"/>
          <w:szCs w:val="18"/>
          <w:lang w:val="en-GB"/>
        </w:rPr>
        <w:tab/>
      </w:r>
      <w:bookmarkStart w:id="176" w:name="_Hlk536809911"/>
      <w:r w:rsidRPr="00666B27">
        <w:rPr>
          <w:sz w:val="18"/>
          <w:szCs w:val="18"/>
          <w:lang w:val="en-GB"/>
        </w:rPr>
        <w:t>Audio-visual and printing for project publications, reports and for printed materials for workshops and seminars</w:t>
      </w:r>
    </w:p>
    <w:p w:rsidR="00AF39FF" w:rsidRPr="00666B27" w:rsidRDefault="00AF39FF"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7)</w:t>
      </w:r>
      <w:r w:rsidRPr="00666B27">
        <w:rPr>
          <w:sz w:val="18"/>
          <w:szCs w:val="18"/>
          <w:lang w:val="en-GB"/>
        </w:rPr>
        <w:tab/>
      </w:r>
      <w:r w:rsidRPr="00666B27">
        <w:rPr>
          <w:noProof/>
          <w:sz w:val="18"/>
          <w:szCs w:val="18"/>
          <w:lang w:val="en-GB"/>
        </w:rPr>
        <w:t>Organisation</w:t>
      </w:r>
      <w:r w:rsidRPr="00666B27">
        <w:rPr>
          <w:sz w:val="18"/>
          <w:szCs w:val="18"/>
          <w:lang w:val="en-GB"/>
        </w:rPr>
        <w:t xml:space="preserve"> of seminar/workshop/training: venue, catering, and support services</w:t>
      </w:r>
    </w:p>
    <w:bookmarkEnd w:id="176"/>
    <w:p w:rsidR="008C776C" w:rsidRDefault="00AF39FF" w:rsidP="008C776C">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8)</w:t>
      </w:r>
      <w:r w:rsidRPr="00666B27">
        <w:rPr>
          <w:sz w:val="18"/>
          <w:szCs w:val="18"/>
          <w:lang w:val="en-GB"/>
        </w:rPr>
        <w:tab/>
        <w:t>Component 2 (training, capacity strengthening, awareness creation): For international consultants (</w:t>
      </w:r>
      <w:r w:rsidR="004841B6" w:rsidRPr="00666B27">
        <w:rPr>
          <w:sz w:val="18"/>
          <w:szCs w:val="18"/>
          <w:lang w:val="en-GB"/>
        </w:rPr>
        <w:t>49</w:t>
      </w:r>
      <w:r w:rsidRPr="00666B27">
        <w:rPr>
          <w:sz w:val="18"/>
          <w:szCs w:val="18"/>
          <w:lang w:val="en-GB"/>
        </w:rPr>
        <w:t xml:space="preserve"> person</w:t>
      </w:r>
      <w:r w:rsidR="003B7D62">
        <w:rPr>
          <w:sz w:val="18"/>
          <w:szCs w:val="18"/>
          <w:lang w:val="en-GB"/>
        </w:rPr>
        <w:t>-</w:t>
      </w:r>
      <w:r w:rsidRPr="003B7D62">
        <w:rPr>
          <w:sz w:val="18"/>
          <w:szCs w:val="18"/>
          <w:lang w:val="en-GB"/>
        </w:rPr>
        <w:t xml:space="preserve">weeks), of </w:t>
      </w:r>
      <w:r w:rsidR="000D534D" w:rsidRPr="003B7D62">
        <w:rPr>
          <w:sz w:val="18"/>
          <w:szCs w:val="18"/>
          <w:lang w:val="en-GB"/>
        </w:rPr>
        <w:t>which 8</w:t>
      </w:r>
      <w:r w:rsidRPr="003B7D62">
        <w:rPr>
          <w:sz w:val="18"/>
          <w:szCs w:val="18"/>
          <w:lang w:val="en-GB"/>
        </w:rPr>
        <w:t xml:space="preserve"> </w:t>
      </w:r>
      <w:proofErr w:type="gramStart"/>
      <w:r w:rsidRPr="003B7D62">
        <w:rPr>
          <w:sz w:val="18"/>
          <w:szCs w:val="18"/>
          <w:lang w:val="en-GB"/>
        </w:rPr>
        <w:t>weeks  S</w:t>
      </w:r>
      <w:proofErr w:type="gramEnd"/>
      <w:r w:rsidRPr="003B7D62">
        <w:rPr>
          <w:sz w:val="18"/>
          <w:szCs w:val="18"/>
          <w:lang w:val="en-GB"/>
        </w:rPr>
        <w:t>&amp;L a</w:t>
      </w:r>
      <w:r w:rsidRPr="004722F0">
        <w:rPr>
          <w:sz w:val="18"/>
          <w:szCs w:val="18"/>
          <w:lang w:val="en-GB"/>
        </w:rPr>
        <w:t>nd MVE expert, testing lab expert (4 weeks), lighting &amp; LED expert (14 weeks) a</w:t>
      </w:r>
      <w:r w:rsidRPr="00666B27">
        <w:rPr>
          <w:sz w:val="18"/>
          <w:szCs w:val="18"/>
          <w:lang w:val="en-GB"/>
        </w:rPr>
        <w:t xml:space="preserve">nd distribution transformer experts (14 weeks). </w:t>
      </w:r>
      <w:r w:rsidR="008C776C" w:rsidRPr="00F378FF">
        <w:rPr>
          <w:sz w:val="18"/>
          <w:szCs w:val="18"/>
          <w:highlight w:val="yellow"/>
          <w:lang w:val="en-GB"/>
        </w:rPr>
        <w:t>In addition, Component 2 includes expertise for M&amp;E (mid-term review and final evaluation, USD 48,000 in total)</w:t>
      </w:r>
    </w:p>
    <w:p w:rsidR="00AF39FF" w:rsidRPr="00666B27" w:rsidRDefault="008C776C"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Pr>
          <w:sz w:val="18"/>
          <w:szCs w:val="18"/>
          <w:lang w:val="en-GB"/>
        </w:rPr>
        <w:t xml:space="preserve">8a)    </w:t>
      </w:r>
      <w:r w:rsidR="00AF39FF" w:rsidRPr="00666B27">
        <w:rPr>
          <w:sz w:val="18"/>
          <w:szCs w:val="18"/>
          <w:lang w:val="en-GB"/>
        </w:rPr>
        <w:t>For national consultants (</w:t>
      </w:r>
      <w:r w:rsidR="004841B6" w:rsidRPr="00666B27">
        <w:rPr>
          <w:sz w:val="18"/>
          <w:szCs w:val="18"/>
          <w:lang w:val="en-GB"/>
        </w:rPr>
        <w:t>10</w:t>
      </w:r>
      <w:r w:rsidR="000D534D">
        <w:rPr>
          <w:sz w:val="18"/>
          <w:szCs w:val="18"/>
          <w:lang w:val="en-GB"/>
        </w:rPr>
        <w:t xml:space="preserve">3 </w:t>
      </w:r>
      <w:r w:rsidR="00AF39FF" w:rsidRPr="00666B27">
        <w:rPr>
          <w:sz w:val="18"/>
          <w:szCs w:val="18"/>
          <w:lang w:val="en-GB"/>
        </w:rPr>
        <w:t>weeks), of which S&amp;L and MVE expert (2 weeks), testing lab consultant (10 weeks), lighting &amp; LED (38 weeks) and distribution transformation experts (3</w:t>
      </w:r>
      <w:r w:rsidR="000D534D">
        <w:rPr>
          <w:sz w:val="18"/>
          <w:szCs w:val="18"/>
          <w:lang w:val="en-GB"/>
        </w:rPr>
        <w:t>4</w:t>
      </w:r>
      <w:r w:rsidR="00AF39FF" w:rsidRPr="00666B27">
        <w:rPr>
          <w:sz w:val="18"/>
          <w:szCs w:val="18"/>
          <w:lang w:val="en-GB"/>
        </w:rPr>
        <w:t xml:space="preserve"> weeks) and expertise of LED applications in buildings (10 weeks), consultants on communication and information (6 weeks) and lamp waste management (</w:t>
      </w:r>
      <w:r w:rsidR="000D534D">
        <w:rPr>
          <w:sz w:val="18"/>
          <w:szCs w:val="18"/>
          <w:lang w:val="en-GB"/>
        </w:rPr>
        <w:t>3</w:t>
      </w:r>
      <w:r w:rsidR="00AF39FF" w:rsidRPr="00666B27">
        <w:rPr>
          <w:sz w:val="18"/>
          <w:szCs w:val="18"/>
          <w:lang w:val="en-GB"/>
        </w:rPr>
        <w:t xml:space="preserve"> weeks</w:t>
      </w:r>
      <w:bookmarkStart w:id="177" w:name="_Hlk23410721"/>
      <w:r w:rsidR="00AF39FF" w:rsidRPr="00666B27">
        <w:rPr>
          <w:sz w:val="18"/>
          <w:szCs w:val="18"/>
          <w:lang w:val="en-GB"/>
        </w:rPr>
        <w:t>)</w:t>
      </w:r>
      <w:r w:rsidR="0028658B">
        <w:rPr>
          <w:sz w:val="18"/>
          <w:szCs w:val="18"/>
          <w:lang w:val="en-GB"/>
        </w:rPr>
        <w:t xml:space="preserve">. </w:t>
      </w:r>
      <w:r w:rsidR="0028658B" w:rsidRPr="00F378FF">
        <w:rPr>
          <w:sz w:val="18"/>
          <w:szCs w:val="18"/>
          <w:highlight w:val="yellow"/>
          <w:lang w:val="en-GB"/>
        </w:rPr>
        <w:t>In addition, Component 2 includes expertise for M&amp;E (mid-term review and final evaluation, USD 48,000 in total)</w:t>
      </w:r>
    </w:p>
    <w:bookmarkEnd w:id="177"/>
    <w:p w:rsidR="00AF39FF" w:rsidRPr="00666B27" w:rsidRDefault="00AF39FF"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9)</w:t>
      </w:r>
      <w:r w:rsidRPr="00666B27">
        <w:rPr>
          <w:sz w:val="18"/>
          <w:szCs w:val="18"/>
          <w:lang w:val="en-GB"/>
        </w:rPr>
        <w:tab/>
      </w:r>
      <w:r w:rsidRPr="00F378FF">
        <w:rPr>
          <w:sz w:val="18"/>
          <w:szCs w:val="18"/>
          <w:highlight w:val="yellow"/>
          <w:lang w:val="en-GB"/>
        </w:rPr>
        <w:t>For time spent by</w:t>
      </w:r>
      <w:r w:rsidR="000D534D" w:rsidRPr="00F378FF">
        <w:rPr>
          <w:sz w:val="18"/>
          <w:szCs w:val="18"/>
          <w:highlight w:val="yellow"/>
          <w:lang w:val="en-GB"/>
        </w:rPr>
        <w:t xml:space="preserve"> Technical Advisor (33 weeks)</w:t>
      </w:r>
    </w:p>
    <w:p w:rsidR="004841B6" w:rsidRPr="00666B27"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10)</w:t>
      </w:r>
      <w:r w:rsidRPr="00666B27">
        <w:rPr>
          <w:sz w:val="18"/>
          <w:szCs w:val="18"/>
          <w:lang w:val="en-GB"/>
        </w:rPr>
        <w:tab/>
        <w:t>Travel for project staff, international and national experts (Component 2)</w:t>
      </w:r>
    </w:p>
    <w:p w:rsidR="005B5391" w:rsidRPr="00666B27" w:rsidRDefault="00AF39FF"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w:t>
      </w:r>
      <w:r w:rsidR="004841B6" w:rsidRPr="00666B27">
        <w:rPr>
          <w:sz w:val="18"/>
          <w:szCs w:val="18"/>
          <w:lang w:val="en-GB"/>
        </w:rPr>
        <w:t>1</w:t>
      </w:r>
      <w:r w:rsidRPr="00666B27">
        <w:rPr>
          <w:sz w:val="18"/>
          <w:szCs w:val="18"/>
          <w:lang w:val="en-GB"/>
        </w:rPr>
        <w:t>)</w:t>
      </w:r>
      <w:r w:rsidRPr="00666B27">
        <w:rPr>
          <w:sz w:val="18"/>
          <w:szCs w:val="18"/>
          <w:lang w:val="en-GB"/>
        </w:rPr>
        <w:tab/>
        <w:t xml:space="preserve">For subcontracted companies for a) Technical support municipalities and public buildings (USD 440,000), b) design and delivery of </w:t>
      </w:r>
      <w:r w:rsidR="004841B6" w:rsidRPr="00666B27">
        <w:rPr>
          <w:sz w:val="18"/>
          <w:szCs w:val="18"/>
          <w:lang w:val="en-GB"/>
        </w:rPr>
        <w:t>c</w:t>
      </w:r>
      <w:r w:rsidRPr="00666B27">
        <w:rPr>
          <w:sz w:val="18"/>
          <w:szCs w:val="18"/>
          <w:lang w:val="en-GB"/>
        </w:rPr>
        <w:t>ommunication, awareness and knowledge dissemination</w:t>
      </w:r>
      <w:r w:rsidR="004841B6" w:rsidRPr="00666B27">
        <w:rPr>
          <w:sz w:val="18"/>
          <w:szCs w:val="18"/>
          <w:lang w:val="en-GB"/>
        </w:rPr>
        <w:t xml:space="preserve"> (USD 250,000) and technical assistance to selected testing labs (USD 200,000)</w:t>
      </w:r>
    </w:p>
    <w:p w:rsidR="004841B6" w:rsidRPr="00666B27"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12)</w:t>
      </w:r>
      <w:r w:rsidRPr="00666B27">
        <w:rPr>
          <w:sz w:val="18"/>
          <w:szCs w:val="18"/>
          <w:lang w:val="en-GB"/>
        </w:rPr>
        <w:tab/>
        <w:t>Equipment includes office furniture and IT equipment, video equipment (Component 2)</w:t>
      </w:r>
    </w:p>
    <w:p w:rsidR="00AE6303" w:rsidRPr="00666B27" w:rsidRDefault="00AE630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13)</w:t>
      </w:r>
      <w:r w:rsidRPr="00666B27">
        <w:rPr>
          <w:sz w:val="18"/>
          <w:szCs w:val="18"/>
          <w:lang w:val="en-GB"/>
        </w:rPr>
        <w:tab/>
        <w:t>Miscellaneous</w:t>
      </w:r>
    </w:p>
    <w:p w:rsidR="004841B6" w:rsidRPr="00666B27"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14)</w:t>
      </w:r>
      <w:r w:rsidRPr="00666B27">
        <w:rPr>
          <w:sz w:val="18"/>
          <w:szCs w:val="18"/>
          <w:lang w:val="en-GB"/>
        </w:rPr>
        <w:tab/>
        <w:t xml:space="preserve">Office supplies and </w:t>
      </w:r>
      <w:r w:rsidRPr="00666B27">
        <w:rPr>
          <w:noProof/>
          <w:sz w:val="18"/>
          <w:szCs w:val="18"/>
          <w:lang w:val="en-GB"/>
        </w:rPr>
        <w:t>station</w:t>
      </w:r>
      <w:r w:rsidR="00C45283" w:rsidRPr="00666B27">
        <w:rPr>
          <w:noProof/>
          <w:sz w:val="18"/>
          <w:szCs w:val="18"/>
          <w:lang w:val="en-GB"/>
        </w:rPr>
        <w:t>e</w:t>
      </w:r>
      <w:r w:rsidRPr="00666B27">
        <w:rPr>
          <w:noProof/>
          <w:sz w:val="18"/>
          <w:szCs w:val="18"/>
          <w:lang w:val="en-GB"/>
        </w:rPr>
        <w:t>ry</w:t>
      </w:r>
      <w:r w:rsidRPr="00666B27">
        <w:rPr>
          <w:sz w:val="18"/>
          <w:szCs w:val="18"/>
          <w:lang w:val="en-GB"/>
        </w:rPr>
        <w:t>, as well as audio-visual and printing for project publications, reports and for printed materials for workshops and seminars (Component 2)</w:t>
      </w:r>
    </w:p>
    <w:p w:rsidR="004841B6" w:rsidRPr="00666B27"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15)</w:t>
      </w:r>
      <w:r w:rsidRPr="00666B27">
        <w:rPr>
          <w:sz w:val="18"/>
          <w:szCs w:val="18"/>
          <w:lang w:val="en-GB"/>
        </w:rPr>
        <w:tab/>
      </w:r>
      <w:r w:rsidRPr="00666B27">
        <w:rPr>
          <w:noProof/>
          <w:sz w:val="18"/>
          <w:szCs w:val="18"/>
          <w:lang w:val="en-GB"/>
        </w:rPr>
        <w:t>Organisation</w:t>
      </w:r>
      <w:r w:rsidRPr="00666B27">
        <w:rPr>
          <w:sz w:val="18"/>
          <w:szCs w:val="18"/>
          <w:lang w:val="en-GB"/>
        </w:rPr>
        <w:t xml:space="preserve"> of seminar/workshop/training: venue, catering, and support services</w:t>
      </w:r>
    </w:p>
    <w:p w:rsidR="00B436AD"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16)</w:t>
      </w:r>
      <w:r w:rsidRPr="00666B27">
        <w:rPr>
          <w:sz w:val="18"/>
          <w:szCs w:val="18"/>
          <w:lang w:val="en-GB"/>
        </w:rPr>
        <w:tab/>
        <w:t>Component 4 (environmentally sound management). For international consultants (</w:t>
      </w:r>
      <w:r w:rsidR="0028658B">
        <w:rPr>
          <w:sz w:val="18"/>
          <w:szCs w:val="18"/>
          <w:lang w:val="en-GB"/>
        </w:rPr>
        <w:t>24</w:t>
      </w:r>
      <w:r w:rsidR="0028658B" w:rsidRPr="00666B27">
        <w:rPr>
          <w:sz w:val="18"/>
          <w:szCs w:val="18"/>
          <w:lang w:val="en-GB"/>
        </w:rPr>
        <w:t xml:space="preserve"> </w:t>
      </w:r>
      <w:r w:rsidRPr="00666B27">
        <w:rPr>
          <w:sz w:val="18"/>
          <w:szCs w:val="18"/>
          <w:lang w:val="en-GB"/>
        </w:rPr>
        <w:t>person</w:t>
      </w:r>
      <w:r w:rsidR="003B7D62">
        <w:rPr>
          <w:sz w:val="18"/>
          <w:szCs w:val="18"/>
          <w:lang w:val="en-GB"/>
        </w:rPr>
        <w:t>-</w:t>
      </w:r>
      <w:r w:rsidRPr="003B7D62">
        <w:rPr>
          <w:sz w:val="18"/>
          <w:szCs w:val="18"/>
          <w:lang w:val="en-GB"/>
        </w:rPr>
        <w:t>weeks), of which lighting &amp; LED expert (</w:t>
      </w:r>
      <w:r w:rsidR="0028658B">
        <w:rPr>
          <w:sz w:val="18"/>
          <w:szCs w:val="18"/>
          <w:lang w:val="en-GB"/>
        </w:rPr>
        <w:t>6</w:t>
      </w:r>
      <w:r w:rsidR="0028658B" w:rsidRPr="003B7D62">
        <w:rPr>
          <w:sz w:val="18"/>
          <w:szCs w:val="18"/>
          <w:lang w:val="en-GB"/>
        </w:rPr>
        <w:t xml:space="preserve"> </w:t>
      </w:r>
      <w:r w:rsidRPr="003B7D62">
        <w:rPr>
          <w:sz w:val="18"/>
          <w:szCs w:val="18"/>
          <w:lang w:val="en-GB"/>
        </w:rPr>
        <w:t xml:space="preserve">weeks) and distribution transformer experts (10 weeks), and lamp waste management (8 weeks). </w:t>
      </w:r>
    </w:p>
    <w:p w:rsidR="004841B6" w:rsidRPr="00666B27" w:rsidRDefault="00B436AD"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Pr>
          <w:sz w:val="18"/>
          <w:szCs w:val="18"/>
          <w:lang w:val="en-GB"/>
        </w:rPr>
        <w:t>16</w:t>
      </w:r>
      <w:proofErr w:type="gramStart"/>
      <w:r>
        <w:rPr>
          <w:sz w:val="18"/>
          <w:szCs w:val="18"/>
          <w:lang w:val="en-GB"/>
        </w:rPr>
        <w:t xml:space="preserve">a)  </w:t>
      </w:r>
      <w:r w:rsidR="004841B6" w:rsidRPr="003B7D62">
        <w:rPr>
          <w:sz w:val="18"/>
          <w:szCs w:val="18"/>
          <w:lang w:val="en-GB"/>
        </w:rPr>
        <w:t>For</w:t>
      </w:r>
      <w:proofErr w:type="gramEnd"/>
      <w:r w:rsidR="004841B6" w:rsidRPr="003B7D62">
        <w:rPr>
          <w:sz w:val="18"/>
          <w:szCs w:val="18"/>
          <w:lang w:val="en-GB"/>
        </w:rPr>
        <w:t xml:space="preserve"> national consultants (</w:t>
      </w:r>
      <w:r w:rsidR="0028658B">
        <w:rPr>
          <w:sz w:val="18"/>
          <w:szCs w:val="18"/>
          <w:lang w:val="en-GB"/>
        </w:rPr>
        <w:t>20</w:t>
      </w:r>
      <w:r w:rsidR="0028658B" w:rsidRPr="003B7D62">
        <w:rPr>
          <w:sz w:val="18"/>
          <w:szCs w:val="18"/>
          <w:lang w:val="en-GB"/>
        </w:rPr>
        <w:t xml:space="preserve"> </w:t>
      </w:r>
      <w:r w:rsidR="004841B6" w:rsidRPr="004722F0">
        <w:rPr>
          <w:sz w:val="18"/>
          <w:szCs w:val="18"/>
          <w:lang w:val="en-GB"/>
        </w:rPr>
        <w:t>weeks), of which Lighting &amp; LED (</w:t>
      </w:r>
      <w:r w:rsidR="0028658B">
        <w:rPr>
          <w:sz w:val="18"/>
          <w:szCs w:val="18"/>
          <w:lang w:val="en-GB"/>
        </w:rPr>
        <w:t>2</w:t>
      </w:r>
      <w:r w:rsidR="0028658B" w:rsidRPr="004722F0">
        <w:rPr>
          <w:sz w:val="18"/>
          <w:szCs w:val="18"/>
          <w:lang w:val="en-GB"/>
        </w:rPr>
        <w:t xml:space="preserve"> </w:t>
      </w:r>
      <w:r w:rsidR="004841B6" w:rsidRPr="004722F0">
        <w:rPr>
          <w:sz w:val="18"/>
          <w:szCs w:val="18"/>
          <w:lang w:val="en-GB"/>
        </w:rPr>
        <w:t>weeks) and distribution transformation expe</w:t>
      </w:r>
      <w:r w:rsidR="004841B6" w:rsidRPr="00666B27">
        <w:rPr>
          <w:sz w:val="18"/>
          <w:szCs w:val="18"/>
          <w:lang w:val="en-GB"/>
        </w:rPr>
        <w:t>rts (</w:t>
      </w:r>
      <w:r w:rsidR="0028658B">
        <w:rPr>
          <w:sz w:val="18"/>
          <w:szCs w:val="18"/>
          <w:lang w:val="en-GB"/>
        </w:rPr>
        <w:t>10</w:t>
      </w:r>
      <w:r w:rsidR="0028658B" w:rsidRPr="00666B27">
        <w:rPr>
          <w:sz w:val="18"/>
          <w:szCs w:val="18"/>
          <w:lang w:val="en-GB"/>
        </w:rPr>
        <w:t xml:space="preserve"> </w:t>
      </w:r>
      <w:r w:rsidR="004841B6" w:rsidRPr="00666B27">
        <w:rPr>
          <w:sz w:val="18"/>
          <w:szCs w:val="18"/>
          <w:lang w:val="en-GB"/>
        </w:rPr>
        <w:t>weeks) and waste management (8 weeks)</w:t>
      </w:r>
    </w:p>
    <w:p w:rsidR="00EF39D4" w:rsidRPr="00666B27" w:rsidRDefault="004841B6"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17)</w:t>
      </w:r>
      <w:r w:rsidRPr="00666B27">
        <w:rPr>
          <w:sz w:val="18"/>
          <w:szCs w:val="18"/>
          <w:lang w:val="en-GB"/>
        </w:rPr>
        <w:tab/>
      </w:r>
      <w:r w:rsidRPr="00F378FF">
        <w:rPr>
          <w:sz w:val="18"/>
          <w:szCs w:val="18"/>
          <w:highlight w:val="yellow"/>
          <w:lang w:val="en-GB"/>
        </w:rPr>
        <w:t xml:space="preserve">For time spent by </w:t>
      </w:r>
      <w:r w:rsidR="0028658B" w:rsidRPr="00F378FF">
        <w:rPr>
          <w:sz w:val="18"/>
          <w:szCs w:val="18"/>
          <w:highlight w:val="yellow"/>
          <w:lang w:val="en-GB"/>
        </w:rPr>
        <w:t>Technical Advisor (32 weeks)</w:t>
      </w:r>
    </w:p>
    <w:p w:rsidR="00EF39D4" w:rsidRPr="00666B27" w:rsidRDefault="00EF39D4"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18)</w:t>
      </w:r>
      <w:r w:rsidRPr="00666B27">
        <w:rPr>
          <w:sz w:val="18"/>
          <w:szCs w:val="18"/>
          <w:lang w:val="en-GB"/>
        </w:rPr>
        <w:tab/>
        <w:t>Travel for project staff, international and national experts (Component 4)</w:t>
      </w:r>
    </w:p>
    <w:p w:rsidR="002E2FB7" w:rsidRPr="00666B27" w:rsidRDefault="00EF39D4"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19)</w:t>
      </w:r>
      <w:r w:rsidRPr="00666B27">
        <w:rPr>
          <w:sz w:val="18"/>
          <w:szCs w:val="18"/>
          <w:lang w:val="en-GB"/>
        </w:rPr>
        <w:tab/>
        <w:t xml:space="preserve">Equipment includes office furniture and IT equipment (Component 4), as well as equipment purchased as part of Outputs 4.1 and 4.2 to do research and strengthen waste recycling and mercury recovery facilities and facilities to do research on </w:t>
      </w:r>
      <w:r w:rsidRPr="00666B27">
        <w:rPr>
          <w:noProof/>
          <w:sz w:val="18"/>
          <w:szCs w:val="18"/>
          <w:lang w:val="en-GB"/>
        </w:rPr>
        <w:t>processing</w:t>
      </w:r>
      <w:r w:rsidRPr="00666B27">
        <w:rPr>
          <w:sz w:val="18"/>
          <w:szCs w:val="18"/>
          <w:lang w:val="en-GB"/>
        </w:rPr>
        <w:t xml:space="preserve"> of vegetable oil for transformer manufacturing.</w:t>
      </w:r>
    </w:p>
    <w:p w:rsidR="00EF39D4" w:rsidRPr="00666B27" w:rsidRDefault="00EF39D4"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20)</w:t>
      </w:r>
      <w:r w:rsidR="00432E38" w:rsidRPr="00666B27">
        <w:rPr>
          <w:sz w:val="18"/>
          <w:szCs w:val="18"/>
          <w:lang w:val="en-GB"/>
        </w:rPr>
        <w:tab/>
        <w:t xml:space="preserve">Equipment includes office furniture and IT equipment (Component 4), as well as equipment for research and trial production of vegetable oil for oil-filled transformers </w:t>
      </w:r>
    </w:p>
    <w:p w:rsidR="00432E38" w:rsidRPr="00666B27" w:rsidRDefault="00432E38"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21)</w:t>
      </w:r>
      <w:r w:rsidRPr="00666B27">
        <w:rPr>
          <w:sz w:val="18"/>
          <w:szCs w:val="18"/>
          <w:lang w:val="en-GB"/>
        </w:rPr>
        <w:tab/>
        <w:t>Audio-visual and printing for project publications, reports and for printed materials for workshops and seminars</w:t>
      </w:r>
    </w:p>
    <w:p w:rsidR="00432E38" w:rsidRPr="00666B27" w:rsidRDefault="00432E38"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666B27">
        <w:rPr>
          <w:sz w:val="18"/>
          <w:szCs w:val="18"/>
          <w:lang w:val="en-GB"/>
        </w:rPr>
        <w:t>22)</w:t>
      </w:r>
      <w:r w:rsidRPr="00666B27">
        <w:rPr>
          <w:sz w:val="18"/>
          <w:szCs w:val="18"/>
          <w:lang w:val="en-GB"/>
        </w:rPr>
        <w:tab/>
      </w:r>
      <w:r w:rsidRPr="00666B27">
        <w:rPr>
          <w:noProof/>
          <w:sz w:val="18"/>
          <w:szCs w:val="18"/>
          <w:lang w:val="en-GB"/>
        </w:rPr>
        <w:t>Organisation</w:t>
      </w:r>
      <w:r w:rsidRPr="00666B27">
        <w:rPr>
          <w:sz w:val="18"/>
          <w:szCs w:val="18"/>
          <w:lang w:val="en-GB"/>
        </w:rPr>
        <w:t xml:space="preserve"> of seminar/workshop/training: venue, catering, and support services</w:t>
      </w:r>
    </w:p>
    <w:p w:rsidR="00AE6303" w:rsidRPr="003B7D62" w:rsidRDefault="00AE630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lang w:val="en-GB"/>
        </w:rPr>
      </w:pPr>
      <w:r w:rsidRPr="003B7D62">
        <w:rPr>
          <w:sz w:val="18"/>
          <w:szCs w:val="18"/>
          <w:lang w:val="en-GB"/>
        </w:rPr>
        <w:t>24)</w:t>
      </w:r>
      <w:r w:rsidRPr="003B7D62">
        <w:rPr>
          <w:sz w:val="18"/>
          <w:szCs w:val="18"/>
          <w:lang w:val="en-GB"/>
        </w:rPr>
        <w:tab/>
        <w:t>Time spent on managerial and general organizational-administrative tasks by Project Manager (</w:t>
      </w:r>
      <w:r w:rsidR="0028658B">
        <w:rPr>
          <w:sz w:val="18"/>
          <w:szCs w:val="18"/>
          <w:lang w:val="en-GB"/>
        </w:rPr>
        <w:t>110 w</w:t>
      </w:r>
      <w:r w:rsidRPr="003B7D62">
        <w:rPr>
          <w:sz w:val="18"/>
          <w:szCs w:val="18"/>
          <w:lang w:val="en-GB"/>
        </w:rPr>
        <w:t>eeks) and Project Assistant (</w:t>
      </w:r>
      <w:r w:rsidR="0028658B">
        <w:rPr>
          <w:sz w:val="18"/>
          <w:szCs w:val="18"/>
          <w:lang w:val="en-GB"/>
        </w:rPr>
        <w:t xml:space="preserve">188 </w:t>
      </w:r>
      <w:r w:rsidRPr="003B7D62">
        <w:rPr>
          <w:sz w:val="18"/>
          <w:szCs w:val="18"/>
          <w:lang w:val="en-GB"/>
        </w:rPr>
        <w:t>person</w:t>
      </w:r>
      <w:r w:rsidR="003B7D62">
        <w:rPr>
          <w:sz w:val="18"/>
          <w:szCs w:val="18"/>
          <w:lang w:val="en-GB"/>
        </w:rPr>
        <w:t>-</w:t>
      </w:r>
      <w:r w:rsidRPr="003B7D62">
        <w:rPr>
          <w:sz w:val="18"/>
          <w:szCs w:val="18"/>
          <w:lang w:val="en-GB"/>
        </w:rPr>
        <w:t>weeks)</w:t>
      </w:r>
    </w:p>
    <w:p w:rsidR="00AE6303" w:rsidRPr="00F378FF" w:rsidRDefault="00AE630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highlight w:val="yellow"/>
          <w:lang w:val="en-GB"/>
        </w:rPr>
      </w:pPr>
      <w:r w:rsidRPr="004722F0">
        <w:rPr>
          <w:sz w:val="18"/>
          <w:szCs w:val="18"/>
          <w:lang w:val="en-GB"/>
        </w:rPr>
        <w:t>25)</w:t>
      </w:r>
      <w:r w:rsidRPr="004722F0">
        <w:rPr>
          <w:sz w:val="18"/>
          <w:szCs w:val="18"/>
          <w:lang w:val="en-GB"/>
        </w:rPr>
        <w:tab/>
      </w:r>
      <w:r w:rsidRPr="00F378FF">
        <w:rPr>
          <w:sz w:val="18"/>
          <w:szCs w:val="18"/>
          <w:highlight w:val="yellow"/>
          <w:lang w:val="en-GB"/>
        </w:rPr>
        <w:t>Travel for M&amp;E (see Budget Note 23) and project staff (Project manager)</w:t>
      </w:r>
    </w:p>
    <w:p w:rsidR="00625F44" w:rsidRPr="00F378FF" w:rsidRDefault="00625F44"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highlight w:val="yellow"/>
          <w:lang w:val="en-GB"/>
        </w:rPr>
      </w:pPr>
      <w:r w:rsidRPr="00F378FF">
        <w:rPr>
          <w:sz w:val="18"/>
          <w:szCs w:val="18"/>
          <w:highlight w:val="yellow"/>
          <w:lang w:val="en-GB"/>
        </w:rPr>
        <w:t xml:space="preserve">26)     Audit fee – </w:t>
      </w:r>
      <w:r w:rsidRPr="00F378FF">
        <w:rPr>
          <w:sz w:val="16"/>
          <w:szCs w:val="16"/>
          <w:highlight w:val="yellow"/>
        </w:rPr>
        <w:t>Annually as per DBSA and UNDP audit policies</w:t>
      </w:r>
    </w:p>
    <w:p w:rsidR="00AE6303" w:rsidRPr="00F378FF" w:rsidRDefault="00AE6303" w:rsidP="00844305">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426"/>
        </w:tabs>
        <w:spacing w:after="0"/>
        <w:ind w:left="426" w:hanging="426"/>
        <w:rPr>
          <w:sz w:val="18"/>
          <w:szCs w:val="18"/>
          <w:highlight w:val="yellow"/>
          <w:lang w:val="en-GB"/>
        </w:rPr>
      </w:pPr>
      <w:r w:rsidRPr="00F378FF">
        <w:rPr>
          <w:sz w:val="18"/>
          <w:szCs w:val="18"/>
          <w:highlight w:val="yellow"/>
          <w:lang w:val="en-GB"/>
        </w:rPr>
        <w:t>2</w:t>
      </w:r>
      <w:r w:rsidR="00625F44" w:rsidRPr="00F378FF">
        <w:rPr>
          <w:sz w:val="18"/>
          <w:szCs w:val="18"/>
          <w:highlight w:val="yellow"/>
          <w:lang w:val="en-GB"/>
        </w:rPr>
        <w:t>7</w:t>
      </w:r>
      <w:r w:rsidRPr="00F378FF">
        <w:rPr>
          <w:sz w:val="18"/>
          <w:szCs w:val="18"/>
          <w:highlight w:val="yellow"/>
          <w:lang w:val="en-GB"/>
        </w:rPr>
        <w:t>)</w:t>
      </w:r>
      <w:r w:rsidRPr="00F378FF">
        <w:rPr>
          <w:sz w:val="18"/>
          <w:szCs w:val="18"/>
          <w:highlight w:val="yellow"/>
          <w:lang w:val="en-GB"/>
        </w:rPr>
        <w:tab/>
      </w:r>
      <w:r w:rsidR="008207DB" w:rsidRPr="00F378FF">
        <w:rPr>
          <w:sz w:val="18"/>
          <w:szCs w:val="18"/>
          <w:highlight w:val="yellow"/>
          <w:lang w:val="en-GB"/>
        </w:rPr>
        <w:t>Office and IT equipment and operating cost of Project Management Unit</w:t>
      </w:r>
    </w:p>
    <w:p w:rsidR="00432E38" w:rsidRPr="00666B27" w:rsidRDefault="00432E38" w:rsidP="004841B6">
      <w:pPr>
        <w:tabs>
          <w:tab w:val="left" w:pos="426"/>
        </w:tabs>
        <w:spacing w:after="0"/>
        <w:ind w:left="426" w:hanging="426"/>
        <w:rPr>
          <w:sz w:val="18"/>
          <w:szCs w:val="18"/>
          <w:lang w:val="en-GB"/>
        </w:rPr>
      </w:pPr>
    </w:p>
    <w:p w:rsidR="004841B6" w:rsidRPr="00666B27" w:rsidRDefault="00352E0D">
      <w:pPr>
        <w:spacing w:after="0"/>
        <w:jc w:val="left"/>
        <w:rPr>
          <w:lang w:val="en-GB"/>
        </w:rPr>
      </w:pPr>
      <w:r w:rsidRPr="00666B27">
        <w:rPr>
          <w:szCs w:val="20"/>
          <w:lang w:val="en-GB"/>
        </w:rPr>
        <w:t xml:space="preserve">Details of the UNDP and DBSA budgets and co-financing are provided in Annex H. </w:t>
      </w:r>
      <w:r w:rsidR="004841B6" w:rsidRPr="00666B27">
        <w:rPr>
          <w:sz w:val="18"/>
          <w:szCs w:val="18"/>
          <w:lang w:val="en-GB"/>
        </w:rPr>
        <w:br w:type="page"/>
      </w:r>
    </w:p>
    <w:p w:rsidR="002E2FB7" w:rsidRPr="00666B27" w:rsidRDefault="002E2FB7" w:rsidP="002E2FB7">
      <w:pPr>
        <w:rPr>
          <w:lang w:val="en-GB"/>
        </w:rPr>
      </w:pPr>
    </w:p>
    <w:p w:rsidR="003E3ABA" w:rsidRPr="00666B27" w:rsidRDefault="003E3ABA" w:rsidP="002E2FB7">
      <w:pPr>
        <w:pStyle w:val="Heading1"/>
        <w:tabs>
          <w:tab w:val="left" w:pos="851"/>
        </w:tabs>
      </w:pPr>
      <w:bookmarkStart w:id="178" w:name="_Toc340773"/>
      <w:r w:rsidRPr="00666B27">
        <w:t>Legal Context</w:t>
      </w:r>
      <w:bookmarkEnd w:id="175"/>
      <w:bookmarkEnd w:id="178"/>
    </w:p>
    <w:p w:rsidR="00055F28" w:rsidRPr="00666B27" w:rsidRDefault="00055F28" w:rsidP="0011260C">
      <w:pPr>
        <w:rPr>
          <w:lang w:val="en-GB"/>
        </w:rPr>
      </w:pPr>
    </w:p>
    <w:p w:rsidR="00F62A77" w:rsidRPr="00666B27" w:rsidRDefault="00F62A77" w:rsidP="0011260C">
      <w:pPr>
        <w:rPr>
          <w:lang w:val="en-GB"/>
        </w:rPr>
      </w:pPr>
      <w:r w:rsidRPr="00666B27">
        <w:rPr>
          <w:lang w:val="en-GB"/>
        </w:rPr>
        <w:t xml:space="preserve">This project document shall be the instrument referred to as such in Article 1 of the Standard Basic Assistance Agreement between the Government of </w:t>
      </w:r>
      <w:r w:rsidR="00680091" w:rsidRPr="00666B27">
        <w:rPr>
          <w:lang w:val="en-GB"/>
        </w:rPr>
        <w:t>South Africa and UNDP.</w:t>
      </w:r>
      <w:r w:rsidRPr="00666B27">
        <w:rPr>
          <w:lang w:val="en-GB"/>
        </w:rPr>
        <w:t>   All references in the SBAA to “Executing Agency” shall be deemed to refer to “Implementing Partner.”</w:t>
      </w:r>
    </w:p>
    <w:p w:rsidR="00F62A77" w:rsidRPr="00666B27" w:rsidRDefault="00F62A77" w:rsidP="00E223D9">
      <w:pPr>
        <w:jc w:val="left"/>
        <w:rPr>
          <w:rFonts w:cs="Arial"/>
          <w:szCs w:val="20"/>
          <w:lang w:val="en-GB"/>
        </w:rPr>
      </w:pPr>
    </w:p>
    <w:p w:rsidR="00F62A77" w:rsidRPr="00666B27" w:rsidRDefault="00F62A77" w:rsidP="00E223D9">
      <w:pPr>
        <w:jc w:val="left"/>
        <w:rPr>
          <w:rFonts w:cs="Arial"/>
          <w:szCs w:val="20"/>
          <w:lang w:val="en-GB"/>
        </w:rPr>
      </w:pPr>
      <w:r w:rsidRPr="00666B27">
        <w:rPr>
          <w:rFonts w:cs="Arial"/>
          <w:szCs w:val="20"/>
          <w:lang w:val="en-GB"/>
        </w:rPr>
        <w:t>This project will be implemented by</w:t>
      </w:r>
      <w:r w:rsidR="00680091" w:rsidRPr="00666B27">
        <w:rPr>
          <w:rFonts w:cs="Arial"/>
          <w:szCs w:val="20"/>
          <w:lang w:val="en-GB"/>
        </w:rPr>
        <w:t xml:space="preserve"> the Department of Energy</w:t>
      </w:r>
      <w:r w:rsidRPr="00666B27">
        <w:rPr>
          <w:rFonts w:cs="Arial"/>
          <w:szCs w:val="20"/>
          <w:lang w:val="en-GB"/>
        </w:rPr>
        <w:t xml:space="preserve"> (“Implementing Partner”) in accordance with its financial regulations, rules, practices </w:t>
      </w:r>
      <w:r w:rsidRPr="00666B27">
        <w:rPr>
          <w:rFonts w:cs="Arial"/>
          <w:noProof/>
          <w:szCs w:val="20"/>
          <w:lang w:val="en-GB"/>
        </w:rPr>
        <w:t>and</w:t>
      </w:r>
      <w:r w:rsidRPr="00666B27">
        <w:rPr>
          <w:rFonts w:cs="Arial"/>
          <w:szCs w:val="20"/>
          <w:lang w:val="en-GB"/>
        </w:rPr>
        <w:t xml:space="preserve"> procedures only to the extent that they do not contravene the principles of the Financial Regulations and Rules of UNDP. Where the financial governance of an Implementing Partner does not provide the required guidance to ensure </w:t>
      </w:r>
      <w:r w:rsidRPr="00666B27">
        <w:rPr>
          <w:rFonts w:cs="Arial"/>
          <w:noProof/>
          <w:szCs w:val="20"/>
          <w:lang w:val="en-GB"/>
        </w:rPr>
        <w:t>best</w:t>
      </w:r>
      <w:r w:rsidRPr="00666B27">
        <w:rPr>
          <w:rFonts w:cs="Arial"/>
          <w:szCs w:val="20"/>
          <w:lang w:val="en-GB"/>
        </w:rPr>
        <w:t xml:space="preserve"> value for money, fairness, integrity, transparency, and effective international competition, the financial governance of UNDP shall apply.</w:t>
      </w:r>
    </w:p>
    <w:p w:rsidR="00F62A77" w:rsidRPr="00666B27" w:rsidRDefault="00F62A77" w:rsidP="00E223D9">
      <w:pPr>
        <w:jc w:val="left"/>
        <w:rPr>
          <w:rFonts w:cs="Arial"/>
          <w:szCs w:val="20"/>
          <w:lang w:val="en-GB"/>
        </w:rPr>
      </w:pPr>
    </w:p>
    <w:p w:rsidR="00F62A77" w:rsidRPr="00666B27" w:rsidRDefault="00F62A77" w:rsidP="00E223D9">
      <w:pPr>
        <w:jc w:val="left"/>
        <w:rPr>
          <w:szCs w:val="20"/>
          <w:lang w:val="en-GB"/>
        </w:rPr>
      </w:pPr>
    </w:p>
    <w:p w:rsidR="00A94FFC" w:rsidRPr="00666B27" w:rsidRDefault="00A94FFC" w:rsidP="001E1DBB">
      <w:pPr>
        <w:tabs>
          <w:tab w:val="left" w:pos="567"/>
        </w:tabs>
        <w:jc w:val="left"/>
        <w:rPr>
          <w:rFonts w:ascii="Arial" w:hAnsi="Arial" w:cs="Arial"/>
          <w:szCs w:val="20"/>
          <w:lang w:val="en-GB"/>
        </w:rPr>
      </w:pPr>
    </w:p>
    <w:p w:rsidR="00A94FFC" w:rsidRPr="00666B27" w:rsidRDefault="005600C2" w:rsidP="001E1DBB">
      <w:pPr>
        <w:pStyle w:val="Heading1"/>
        <w:tabs>
          <w:tab w:val="left" w:pos="567"/>
        </w:tabs>
        <w:spacing w:before="0"/>
        <w:rPr>
          <w:rFonts w:ascii="Arial" w:hAnsi="Arial"/>
        </w:rPr>
      </w:pPr>
      <w:bookmarkStart w:id="179" w:name="_Toc497848314"/>
      <w:r w:rsidRPr="00666B27">
        <w:rPr>
          <w:rFonts w:ascii="Arial" w:hAnsi="Arial"/>
        </w:rPr>
        <w:tab/>
      </w:r>
      <w:bookmarkStart w:id="180" w:name="_Toc340774"/>
      <w:r w:rsidR="00A94FFC" w:rsidRPr="00666B27">
        <w:rPr>
          <w:rFonts w:ascii="Arial" w:hAnsi="Arial"/>
        </w:rPr>
        <w:t>Risk Management</w:t>
      </w:r>
      <w:bookmarkEnd w:id="179"/>
      <w:bookmarkEnd w:id="180"/>
    </w:p>
    <w:p w:rsidR="00A94FFC" w:rsidRPr="00666B27" w:rsidRDefault="00A94FFC" w:rsidP="00E223D9">
      <w:pPr>
        <w:jc w:val="left"/>
        <w:rPr>
          <w:szCs w:val="20"/>
          <w:lang w:val="en-GB"/>
        </w:rPr>
      </w:pPr>
    </w:p>
    <w:p w:rsidR="00A94FFC" w:rsidRPr="00666B27" w:rsidRDefault="00A94FFC" w:rsidP="00E223D9">
      <w:pPr>
        <w:pStyle w:val="ListParagraph"/>
        <w:ind w:left="0"/>
        <w:rPr>
          <w:rFonts w:ascii="Calibri" w:hAnsi="Calibri" w:cs="Arial"/>
          <w:sz w:val="20"/>
          <w:szCs w:val="20"/>
          <w:lang w:val="en-GB"/>
        </w:rPr>
      </w:pPr>
      <w:r w:rsidRPr="00666B27">
        <w:rPr>
          <w:rFonts w:ascii="Calibri" w:hAnsi="Calibri" w:cs="Arial"/>
          <w:sz w:val="20"/>
          <w:szCs w:val="20"/>
          <w:lang w:val="en-GB"/>
        </w:rPr>
        <w:t>Consistent with the Article III of the SBAA, the responsibility for the safety and security of the Implementing Partner and its personnel and property, and of UNDP’s property in the Implementing Partner’s custody, rests with the Implementing Partner.  To this end, the Implementing Partner shall:</w:t>
      </w:r>
    </w:p>
    <w:p w:rsidR="00A94FFC" w:rsidRPr="00666B27" w:rsidRDefault="00A94FFC" w:rsidP="00731F0C">
      <w:pPr>
        <w:numPr>
          <w:ilvl w:val="0"/>
          <w:numId w:val="7"/>
        </w:numPr>
        <w:jc w:val="left"/>
        <w:rPr>
          <w:rFonts w:cs="Arial"/>
          <w:szCs w:val="20"/>
          <w:lang w:val="en-GB"/>
        </w:rPr>
      </w:pPr>
      <w:r w:rsidRPr="00666B27">
        <w:rPr>
          <w:rFonts w:cs="Arial"/>
          <w:szCs w:val="20"/>
          <w:lang w:val="en-GB"/>
        </w:rPr>
        <w:t xml:space="preserve">put in place an appropriate security plan and maintain the security plan, </w:t>
      </w:r>
      <w:proofErr w:type="gramStart"/>
      <w:r w:rsidRPr="00666B27">
        <w:rPr>
          <w:rFonts w:cs="Arial"/>
          <w:szCs w:val="20"/>
          <w:lang w:val="en-GB"/>
        </w:rPr>
        <w:t>taking into account</w:t>
      </w:r>
      <w:proofErr w:type="gramEnd"/>
      <w:r w:rsidRPr="00666B27">
        <w:rPr>
          <w:rFonts w:cs="Arial"/>
          <w:szCs w:val="20"/>
          <w:lang w:val="en-GB"/>
        </w:rPr>
        <w:t xml:space="preserve"> the security situation in the country where the project is being carried;</w:t>
      </w:r>
    </w:p>
    <w:p w:rsidR="00A94FFC" w:rsidRPr="00666B27" w:rsidRDefault="00A94FFC" w:rsidP="00731F0C">
      <w:pPr>
        <w:numPr>
          <w:ilvl w:val="0"/>
          <w:numId w:val="7"/>
        </w:numPr>
        <w:jc w:val="left"/>
        <w:rPr>
          <w:rFonts w:cs="Arial"/>
          <w:szCs w:val="20"/>
          <w:lang w:val="en-GB"/>
        </w:rPr>
      </w:pPr>
      <w:r w:rsidRPr="00666B27">
        <w:rPr>
          <w:rFonts w:cs="Arial"/>
          <w:szCs w:val="20"/>
          <w:lang w:val="en-GB"/>
        </w:rPr>
        <w:t xml:space="preserve">assume all risks and liabilities related to the Implementing Partner’s </w:t>
      </w:r>
      <w:r w:rsidRPr="00666B27">
        <w:rPr>
          <w:rFonts w:cs="Arial"/>
          <w:noProof/>
          <w:szCs w:val="20"/>
          <w:lang w:val="en-GB"/>
        </w:rPr>
        <w:t>security,</w:t>
      </w:r>
      <w:r w:rsidRPr="00666B27">
        <w:rPr>
          <w:rFonts w:cs="Arial"/>
          <w:szCs w:val="20"/>
          <w:lang w:val="en-GB"/>
        </w:rPr>
        <w:t xml:space="preserve"> and the full implementation of the security plan.</w:t>
      </w:r>
    </w:p>
    <w:p w:rsidR="00A94FFC" w:rsidRPr="00666B27" w:rsidRDefault="00A94FFC" w:rsidP="00E223D9">
      <w:pPr>
        <w:pStyle w:val="ListParagraph"/>
        <w:ind w:left="0"/>
        <w:rPr>
          <w:rFonts w:ascii="Calibri" w:hAnsi="Calibri" w:cs="Arial"/>
          <w:sz w:val="20"/>
          <w:szCs w:val="20"/>
          <w:lang w:val="en-GB"/>
        </w:rPr>
      </w:pPr>
    </w:p>
    <w:p w:rsidR="00A94FFC" w:rsidRPr="00666B27" w:rsidRDefault="00A94FFC" w:rsidP="00E223D9">
      <w:pPr>
        <w:pStyle w:val="ListParagraph"/>
        <w:ind w:left="0"/>
        <w:rPr>
          <w:rFonts w:ascii="Calibri" w:hAnsi="Calibri" w:cs="Arial"/>
          <w:sz w:val="20"/>
          <w:szCs w:val="20"/>
          <w:lang w:val="en-GB"/>
        </w:rPr>
      </w:pPr>
      <w:r w:rsidRPr="00666B27">
        <w:rPr>
          <w:rFonts w:ascii="Calibri" w:hAnsi="Calibri" w:cs="Arial"/>
          <w:sz w:val="20"/>
          <w:szCs w:val="20"/>
          <w:lang w:val="en-GB"/>
        </w:rPr>
        <w:t xml:space="preserve">UNDP reserves the right to verify whether such a plan is in </w:t>
      </w:r>
      <w:r w:rsidRPr="00666B27">
        <w:rPr>
          <w:rFonts w:ascii="Calibri" w:hAnsi="Calibri" w:cs="Arial"/>
          <w:noProof/>
          <w:sz w:val="20"/>
          <w:szCs w:val="20"/>
          <w:lang w:val="en-GB"/>
        </w:rPr>
        <w:t>place,</w:t>
      </w:r>
      <w:r w:rsidRPr="00666B27">
        <w:rPr>
          <w:rFonts w:ascii="Calibri" w:hAnsi="Calibri" w:cs="Arial"/>
          <w:sz w:val="20"/>
          <w:szCs w:val="20"/>
          <w:lang w:val="en-GB"/>
        </w:rPr>
        <w:t xml:space="preserve"> and to suggest modifications to the plan when necessary. Failure to maintain and implement an appropriate security plan as required hereunder shall be deemed a breach of the Implementing Partner’s obligations under this Project Document.</w:t>
      </w:r>
    </w:p>
    <w:p w:rsidR="00680091" w:rsidRPr="00666B27" w:rsidRDefault="00680091" w:rsidP="00E223D9">
      <w:pPr>
        <w:pStyle w:val="ListParagraph"/>
        <w:ind w:left="0"/>
        <w:rPr>
          <w:rFonts w:ascii="Calibri" w:hAnsi="Calibri" w:cs="Arial"/>
          <w:sz w:val="20"/>
          <w:szCs w:val="20"/>
          <w:lang w:val="en-GB"/>
        </w:rPr>
      </w:pPr>
    </w:p>
    <w:p w:rsidR="00A94FFC" w:rsidRPr="003B7D62" w:rsidRDefault="00A94FFC" w:rsidP="00E223D9">
      <w:pPr>
        <w:pStyle w:val="ListParagraph"/>
        <w:ind w:left="0"/>
        <w:rPr>
          <w:rFonts w:ascii="Calibri" w:hAnsi="Calibri" w:cs="Arial"/>
          <w:sz w:val="20"/>
          <w:szCs w:val="20"/>
          <w:lang w:val="en-GB"/>
        </w:rPr>
      </w:pPr>
      <w:r w:rsidRPr="00666B27">
        <w:rPr>
          <w:rFonts w:ascii="Calibri" w:hAnsi="Calibri" w:cs="Arial"/>
          <w:sz w:val="20"/>
          <w:szCs w:val="20"/>
          <w:lang w:val="en-GB"/>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82" w:history="1">
        <w:r w:rsidRPr="00666B27">
          <w:rPr>
            <w:rStyle w:val="Hyperlink"/>
            <w:rFonts w:ascii="Calibri" w:hAnsi="Calibri" w:cs="Arial"/>
            <w:sz w:val="20"/>
            <w:szCs w:val="20"/>
            <w:lang w:val="en-GB"/>
          </w:rPr>
          <w:t>http://www.un.org/sc/committees/1267/aq_sanctions_list.shtml</w:t>
        </w:r>
      </w:hyperlink>
      <w:r w:rsidRPr="0057545E">
        <w:rPr>
          <w:rFonts w:ascii="Calibri" w:hAnsi="Calibri" w:cs="Arial"/>
          <w:color w:val="000080"/>
          <w:sz w:val="20"/>
          <w:szCs w:val="20"/>
          <w:lang w:val="en-GB"/>
        </w:rPr>
        <w:t>.</w:t>
      </w:r>
      <w:r w:rsidRPr="00353542">
        <w:rPr>
          <w:rFonts w:ascii="Calibri" w:hAnsi="Calibri" w:cs="Arial"/>
          <w:sz w:val="20"/>
          <w:szCs w:val="20"/>
          <w:lang w:val="en-GB"/>
        </w:rPr>
        <w:t xml:space="preserve">  </w:t>
      </w:r>
    </w:p>
    <w:p w:rsidR="00A94FFC" w:rsidRPr="004722F0" w:rsidRDefault="00A94FFC" w:rsidP="00E223D9">
      <w:pPr>
        <w:pStyle w:val="ListParagraph"/>
        <w:ind w:left="360"/>
        <w:rPr>
          <w:rFonts w:ascii="Calibri" w:hAnsi="Calibri" w:cs="Arial"/>
          <w:sz w:val="20"/>
          <w:szCs w:val="20"/>
          <w:lang w:val="en-GB"/>
        </w:rPr>
      </w:pPr>
    </w:p>
    <w:p w:rsidR="00E223D9" w:rsidRPr="00353542" w:rsidRDefault="00A94FFC" w:rsidP="00E223D9">
      <w:pPr>
        <w:pStyle w:val="ListParagraph"/>
        <w:spacing w:after="240"/>
        <w:ind w:left="0"/>
        <w:rPr>
          <w:rFonts w:ascii="Calibri" w:hAnsi="Calibri" w:cs="Arial"/>
          <w:sz w:val="20"/>
          <w:szCs w:val="20"/>
          <w:lang w:val="en-GB"/>
        </w:rPr>
      </w:pPr>
      <w:r w:rsidRPr="00666B27">
        <w:rPr>
          <w:rFonts w:ascii="Calibri" w:hAnsi="Calibri" w:cs="Arial"/>
          <w:sz w:val="20"/>
          <w:szCs w:val="20"/>
          <w:lang w:val="en-GB"/>
        </w:rPr>
        <w:t xml:space="preserve">Social and environmental sustainability will be enhanced through </w:t>
      </w:r>
      <w:r w:rsidRPr="00666B27">
        <w:rPr>
          <w:rFonts w:ascii="Calibri" w:hAnsi="Calibri" w:cs="Arial"/>
          <w:noProof/>
          <w:sz w:val="20"/>
          <w:szCs w:val="20"/>
          <w:lang w:val="en-GB"/>
        </w:rPr>
        <w:t>application</w:t>
      </w:r>
      <w:r w:rsidRPr="00666B27">
        <w:rPr>
          <w:rFonts w:ascii="Calibri" w:hAnsi="Calibri" w:cs="Arial"/>
          <w:sz w:val="20"/>
          <w:szCs w:val="20"/>
          <w:lang w:val="en-GB"/>
        </w:rPr>
        <w:t xml:space="preserve"> of the UNDP Social and Environmental Standards (</w:t>
      </w:r>
      <w:hyperlink r:id="rId83" w:history="1">
        <w:r w:rsidR="00E223D9" w:rsidRPr="00666B27">
          <w:rPr>
            <w:rStyle w:val="Hyperlink"/>
            <w:rFonts w:ascii="Calibri" w:hAnsi="Calibri" w:cs="Arial"/>
            <w:sz w:val="20"/>
            <w:szCs w:val="20"/>
            <w:lang w:val="en-GB"/>
          </w:rPr>
          <w:t>http://www.undp.org/ses</w:t>
        </w:r>
      </w:hyperlink>
      <w:r w:rsidRPr="0057545E">
        <w:rPr>
          <w:rFonts w:ascii="Calibri" w:hAnsi="Calibri" w:cs="Arial"/>
          <w:sz w:val="20"/>
          <w:szCs w:val="20"/>
          <w:lang w:val="en-GB"/>
        </w:rPr>
        <w:t>)</w:t>
      </w:r>
      <w:r w:rsidR="00E223D9" w:rsidRPr="00353542">
        <w:rPr>
          <w:rFonts w:ascii="Calibri" w:hAnsi="Calibri" w:cs="Arial"/>
          <w:sz w:val="20"/>
          <w:szCs w:val="20"/>
          <w:lang w:val="en-GB"/>
        </w:rPr>
        <w:t xml:space="preserve"> </w:t>
      </w:r>
      <w:r w:rsidRPr="003B7D62">
        <w:rPr>
          <w:rFonts w:ascii="Calibri" w:hAnsi="Calibri" w:cs="Arial"/>
          <w:sz w:val="20"/>
          <w:szCs w:val="20"/>
          <w:lang w:val="en-GB"/>
        </w:rPr>
        <w:t>and related Accountability Mechanism (</w:t>
      </w:r>
      <w:hyperlink r:id="rId84" w:history="1">
        <w:r w:rsidR="00E223D9" w:rsidRPr="00666B27">
          <w:rPr>
            <w:rStyle w:val="Hyperlink"/>
            <w:rFonts w:ascii="Calibri" w:hAnsi="Calibri" w:cs="Arial"/>
            <w:sz w:val="20"/>
            <w:szCs w:val="20"/>
            <w:lang w:val="en-GB"/>
          </w:rPr>
          <w:t>http://www.undp.org/secu-srm</w:t>
        </w:r>
      </w:hyperlink>
      <w:r w:rsidRPr="0057545E">
        <w:rPr>
          <w:rFonts w:ascii="Calibri" w:hAnsi="Calibri" w:cs="Arial"/>
          <w:sz w:val="20"/>
          <w:szCs w:val="20"/>
          <w:lang w:val="en-GB"/>
        </w:rPr>
        <w:t>).</w:t>
      </w:r>
    </w:p>
    <w:p w:rsidR="00A94FFC" w:rsidRPr="00666B27" w:rsidRDefault="00A94FFC" w:rsidP="00E223D9">
      <w:pPr>
        <w:pStyle w:val="ListParagraph"/>
        <w:spacing w:after="240"/>
        <w:ind w:left="0"/>
        <w:rPr>
          <w:rFonts w:ascii="Calibri" w:hAnsi="Calibri" w:cs="Arial"/>
          <w:sz w:val="20"/>
          <w:szCs w:val="20"/>
          <w:lang w:val="en-GB"/>
        </w:rPr>
      </w:pPr>
      <w:r w:rsidRPr="003B7D62">
        <w:rPr>
          <w:rFonts w:ascii="Calibri" w:hAnsi="Calibri" w:cs="Arial"/>
          <w:color w:val="101010"/>
          <w:spacing w:val="-6"/>
          <w:kern w:val="1"/>
          <w:sz w:val="20"/>
          <w:szCs w:val="20"/>
          <w:lang w:val="en-GB"/>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4722F0">
        <w:rPr>
          <w:rFonts w:ascii="Calibri" w:hAnsi="Calibri" w:cs="Arial"/>
          <w:color w:val="141414"/>
          <w:spacing w:val="-4"/>
          <w:sz w:val="20"/>
          <w:szCs w:val="20"/>
          <w:lang w:val="en-GB"/>
        </w:rPr>
        <w:t>UNDP</w:t>
      </w:r>
      <w:r w:rsidRPr="00666B27">
        <w:rPr>
          <w:rFonts w:ascii="Calibri" w:hAnsi="Calibri" w:cs="Arial"/>
          <w:sz w:val="20"/>
          <w:szCs w:val="20"/>
          <w:lang w:val="en-GB"/>
        </w:rPr>
        <w:t xml:space="preserve"> will seek to ensure that communities and other project stakeholders are informed of and have access to the Accountability Mechanism. </w:t>
      </w:r>
    </w:p>
    <w:p w:rsidR="00A94FFC" w:rsidRPr="00666B27" w:rsidRDefault="00A94FFC" w:rsidP="00E223D9">
      <w:pPr>
        <w:pStyle w:val="ListParagraph"/>
        <w:spacing w:before="240" w:after="240"/>
        <w:ind w:left="0"/>
        <w:rPr>
          <w:rFonts w:ascii="Calibri" w:hAnsi="Calibri" w:cs="Arial"/>
          <w:spacing w:val="-4"/>
          <w:sz w:val="20"/>
          <w:szCs w:val="20"/>
          <w:lang w:val="en-GB"/>
        </w:rPr>
      </w:pPr>
      <w:r w:rsidRPr="00666B27">
        <w:rPr>
          <w:rFonts w:ascii="Calibri" w:hAnsi="Calibri" w:cs="Arial"/>
          <w:spacing w:val="-4"/>
          <w:sz w:val="20"/>
          <w:szCs w:val="20"/>
          <w:lang w:val="en-GB"/>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rsidR="00A94FFC" w:rsidRPr="00666B27" w:rsidRDefault="00A94FFC" w:rsidP="00E223D9">
      <w:pPr>
        <w:autoSpaceDE w:val="0"/>
        <w:autoSpaceDN w:val="0"/>
        <w:adjustRightInd w:val="0"/>
        <w:spacing w:after="0"/>
        <w:jc w:val="left"/>
        <w:rPr>
          <w:rFonts w:eastAsia="Calibri" w:cs="Arial"/>
          <w:color w:val="000000"/>
          <w:szCs w:val="20"/>
          <w:lang w:val="en-GB"/>
        </w:rPr>
      </w:pPr>
      <w:r w:rsidRPr="00666B27">
        <w:rPr>
          <w:rFonts w:eastAsia="Calibri" w:cs="Arial"/>
          <w:color w:val="000000"/>
          <w:szCs w:val="20"/>
          <w:lang w:val="en-GB"/>
        </w:rPr>
        <w:lastRenderedPageBreak/>
        <w:t xml:space="preserve">The Implementing Partner will take appropriate steps to prevent misuse of funds, fraud or corruption, by its officials, consultants, responsible parties, subcontractors and sub-recipients in implementing the </w:t>
      </w:r>
      <w:r w:rsidRPr="00666B27">
        <w:rPr>
          <w:rFonts w:eastAsia="Calibri" w:cs="Arial"/>
          <w:noProof/>
          <w:color w:val="000000"/>
          <w:szCs w:val="20"/>
          <w:lang w:val="en-GB"/>
        </w:rPr>
        <w:t>project or</w:t>
      </w:r>
      <w:r w:rsidRPr="00666B27">
        <w:rPr>
          <w:rFonts w:eastAsia="Calibri" w:cs="Arial"/>
          <w:color w:val="000000"/>
          <w:szCs w:val="20"/>
          <w:lang w:val="en-GB"/>
        </w:rPr>
        <w:t xml:space="preserve"> using UNDP funds.  The Implementing Partner will ensure that its financial management, anti-corruption and anti-fraud policies are in place and enforced for all funding received from or through UNDP.</w:t>
      </w:r>
    </w:p>
    <w:p w:rsidR="00A94FFC" w:rsidRPr="00666B27" w:rsidRDefault="00A94FFC" w:rsidP="00E223D9">
      <w:pPr>
        <w:autoSpaceDE w:val="0"/>
        <w:autoSpaceDN w:val="0"/>
        <w:adjustRightInd w:val="0"/>
        <w:spacing w:after="0"/>
        <w:ind w:left="360"/>
        <w:jc w:val="left"/>
        <w:rPr>
          <w:rFonts w:eastAsia="Calibri" w:cs="Arial"/>
          <w:color w:val="000000"/>
          <w:szCs w:val="20"/>
          <w:lang w:val="en-GB"/>
        </w:rPr>
      </w:pPr>
    </w:p>
    <w:p w:rsidR="00FC59B8" w:rsidRPr="00353542" w:rsidRDefault="00A94FFC" w:rsidP="00E223D9">
      <w:pPr>
        <w:autoSpaceDE w:val="0"/>
        <w:autoSpaceDN w:val="0"/>
        <w:adjustRightInd w:val="0"/>
        <w:spacing w:after="0"/>
        <w:jc w:val="left"/>
        <w:rPr>
          <w:rFonts w:eastAsia="Calibri" w:cs="Arial"/>
          <w:szCs w:val="20"/>
          <w:lang w:val="en-GB"/>
        </w:rPr>
      </w:pPr>
      <w:r w:rsidRPr="00666B27">
        <w:rPr>
          <w:rFonts w:eastAsia="Calibri" w:cs="Arial"/>
          <w:color w:val="000000"/>
          <w:szCs w:val="20"/>
          <w:lang w:val="en-GB"/>
        </w:rPr>
        <w:t xml:space="preserve">The requirements of the following documents, then in force at the time of signature of the Project Document, apply to the Implementing Partner: </w:t>
      </w:r>
      <w:r w:rsidRPr="00666B27">
        <w:rPr>
          <w:rFonts w:eastAsia="Calibri" w:cs="Arial"/>
          <w:bCs/>
          <w:color w:val="000000"/>
          <w:szCs w:val="20"/>
          <w:lang w:val="en-GB"/>
        </w:rPr>
        <w:t>(a)</w:t>
      </w:r>
      <w:r w:rsidRPr="00666B27">
        <w:rPr>
          <w:rFonts w:eastAsia="Calibri" w:cs="Arial"/>
          <w:b/>
          <w:bCs/>
          <w:color w:val="000000"/>
          <w:szCs w:val="20"/>
          <w:lang w:val="en-GB"/>
        </w:rPr>
        <w:t xml:space="preserve"> </w:t>
      </w:r>
      <w:r w:rsidRPr="00666B27">
        <w:rPr>
          <w:rFonts w:eastAsia="Calibri" w:cs="Arial"/>
          <w:color w:val="000000"/>
          <w:szCs w:val="20"/>
          <w:lang w:val="en-GB"/>
        </w:rPr>
        <w:t xml:space="preserve">UNDP Policy on Fraud and other Corrupt Practices and </w:t>
      </w:r>
      <w:r w:rsidRPr="00666B27">
        <w:rPr>
          <w:rFonts w:eastAsia="Calibri" w:cs="Arial"/>
          <w:bCs/>
          <w:color w:val="000000"/>
          <w:szCs w:val="20"/>
          <w:lang w:val="en-GB"/>
        </w:rPr>
        <w:t>(b)</w:t>
      </w:r>
      <w:r w:rsidRPr="00666B27">
        <w:rPr>
          <w:rFonts w:eastAsia="Calibri" w:cs="Arial"/>
          <w:b/>
          <w:bCs/>
          <w:color w:val="000000"/>
          <w:szCs w:val="20"/>
          <w:lang w:val="en-GB"/>
        </w:rPr>
        <w:t xml:space="preserve"> </w:t>
      </w:r>
      <w:r w:rsidRPr="00666B27">
        <w:rPr>
          <w:rFonts w:eastAsia="Calibri" w:cs="Arial"/>
          <w:color w:val="000000"/>
          <w:szCs w:val="20"/>
          <w:lang w:val="en-GB"/>
        </w:rPr>
        <w:t xml:space="preserve">UNDP Office of Audit and Investigations Investigation Guidelines. </w:t>
      </w:r>
      <w:r w:rsidRPr="00666B27">
        <w:rPr>
          <w:rFonts w:eastAsia="Calibri" w:cs="Arial"/>
          <w:szCs w:val="20"/>
          <w:lang w:val="en-GB"/>
        </w:rPr>
        <w:t xml:space="preserve">The Implementing Partner agrees to the requirements of the above documents, which are an integral part of this Project Document and are available online at </w:t>
      </w:r>
      <w:hyperlink r:id="rId85" w:history="1">
        <w:r w:rsidR="00FC59B8" w:rsidRPr="00666B27">
          <w:rPr>
            <w:rStyle w:val="Hyperlink"/>
            <w:rFonts w:eastAsia="Calibri" w:cs="Arial"/>
            <w:szCs w:val="20"/>
            <w:lang w:val="en-GB"/>
          </w:rPr>
          <w:t>www.undp.org</w:t>
        </w:r>
      </w:hyperlink>
      <w:r w:rsidRPr="0057545E">
        <w:rPr>
          <w:rFonts w:eastAsia="Calibri" w:cs="Arial"/>
          <w:szCs w:val="20"/>
          <w:lang w:val="en-GB"/>
        </w:rPr>
        <w:t>.</w:t>
      </w:r>
    </w:p>
    <w:p w:rsidR="00A94FFC" w:rsidRPr="003B7D62" w:rsidRDefault="00A94FFC" w:rsidP="00E223D9">
      <w:pPr>
        <w:spacing w:after="0"/>
        <w:ind w:left="360"/>
        <w:jc w:val="left"/>
        <w:rPr>
          <w:rFonts w:cs="Arial"/>
          <w:color w:val="000000"/>
          <w:szCs w:val="20"/>
          <w:lang w:val="en-GB"/>
        </w:rPr>
      </w:pPr>
    </w:p>
    <w:p w:rsidR="00A94FFC" w:rsidRPr="00666B27" w:rsidRDefault="00A94FFC" w:rsidP="00E223D9">
      <w:pPr>
        <w:spacing w:after="0"/>
        <w:jc w:val="left"/>
        <w:rPr>
          <w:rFonts w:cs="Arial"/>
          <w:color w:val="000000"/>
          <w:szCs w:val="20"/>
          <w:lang w:val="en-GB"/>
        </w:rPr>
      </w:pPr>
      <w:proofErr w:type="gramStart"/>
      <w:r w:rsidRPr="004722F0">
        <w:rPr>
          <w:rFonts w:cs="Arial"/>
          <w:color w:val="000000"/>
          <w:szCs w:val="20"/>
          <w:lang w:val="en-GB"/>
        </w:rPr>
        <w:t>In the event tha</w:t>
      </w:r>
      <w:r w:rsidRPr="00666B27">
        <w:rPr>
          <w:rFonts w:cs="Arial"/>
          <w:color w:val="000000"/>
          <w:szCs w:val="20"/>
          <w:lang w:val="en-GB"/>
        </w:rPr>
        <w:t>t</w:t>
      </w:r>
      <w:proofErr w:type="gramEnd"/>
      <w:r w:rsidRPr="00666B27">
        <w:rPr>
          <w:rFonts w:cs="Arial"/>
          <w:color w:val="000000"/>
          <w:szCs w:val="20"/>
          <w:lang w:val="en-GB"/>
        </w:rPr>
        <w:t xml:space="preserve">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666B27">
        <w:rPr>
          <w:rFonts w:eastAsia="Calibri" w:cs="Arial"/>
          <w:color w:val="000000"/>
          <w:szCs w:val="20"/>
          <w:lang w:val="en-GB"/>
        </w:rPr>
        <w:t xml:space="preserve"> </w:t>
      </w:r>
      <w:r w:rsidRPr="00666B27">
        <w:rPr>
          <w:rFonts w:cs="Arial"/>
          <w:color w:val="000000"/>
          <w:szCs w:val="20"/>
          <w:lang w:val="en-GB"/>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rsidR="00A94FFC" w:rsidRPr="00666B27" w:rsidRDefault="00A94FFC" w:rsidP="00E223D9">
      <w:pPr>
        <w:spacing w:after="0"/>
        <w:ind w:left="360"/>
        <w:jc w:val="left"/>
        <w:rPr>
          <w:rFonts w:eastAsia="Calibri" w:cs="Arial"/>
          <w:color w:val="000000"/>
          <w:szCs w:val="20"/>
          <w:lang w:val="en-GB"/>
        </w:rPr>
      </w:pPr>
    </w:p>
    <w:p w:rsidR="00A94FFC" w:rsidRPr="00666B27" w:rsidRDefault="00A94FFC" w:rsidP="00E223D9">
      <w:pPr>
        <w:spacing w:after="0"/>
        <w:jc w:val="left"/>
        <w:rPr>
          <w:rFonts w:eastAsia="Calibri" w:cs="Arial"/>
          <w:color w:val="000000"/>
          <w:szCs w:val="20"/>
          <w:lang w:val="en-GB"/>
        </w:rPr>
      </w:pPr>
      <w:r w:rsidRPr="00666B27">
        <w:rPr>
          <w:rFonts w:cs="Arial"/>
          <w:szCs w:val="20"/>
          <w:lang w:val="en-GB"/>
        </w:rPr>
        <w:t xml:space="preserve">The signatories to this Project Document will promptly inform one another in case of any incidence of </w:t>
      </w:r>
      <w:r w:rsidR="00FC59B8" w:rsidRPr="00666B27">
        <w:rPr>
          <w:rFonts w:cs="Arial"/>
          <w:szCs w:val="20"/>
          <w:lang w:val="en-GB"/>
        </w:rPr>
        <w:t>i</w:t>
      </w:r>
      <w:r w:rsidRPr="00666B27">
        <w:rPr>
          <w:rFonts w:cs="Arial"/>
          <w:szCs w:val="20"/>
          <w:lang w:val="en-GB"/>
        </w:rPr>
        <w:t>nappropriate use of funds, or credible allegation of fraud or corruption with due confidentiality.</w:t>
      </w:r>
      <w:r w:rsidR="00680091" w:rsidRPr="00666B27">
        <w:rPr>
          <w:rFonts w:cs="Arial"/>
          <w:szCs w:val="20"/>
          <w:lang w:val="en-GB"/>
        </w:rPr>
        <w:t xml:space="preserve"> </w:t>
      </w:r>
      <w:r w:rsidRPr="00666B27">
        <w:rPr>
          <w:rFonts w:cs="Arial"/>
          <w:szCs w:val="20"/>
          <w:lang w:val="en-GB"/>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rsidR="007D1183" w:rsidRPr="00666B27" w:rsidRDefault="007D1183" w:rsidP="00E223D9">
      <w:pPr>
        <w:spacing w:after="0"/>
        <w:jc w:val="left"/>
        <w:rPr>
          <w:rFonts w:cs="Arial"/>
          <w:b/>
          <w:szCs w:val="20"/>
          <w:lang w:val="en-GB"/>
        </w:rPr>
      </w:pPr>
    </w:p>
    <w:p w:rsidR="00A94FFC" w:rsidRPr="00666B27" w:rsidRDefault="00A94FFC" w:rsidP="00E223D9">
      <w:pPr>
        <w:spacing w:after="0"/>
        <w:jc w:val="left"/>
        <w:rPr>
          <w:rFonts w:cs="Arial"/>
          <w:szCs w:val="20"/>
          <w:lang w:val="en-GB"/>
        </w:rPr>
      </w:pPr>
      <w:r w:rsidRPr="00666B27">
        <w:rPr>
          <w:rFonts w:cs="Arial"/>
          <w:szCs w:val="20"/>
          <w:lang w:val="en-GB"/>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rsidR="00A94FFC" w:rsidRPr="00666B27" w:rsidRDefault="00A94FFC" w:rsidP="00E223D9">
      <w:pPr>
        <w:spacing w:after="0"/>
        <w:ind w:left="360"/>
        <w:jc w:val="left"/>
        <w:rPr>
          <w:rFonts w:cs="Arial"/>
          <w:szCs w:val="20"/>
          <w:lang w:val="en-GB"/>
        </w:rPr>
      </w:pPr>
    </w:p>
    <w:p w:rsidR="00A94FFC" w:rsidRPr="00666B27" w:rsidRDefault="00A94FFC" w:rsidP="00E223D9">
      <w:pPr>
        <w:spacing w:after="0"/>
        <w:jc w:val="left"/>
        <w:rPr>
          <w:rFonts w:cs="Arial"/>
          <w:szCs w:val="20"/>
          <w:lang w:val="en-GB"/>
        </w:rPr>
      </w:pPr>
      <w:r w:rsidRPr="00666B27">
        <w:rPr>
          <w:rFonts w:cs="Arial"/>
          <w:szCs w:val="20"/>
          <w:lang w:val="en-GB"/>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rsidR="00A94FFC" w:rsidRPr="00666B27" w:rsidRDefault="00A94FFC" w:rsidP="00E223D9">
      <w:pPr>
        <w:spacing w:after="0"/>
        <w:ind w:left="360"/>
        <w:jc w:val="left"/>
        <w:rPr>
          <w:rFonts w:cs="Arial"/>
          <w:szCs w:val="20"/>
          <w:lang w:val="en-GB"/>
        </w:rPr>
      </w:pPr>
    </w:p>
    <w:p w:rsidR="00A94FFC" w:rsidRPr="00666B27" w:rsidRDefault="00A94FFC" w:rsidP="00E223D9">
      <w:pPr>
        <w:spacing w:after="0"/>
        <w:jc w:val="left"/>
        <w:rPr>
          <w:rFonts w:eastAsia="Calibri" w:cs="Arial"/>
          <w:color w:val="000000"/>
          <w:szCs w:val="20"/>
          <w:lang w:val="en-GB"/>
        </w:rPr>
      </w:pPr>
      <w:r w:rsidRPr="00666B27">
        <w:rPr>
          <w:rFonts w:cs="Arial"/>
          <w:i/>
          <w:szCs w:val="20"/>
          <w:u w:val="single"/>
          <w:lang w:val="en-GB"/>
        </w:rPr>
        <w:t>Note</w:t>
      </w:r>
      <w:r w:rsidRPr="00666B27">
        <w:rPr>
          <w:rFonts w:cs="Arial"/>
          <w:i/>
          <w:szCs w:val="20"/>
          <w:lang w:val="en-GB"/>
        </w:rPr>
        <w:t>:</w:t>
      </w:r>
      <w:r w:rsidRPr="00666B27">
        <w:rPr>
          <w:rFonts w:cs="Arial"/>
          <w:szCs w:val="20"/>
          <w:lang w:val="en-GB"/>
        </w:rPr>
        <w:t xml:space="preserve">  The term “Project Document” as used in this clause shall be deemed to include any relevant subsidiary agreement further to the Project Document, including those with responsible parties, subcontractors and sub-recipients.</w:t>
      </w:r>
    </w:p>
    <w:p w:rsidR="00A94FFC" w:rsidRPr="00666B27" w:rsidRDefault="00A94FFC" w:rsidP="00E223D9">
      <w:pPr>
        <w:spacing w:after="0"/>
        <w:ind w:left="360"/>
        <w:jc w:val="left"/>
        <w:rPr>
          <w:rFonts w:cs="Arial"/>
          <w:szCs w:val="20"/>
          <w:lang w:val="en-GB"/>
        </w:rPr>
      </w:pPr>
    </w:p>
    <w:p w:rsidR="00A94FFC" w:rsidRPr="00666B27" w:rsidRDefault="00A94FFC" w:rsidP="00E223D9">
      <w:pPr>
        <w:spacing w:after="0"/>
        <w:jc w:val="left"/>
        <w:rPr>
          <w:rFonts w:cs="Arial"/>
          <w:szCs w:val="20"/>
          <w:lang w:val="en-GB"/>
        </w:rPr>
      </w:pPr>
      <w:r w:rsidRPr="00666B27">
        <w:rPr>
          <w:rFonts w:cs="Arial"/>
          <w:szCs w:val="20"/>
          <w:lang w:val="en-GB"/>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rsidR="00A94FFC" w:rsidRPr="00666B27" w:rsidRDefault="00A94FFC" w:rsidP="00E223D9">
      <w:pPr>
        <w:spacing w:after="0"/>
        <w:ind w:left="360"/>
        <w:jc w:val="left"/>
        <w:rPr>
          <w:rFonts w:cs="Arial"/>
          <w:szCs w:val="20"/>
          <w:lang w:val="en-GB"/>
        </w:rPr>
      </w:pPr>
    </w:p>
    <w:p w:rsidR="00A94FFC" w:rsidRPr="00666B27" w:rsidRDefault="00A94FFC" w:rsidP="00E223D9">
      <w:pPr>
        <w:spacing w:after="0"/>
        <w:jc w:val="left"/>
        <w:rPr>
          <w:rFonts w:cs="Arial"/>
          <w:szCs w:val="20"/>
          <w:lang w:val="en-GB"/>
        </w:rPr>
      </w:pPr>
      <w:r w:rsidRPr="00666B27">
        <w:rPr>
          <w:rFonts w:cs="Arial"/>
          <w:szCs w:val="20"/>
          <w:lang w:val="en-GB"/>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rsidR="00A94FFC" w:rsidRPr="00666B27" w:rsidRDefault="00A94FFC" w:rsidP="00E223D9">
      <w:pPr>
        <w:spacing w:after="0"/>
        <w:ind w:left="360"/>
        <w:jc w:val="left"/>
        <w:rPr>
          <w:rFonts w:cs="Arial"/>
          <w:szCs w:val="20"/>
          <w:lang w:val="en-GB"/>
        </w:rPr>
      </w:pPr>
    </w:p>
    <w:p w:rsidR="00A94FFC" w:rsidRPr="00666B27" w:rsidRDefault="00A94FFC" w:rsidP="00E223D9">
      <w:pPr>
        <w:spacing w:after="0"/>
        <w:jc w:val="left"/>
        <w:rPr>
          <w:rFonts w:cs="Arial"/>
          <w:szCs w:val="20"/>
          <w:lang w:val="en-GB"/>
        </w:rPr>
      </w:pPr>
      <w:r w:rsidRPr="00666B27">
        <w:rPr>
          <w:rFonts w:cs="Arial"/>
          <w:szCs w:val="20"/>
          <w:lang w:val="en-GB"/>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666B27">
        <w:rPr>
          <w:rFonts w:cs="Arial"/>
          <w:i/>
          <w:szCs w:val="20"/>
          <w:lang w:val="en-GB"/>
        </w:rPr>
        <w:t>mutatis mutandis</w:t>
      </w:r>
      <w:r w:rsidRPr="00666B27">
        <w:rPr>
          <w:rFonts w:cs="Arial"/>
          <w:szCs w:val="20"/>
          <w:lang w:val="en-GB"/>
        </w:rPr>
        <w:t>, in all sub-contracts or sub-agreements entered into further to this Project Document.</w:t>
      </w:r>
    </w:p>
    <w:p w:rsidR="00A94FFC" w:rsidRPr="00666B27" w:rsidRDefault="00A94FFC" w:rsidP="00E223D9">
      <w:pPr>
        <w:jc w:val="left"/>
        <w:rPr>
          <w:szCs w:val="20"/>
          <w:lang w:val="en-GB"/>
        </w:rPr>
        <w:sectPr w:rsidR="00A94FFC" w:rsidRPr="00666B27" w:rsidSect="00BA3966">
          <w:pgSz w:w="12240" w:h="15840" w:code="1"/>
          <w:pgMar w:top="1440" w:right="1134" w:bottom="1440" w:left="1134" w:header="720" w:footer="432" w:gutter="0"/>
          <w:cols w:space="708"/>
          <w:docGrid w:linePitch="360"/>
        </w:sectPr>
      </w:pPr>
    </w:p>
    <w:p w:rsidR="003E3ABA" w:rsidRPr="00666B27" w:rsidRDefault="003E3ABA" w:rsidP="003D09AA">
      <w:pPr>
        <w:pStyle w:val="Heading1"/>
        <w:numPr>
          <w:ilvl w:val="0"/>
          <w:numId w:val="0"/>
        </w:numPr>
        <w:spacing w:before="0"/>
        <w:ind w:left="720" w:hanging="720"/>
        <w:rPr>
          <w:rFonts w:ascii="Arial" w:hAnsi="Arial"/>
          <w:sz w:val="32"/>
        </w:rPr>
      </w:pPr>
      <w:bookmarkStart w:id="181" w:name="_Toc497848315"/>
      <w:bookmarkStart w:id="182" w:name="_Toc340775"/>
      <w:r w:rsidRPr="00666B27">
        <w:rPr>
          <w:rFonts w:ascii="Arial" w:hAnsi="Arial"/>
          <w:sz w:val="32"/>
        </w:rPr>
        <w:lastRenderedPageBreak/>
        <w:t>Annexes</w:t>
      </w:r>
      <w:bookmarkEnd w:id="181"/>
      <w:bookmarkEnd w:id="182"/>
    </w:p>
    <w:p w:rsidR="003D09AA" w:rsidRPr="00666B27" w:rsidRDefault="003D09AA" w:rsidP="003D09AA">
      <w:pPr>
        <w:rPr>
          <w:lang w:val="en-GB"/>
        </w:rPr>
      </w:pPr>
    </w:p>
    <w:p w:rsidR="001E1DBB" w:rsidRPr="00666B27" w:rsidRDefault="001E1DBB" w:rsidP="003D09AA">
      <w:pPr>
        <w:rPr>
          <w:lang w:val="en-GB"/>
        </w:rPr>
      </w:pPr>
    </w:p>
    <w:p w:rsidR="00483627" w:rsidRPr="00666B27" w:rsidRDefault="003D09AA"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Multi-</w:t>
      </w:r>
      <w:r w:rsidR="00BA3FBC" w:rsidRPr="00666B27">
        <w:rPr>
          <w:rFonts w:ascii="Calibri" w:hAnsi="Calibri"/>
          <w:sz w:val="20"/>
          <w:szCs w:val="20"/>
          <w:lang w:val="en-GB"/>
        </w:rPr>
        <w:t xml:space="preserve">year </w:t>
      </w:r>
      <w:r w:rsidR="00346DFA" w:rsidRPr="00666B27">
        <w:rPr>
          <w:rFonts w:ascii="Calibri" w:hAnsi="Calibri"/>
          <w:noProof/>
          <w:sz w:val="20"/>
          <w:szCs w:val="20"/>
          <w:lang w:val="en-GB"/>
        </w:rPr>
        <w:t>w</w:t>
      </w:r>
      <w:r w:rsidR="003E3ABA" w:rsidRPr="00666B27">
        <w:rPr>
          <w:rFonts w:ascii="Calibri" w:hAnsi="Calibri"/>
          <w:noProof/>
          <w:sz w:val="20"/>
          <w:szCs w:val="20"/>
          <w:lang w:val="en-GB"/>
        </w:rPr>
        <w:t>orkplan</w:t>
      </w:r>
    </w:p>
    <w:p w:rsidR="00F9058A" w:rsidRPr="00666B27" w:rsidRDefault="005600C2"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Consultancies and subcontracts</w:t>
      </w:r>
    </w:p>
    <w:p w:rsidR="00F9058A" w:rsidRPr="00666B27" w:rsidRDefault="00F9058A"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Terms of Reference</w:t>
      </w:r>
      <w:r w:rsidR="005600C2" w:rsidRPr="00666B27">
        <w:rPr>
          <w:rFonts w:ascii="Calibri" w:hAnsi="Calibri"/>
          <w:sz w:val="20"/>
          <w:szCs w:val="20"/>
          <w:lang w:val="en-GB"/>
        </w:rPr>
        <w:t xml:space="preserve"> </w:t>
      </w:r>
      <w:r w:rsidR="00346DFA" w:rsidRPr="00666B27">
        <w:rPr>
          <w:rFonts w:ascii="Calibri" w:hAnsi="Calibri"/>
          <w:sz w:val="20"/>
          <w:szCs w:val="20"/>
          <w:lang w:val="en-GB"/>
        </w:rPr>
        <w:t>of P</w:t>
      </w:r>
      <w:r w:rsidR="001B1F1C" w:rsidRPr="00666B27">
        <w:rPr>
          <w:rFonts w:ascii="Calibri" w:hAnsi="Calibri"/>
          <w:sz w:val="20"/>
          <w:szCs w:val="20"/>
          <w:lang w:val="en-GB"/>
        </w:rPr>
        <w:t>SC and staff</w:t>
      </w:r>
    </w:p>
    <w:p w:rsidR="00FC59B8" w:rsidRPr="00666B27" w:rsidRDefault="00FC59B8"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 xml:space="preserve">Gender </w:t>
      </w:r>
      <w:r w:rsidR="001B1F1C" w:rsidRPr="00666B27">
        <w:rPr>
          <w:rFonts w:ascii="Calibri" w:hAnsi="Calibri"/>
          <w:sz w:val="20"/>
          <w:szCs w:val="20"/>
          <w:lang w:val="en-GB"/>
        </w:rPr>
        <w:t>a</w:t>
      </w:r>
      <w:r w:rsidRPr="00666B27">
        <w:rPr>
          <w:rFonts w:ascii="Calibri" w:hAnsi="Calibri"/>
          <w:sz w:val="20"/>
          <w:szCs w:val="20"/>
          <w:lang w:val="en-GB"/>
        </w:rPr>
        <w:t xml:space="preserve">nalysis and </w:t>
      </w:r>
      <w:r w:rsidR="001B1F1C" w:rsidRPr="00666B27">
        <w:rPr>
          <w:rFonts w:ascii="Calibri" w:hAnsi="Calibri"/>
          <w:sz w:val="20"/>
          <w:szCs w:val="20"/>
          <w:lang w:val="en-GB"/>
        </w:rPr>
        <w:t>a</w:t>
      </w:r>
      <w:r w:rsidRPr="00666B27">
        <w:rPr>
          <w:rFonts w:ascii="Calibri" w:hAnsi="Calibri"/>
          <w:sz w:val="20"/>
          <w:szCs w:val="20"/>
          <w:lang w:val="en-GB"/>
        </w:rPr>
        <w:t xml:space="preserve">ction </w:t>
      </w:r>
      <w:r w:rsidR="001B1F1C" w:rsidRPr="00666B27">
        <w:rPr>
          <w:rFonts w:ascii="Calibri" w:hAnsi="Calibri"/>
          <w:sz w:val="20"/>
          <w:szCs w:val="20"/>
          <w:lang w:val="en-GB"/>
        </w:rPr>
        <w:t>p</w:t>
      </w:r>
      <w:r w:rsidRPr="00666B27">
        <w:rPr>
          <w:rFonts w:ascii="Calibri" w:hAnsi="Calibri"/>
          <w:sz w:val="20"/>
          <w:szCs w:val="20"/>
          <w:lang w:val="en-GB"/>
        </w:rPr>
        <w:t>lan</w:t>
      </w:r>
    </w:p>
    <w:p w:rsidR="00BA3FBC" w:rsidRPr="00666B27" w:rsidRDefault="00346DFA"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 xml:space="preserve">Baseline conditions on markets, stakeholders, policy </w:t>
      </w:r>
      <w:r w:rsidRPr="00666B27">
        <w:rPr>
          <w:rFonts w:ascii="Calibri" w:hAnsi="Calibri"/>
          <w:noProof/>
          <w:sz w:val="20"/>
          <w:szCs w:val="20"/>
          <w:lang w:val="en-GB"/>
        </w:rPr>
        <w:t>and</w:t>
      </w:r>
      <w:r w:rsidRPr="00666B27">
        <w:rPr>
          <w:rFonts w:ascii="Calibri" w:hAnsi="Calibri"/>
          <w:sz w:val="20"/>
          <w:szCs w:val="20"/>
          <w:lang w:val="en-GB"/>
        </w:rPr>
        <w:t xml:space="preserve"> regulations for LEDs and distribution transformers</w:t>
      </w:r>
    </w:p>
    <w:p w:rsidR="00554B8B" w:rsidRPr="00666B27" w:rsidRDefault="00554B8B"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GEF Core Indicators and calculation of greenhouse gas emission reduction</w:t>
      </w:r>
    </w:p>
    <w:p w:rsidR="00483627" w:rsidRPr="00666B27" w:rsidRDefault="00554B8B" w:rsidP="00554B8B">
      <w:pPr>
        <w:pStyle w:val="ListParagraph"/>
        <w:numPr>
          <w:ilvl w:val="0"/>
          <w:numId w:val="5"/>
        </w:numPr>
        <w:spacing w:after="60"/>
        <w:ind w:left="426" w:hanging="426"/>
        <w:rPr>
          <w:rFonts w:ascii="Calibri" w:hAnsi="Calibri"/>
          <w:sz w:val="20"/>
          <w:szCs w:val="20"/>
          <w:lang w:val="en-GB"/>
        </w:rPr>
      </w:pPr>
      <w:r w:rsidRPr="00666B27">
        <w:rPr>
          <w:rFonts w:ascii="Calibri" w:hAnsi="Calibri"/>
          <w:sz w:val="20"/>
          <w:szCs w:val="20"/>
          <w:lang w:val="en-GB"/>
        </w:rPr>
        <w:t>Stakeholder engagement and communication plan</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Additional budget and co-financing tables</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UNDP Social and Environmental and Social Screening</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Agreements</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 xml:space="preserve">UNDP Risk Log (to be completed by UNDP Country Office) </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 xml:space="preserve">Results of the capacity assessment of the project implementing partner and HACT micro assessment (to be completed by UNDP Country Office) </w:t>
      </w:r>
    </w:p>
    <w:p w:rsidR="00554B8B" w:rsidRPr="00666B27" w:rsidRDefault="00554B8B" w:rsidP="008154A9">
      <w:pPr>
        <w:pStyle w:val="ListParagraph"/>
        <w:numPr>
          <w:ilvl w:val="0"/>
          <w:numId w:val="5"/>
        </w:numPr>
        <w:spacing w:after="60"/>
        <w:ind w:left="425" w:hanging="425"/>
        <w:rPr>
          <w:rFonts w:ascii="Calibri" w:hAnsi="Calibri"/>
          <w:sz w:val="20"/>
          <w:szCs w:val="20"/>
          <w:lang w:val="en-GB"/>
        </w:rPr>
      </w:pPr>
      <w:r w:rsidRPr="00666B27">
        <w:rPr>
          <w:rFonts w:ascii="Calibri" w:hAnsi="Calibri"/>
          <w:sz w:val="20"/>
          <w:szCs w:val="20"/>
          <w:lang w:val="en-GB"/>
        </w:rPr>
        <w:t>UNDP Project Quality Assurance Report (to be completed after endorsement)</w:t>
      </w:r>
    </w:p>
    <w:p w:rsidR="00554B8B" w:rsidRPr="00666B27" w:rsidRDefault="00554B8B" w:rsidP="00554B8B">
      <w:pPr>
        <w:rPr>
          <w:szCs w:val="20"/>
          <w:lang w:val="en-GB"/>
        </w:rPr>
      </w:pPr>
    </w:p>
    <w:p w:rsidR="00E716B2" w:rsidRPr="00666B27" w:rsidRDefault="00E716B2" w:rsidP="00554B8B">
      <w:pPr>
        <w:rPr>
          <w:szCs w:val="20"/>
          <w:lang w:val="en-GB"/>
        </w:rPr>
        <w:sectPr w:rsidR="00E716B2" w:rsidRPr="00666B27" w:rsidSect="00346DFA">
          <w:pgSz w:w="12240" w:h="15840" w:code="1"/>
          <w:pgMar w:top="1440" w:right="1134" w:bottom="1440" w:left="1134" w:header="720" w:footer="720" w:gutter="0"/>
          <w:cols w:space="720"/>
          <w:docGrid w:linePitch="360"/>
        </w:sectPr>
      </w:pPr>
    </w:p>
    <w:p w:rsidR="00E716B2" w:rsidRPr="00666B27" w:rsidRDefault="00E716B2" w:rsidP="00E716B2">
      <w:pPr>
        <w:ind w:left="-567"/>
        <w:rPr>
          <w:szCs w:val="20"/>
          <w:lang w:val="en-GB"/>
        </w:rPr>
      </w:pPr>
    </w:p>
    <w:p w:rsidR="003E3ABA" w:rsidRPr="00666B27" w:rsidRDefault="003E3ABA" w:rsidP="003B2A79">
      <w:pPr>
        <w:ind w:left="1080"/>
        <w:rPr>
          <w:szCs w:val="20"/>
          <w:lang w:val="en-GB"/>
        </w:rPr>
      </w:pPr>
    </w:p>
    <w:p w:rsidR="009750B4" w:rsidRPr="00666B27" w:rsidRDefault="003E3ABA" w:rsidP="00503021">
      <w:pPr>
        <w:pStyle w:val="HeadingA"/>
        <w:ind w:left="1701" w:hanging="1701"/>
      </w:pPr>
      <w:bookmarkStart w:id="183" w:name="_Toc340776"/>
      <w:r w:rsidRPr="00666B27">
        <w:t>Multi</w:t>
      </w:r>
      <w:r w:rsidR="00346DFA" w:rsidRPr="00666B27">
        <w:t>-</w:t>
      </w:r>
      <w:r w:rsidRPr="00666B27">
        <w:t>Year Work Plan</w:t>
      </w:r>
      <w:bookmarkEnd w:id="183"/>
    </w:p>
    <w:p w:rsidR="00072CB3" w:rsidRPr="00666B27" w:rsidRDefault="00072CB3" w:rsidP="003B2A79">
      <w:pPr>
        <w:rPr>
          <w:szCs w:val="22"/>
          <w:lang w:val="en-GB"/>
        </w:rPr>
      </w:pPr>
    </w:p>
    <w:tbl>
      <w:tblPr>
        <w:tblW w:w="14722" w:type="dxa"/>
        <w:tblInd w:w="-8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38"/>
        <w:gridCol w:w="405"/>
        <w:gridCol w:w="405"/>
        <w:gridCol w:w="405"/>
        <w:gridCol w:w="405"/>
        <w:gridCol w:w="486"/>
        <w:gridCol w:w="405"/>
        <w:gridCol w:w="405"/>
        <w:gridCol w:w="465"/>
        <w:gridCol w:w="425"/>
        <w:gridCol w:w="426"/>
        <w:gridCol w:w="425"/>
        <w:gridCol w:w="425"/>
        <w:gridCol w:w="425"/>
        <w:gridCol w:w="410"/>
        <w:gridCol w:w="405"/>
        <w:gridCol w:w="461"/>
        <w:gridCol w:w="425"/>
        <w:gridCol w:w="405"/>
        <w:gridCol w:w="405"/>
        <w:gridCol w:w="466"/>
      </w:tblGrid>
      <w:tr w:rsidR="000E596D" w:rsidRPr="0057545E" w:rsidTr="00F737AD">
        <w:trPr>
          <w:tblHeader/>
        </w:trPr>
        <w:tc>
          <w:tcPr>
            <w:tcW w:w="6238" w:type="dxa"/>
            <w:vMerge w:val="restart"/>
            <w:shd w:val="clear" w:color="auto" w:fill="FBE4D5"/>
          </w:tcPr>
          <w:p w:rsidR="000E596D" w:rsidRPr="00666B27" w:rsidRDefault="000E596D" w:rsidP="000E596D">
            <w:pPr>
              <w:rPr>
                <w:b/>
                <w:szCs w:val="22"/>
                <w:lang w:val="en-GB"/>
              </w:rPr>
            </w:pPr>
            <w:r w:rsidRPr="00666B27">
              <w:rPr>
                <w:b/>
                <w:szCs w:val="22"/>
                <w:lang w:val="en-GB"/>
              </w:rPr>
              <w:t xml:space="preserve">Output/activity per </w:t>
            </w:r>
            <w:r w:rsidRPr="00666B27">
              <w:rPr>
                <w:b/>
                <w:noProof/>
                <w:szCs w:val="22"/>
                <w:lang w:val="en-GB"/>
              </w:rPr>
              <w:t>outome</w:t>
            </w:r>
          </w:p>
        </w:tc>
        <w:tc>
          <w:tcPr>
            <w:tcW w:w="1620" w:type="dxa"/>
            <w:gridSpan w:val="4"/>
            <w:shd w:val="clear" w:color="auto" w:fill="FBE4D5"/>
          </w:tcPr>
          <w:p w:rsidR="000E596D" w:rsidRPr="00666B27" w:rsidRDefault="000E596D" w:rsidP="000E596D">
            <w:pPr>
              <w:jc w:val="center"/>
              <w:rPr>
                <w:b/>
                <w:szCs w:val="22"/>
                <w:lang w:val="en-GB"/>
              </w:rPr>
            </w:pPr>
            <w:r w:rsidRPr="00666B27">
              <w:rPr>
                <w:b/>
                <w:szCs w:val="22"/>
                <w:lang w:val="en-GB"/>
              </w:rPr>
              <w:t>Year 1</w:t>
            </w:r>
          </w:p>
        </w:tc>
        <w:tc>
          <w:tcPr>
            <w:tcW w:w="1761" w:type="dxa"/>
            <w:gridSpan w:val="4"/>
            <w:shd w:val="clear" w:color="auto" w:fill="FBE4D5"/>
          </w:tcPr>
          <w:p w:rsidR="000E596D" w:rsidRPr="00666B27" w:rsidRDefault="000E596D" w:rsidP="000E596D">
            <w:pPr>
              <w:jc w:val="center"/>
              <w:rPr>
                <w:b/>
                <w:szCs w:val="22"/>
                <w:lang w:val="en-GB"/>
              </w:rPr>
            </w:pPr>
            <w:r w:rsidRPr="00666B27">
              <w:rPr>
                <w:b/>
                <w:szCs w:val="22"/>
                <w:lang w:val="en-GB"/>
              </w:rPr>
              <w:t>Year 2</w:t>
            </w:r>
          </w:p>
        </w:tc>
        <w:tc>
          <w:tcPr>
            <w:tcW w:w="1701" w:type="dxa"/>
            <w:gridSpan w:val="4"/>
            <w:shd w:val="clear" w:color="auto" w:fill="FBE4D5"/>
          </w:tcPr>
          <w:p w:rsidR="000E596D" w:rsidRPr="00666B27" w:rsidRDefault="000E596D" w:rsidP="000E596D">
            <w:pPr>
              <w:jc w:val="center"/>
              <w:rPr>
                <w:b/>
                <w:szCs w:val="22"/>
                <w:lang w:val="en-GB"/>
              </w:rPr>
            </w:pPr>
            <w:r w:rsidRPr="00666B27">
              <w:rPr>
                <w:b/>
                <w:szCs w:val="22"/>
                <w:lang w:val="en-GB"/>
              </w:rPr>
              <w:t>Year 3</w:t>
            </w:r>
          </w:p>
        </w:tc>
        <w:tc>
          <w:tcPr>
            <w:tcW w:w="1701" w:type="dxa"/>
            <w:gridSpan w:val="4"/>
            <w:shd w:val="clear" w:color="auto" w:fill="FBE4D5"/>
          </w:tcPr>
          <w:p w:rsidR="000E596D" w:rsidRPr="00666B27" w:rsidRDefault="000E596D" w:rsidP="000E596D">
            <w:pPr>
              <w:jc w:val="center"/>
              <w:rPr>
                <w:b/>
                <w:szCs w:val="22"/>
                <w:lang w:val="en-GB"/>
              </w:rPr>
            </w:pPr>
            <w:r w:rsidRPr="00666B27">
              <w:rPr>
                <w:b/>
                <w:szCs w:val="22"/>
                <w:lang w:val="en-GB"/>
              </w:rPr>
              <w:t>Year 4</w:t>
            </w:r>
          </w:p>
        </w:tc>
        <w:tc>
          <w:tcPr>
            <w:tcW w:w="1701" w:type="dxa"/>
            <w:gridSpan w:val="4"/>
            <w:shd w:val="clear" w:color="auto" w:fill="FBE4D5"/>
          </w:tcPr>
          <w:p w:rsidR="000E596D" w:rsidRPr="00666B27" w:rsidRDefault="000E596D" w:rsidP="000E596D">
            <w:pPr>
              <w:jc w:val="center"/>
              <w:rPr>
                <w:b/>
                <w:szCs w:val="22"/>
                <w:lang w:val="en-GB"/>
              </w:rPr>
            </w:pPr>
          </w:p>
        </w:tc>
      </w:tr>
      <w:tr w:rsidR="00D80416" w:rsidRPr="0057545E" w:rsidTr="00F737AD">
        <w:trPr>
          <w:tblHeader/>
        </w:trPr>
        <w:tc>
          <w:tcPr>
            <w:tcW w:w="6238" w:type="dxa"/>
            <w:vMerge/>
            <w:shd w:val="clear" w:color="auto" w:fill="FBE4D5"/>
          </w:tcPr>
          <w:p w:rsidR="000E596D" w:rsidRPr="00666B27" w:rsidRDefault="000E596D" w:rsidP="000E596D">
            <w:pPr>
              <w:rPr>
                <w:szCs w:val="22"/>
                <w:lang w:val="en-GB"/>
              </w:rPr>
            </w:pP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Q1</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Q2</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Q3</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Q4</w:t>
            </w:r>
          </w:p>
        </w:tc>
        <w:tc>
          <w:tcPr>
            <w:tcW w:w="486" w:type="dxa"/>
            <w:shd w:val="clear" w:color="auto" w:fill="FBE4D5"/>
          </w:tcPr>
          <w:p w:rsidR="000E596D" w:rsidRPr="00666B27" w:rsidRDefault="000E596D" w:rsidP="000E596D">
            <w:pPr>
              <w:rPr>
                <w:sz w:val="16"/>
                <w:szCs w:val="16"/>
                <w:lang w:val="en-GB"/>
              </w:rPr>
            </w:pPr>
            <w:r w:rsidRPr="00666B27">
              <w:rPr>
                <w:sz w:val="16"/>
                <w:szCs w:val="16"/>
                <w:lang w:val="en-GB"/>
              </w:rPr>
              <w:t>Q1</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Q2</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Q3</w:t>
            </w:r>
          </w:p>
        </w:tc>
        <w:tc>
          <w:tcPr>
            <w:tcW w:w="465" w:type="dxa"/>
            <w:shd w:val="clear" w:color="auto" w:fill="FBE4D5"/>
          </w:tcPr>
          <w:p w:rsidR="000E596D" w:rsidRPr="00666B27" w:rsidRDefault="000E596D" w:rsidP="000E596D">
            <w:pPr>
              <w:rPr>
                <w:sz w:val="16"/>
                <w:szCs w:val="16"/>
                <w:lang w:val="en-GB"/>
              </w:rPr>
            </w:pPr>
            <w:r w:rsidRPr="00666B27">
              <w:rPr>
                <w:sz w:val="16"/>
                <w:szCs w:val="16"/>
                <w:lang w:val="en-GB"/>
              </w:rPr>
              <w:t>Q4</w:t>
            </w:r>
          </w:p>
        </w:tc>
        <w:tc>
          <w:tcPr>
            <w:tcW w:w="425" w:type="dxa"/>
            <w:shd w:val="clear" w:color="auto" w:fill="FBE4D5"/>
          </w:tcPr>
          <w:p w:rsidR="000E596D" w:rsidRPr="00666B27" w:rsidRDefault="000E596D" w:rsidP="000E596D">
            <w:pPr>
              <w:rPr>
                <w:sz w:val="16"/>
                <w:szCs w:val="16"/>
                <w:lang w:val="en-GB"/>
              </w:rPr>
            </w:pPr>
            <w:r w:rsidRPr="00666B27">
              <w:rPr>
                <w:sz w:val="16"/>
                <w:szCs w:val="16"/>
                <w:lang w:val="en-GB"/>
              </w:rPr>
              <w:t>Q1</w:t>
            </w:r>
          </w:p>
        </w:tc>
        <w:tc>
          <w:tcPr>
            <w:tcW w:w="426" w:type="dxa"/>
            <w:shd w:val="clear" w:color="auto" w:fill="FBE4D5"/>
          </w:tcPr>
          <w:p w:rsidR="000E596D" w:rsidRPr="00666B27" w:rsidRDefault="000E596D" w:rsidP="000E596D">
            <w:pPr>
              <w:rPr>
                <w:sz w:val="16"/>
                <w:szCs w:val="16"/>
                <w:lang w:val="en-GB"/>
              </w:rPr>
            </w:pPr>
            <w:r w:rsidRPr="00666B27">
              <w:rPr>
                <w:sz w:val="16"/>
                <w:szCs w:val="16"/>
                <w:lang w:val="en-GB"/>
              </w:rPr>
              <w:t>Q2</w:t>
            </w:r>
          </w:p>
        </w:tc>
        <w:tc>
          <w:tcPr>
            <w:tcW w:w="425" w:type="dxa"/>
            <w:shd w:val="clear" w:color="auto" w:fill="FBE4D5"/>
          </w:tcPr>
          <w:p w:rsidR="000E596D" w:rsidRPr="00666B27" w:rsidRDefault="000E596D" w:rsidP="000E596D">
            <w:pPr>
              <w:rPr>
                <w:sz w:val="16"/>
                <w:szCs w:val="16"/>
                <w:lang w:val="en-GB"/>
              </w:rPr>
            </w:pPr>
            <w:r w:rsidRPr="00666B27">
              <w:rPr>
                <w:sz w:val="16"/>
                <w:szCs w:val="16"/>
                <w:lang w:val="en-GB"/>
              </w:rPr>
              <w:t>Q3</w:t>
            </w:r>
          </w:p>
        </w:tc>
        <w:tc>
          <w:tcPr>
            <w:tcW w:w="425" w:type="dxa"/>
            <w:shd w:val="clear" w:color="auto" w:fill="FBE4D5"/>
          </w:tcPr>
          <w:p w:rsidR="000E596D" w:rsidRPr="00666B27" w:rsidRDefault="000E596D" w:rsidP="000E596D">
            <w:pPr>
              <w:rPr>
                <w:sz w:val="16"/>
                <w:szCs w:val="16"/>
                <w:lang w:val="en-GB"/>
              </w:rPr>
            </w:pPr>
            <w:r w:rsidRPr="00666B27">
              <w:rPr>
                <w:sz w:val="16"/>
                <w:szCs w:val="16"/>
                <w:lang w:val="en-GB"/>
              </w:rPr>
              <w:t>Q4</w:t>
            </w:r>
          </w:p>
        </w:tc>
        <w:tc>
          <w:tcPr>
            <w:tcW w:w="425" w:type="dxa"/>
            <w:shd w:val="clear" w:color="auto" w:fill="FBE4D5"/>
          </w:tcPr>
          <w:p w:rsidR="000E596D" w:rsidRPr="00666B27" w:rsidRDefault="000E596D" w:rsidP="000E596D">
            <w:pPr>
              <w:rPr>
                <w:sz w:val="16"/>
                <w:szCs w:val="16"/>
                <w:lang w:val="en-GB"/>
              </w:rPr>
            </w:pPr>
            <w:r w:rsidRPr="00666B27">
              <w:rPr>
                <w:sz w:val="16"/>
                <w:szCs w:val="16"/>
                <w:lang w:val="en-GB"/>
              </w:rPr>
              <w:t>Q1</w:t>
            </w:r>
          </w:p>
        </w:tc>
        <w:tc>
          <w:tcPr>
            <w:tcW w:w="410" w:type="dxa"/>
            <w:shd w:val="clear" w:color="auto" w:fill="FBE4D5"/>
          </w:tcPr>
          <w:p w:rsidR="000E596D" w:rsidRPr="00666B27" w:rsidRDefault="000E596D" w:rsidP="000E596D">
            <w:pPr>
              <w:rPr>
                <w:sz w:val="16"/>
                <w:szCs w:val="16"/>
                <w:lang w:val="en-GB"/>
              </w:rPr>
            </w:pPr>
            <w:r w:rsidRPr="00666B27">
              <w:rPr>
                <w:sz w:val="16"/>
                <w:szCs w:val="16"/>
                <w:lang w:val="en-GB"/>
              </w:rPr>
              <w:t>Q2</w:t>
            </w:r>
          </w:p>
        </w:tc>
        <w:tc>
          <w:tcPr>
            <w:tcW w:w="405" w:type="dxa"/>
            <w:shd w:val="clear" w:color="auto" w:fill="FBE4D5"/>
          </w:tcPr>
          <w:p w:rsidR="000E596D" w:rsidRPr="00666B27" w:rsidRDefault="000E596D" w:rsidP="000E596D">
            <w:pPr>
              <w:rPr>
                <w:sz w:val="16"/>
                <w:szCs w:val="16"/>
                <w:lang w:val="en-GB"/>
              </w:rPr>
            </w:pPr>
            <w:r w:rsidRPr="00666B27">
              <w:rPr>
                <w:sz w:val="16"/>
                <w:szCs w:val="16"/>
                <w:lang w:val="en-GB"/>
              </w:rPr>
              <w:t>Q3</w:t>
            </w:r>
          </w:p>
        </w:tc>
        <w:tc>
          <w:tcPr>
            <w:tcW w:w="461" w:type="dxa"/>
            <w:shd w:val="clear" w:color="auto" w:fill="FBE4D5"/>
          </w:tcPr>
          <w:p w:rsidR="000E596D" w:rsidRPr="00666B27" w:rsidRDefault="000E596D" w:rsidP="000E596D">
            <w:pPr>
              <w:rPr>
                <w:sz w:val="16"/>
                <w:szCs w:val="16"/>
                <w:lang w:val="en-GB"/>
              </w:rPr>
            </w:pPr>
            <w:r w:rsidRPr="00666B27">
              <w:rPr>
                <w:sz w:val="16"/>
                <w:szCs w:val="16"/>
                <w:lang w:val="en-GB"/>
              </w:rPr>
              <w:t>Q4</w:t>
            </w:r>
          </w:p>
        </w:tc>
        <w:tc>
          <w:tcPr>
            <w:tcW w:w="425" w:type="dxa"/>
            <w:shd w:val="clear" w:color="auto" w:fill="FBE4D5"/>
          </w:tcPr>
          <w:p w:rsidR="000E596D" w:rsidRPr="00666B27" w:rsidRDefault="000E596D" w:rsidP="000E596D">
            <w:pPr>
              <w:rPr>
                <w:sz w:val="16"/>
                <w:szCs w:val="16"/>
                <w:lang w:val="en-GB"/>
              </w:rPr>
            </w:pPr>
          </w:p>
        </w:tc>
        <w:tc>
          <w:tcPr>
            <w:tcW w:w="405" w:type="dxa"/>
            <w:shd w:val="clear" w:color="auto" w:fill="FBE4D5"/>
          </w:tcPr>
          <w:p w:rsidR="000E596D" w:rsidRPr="00666B27" w:rsidRDefault="000E596D" w:rsidP="000E596D">
            <w:pPr>
              <w:rPr>
                <w:sz w:val="16"/>
                <w:szCs w:val="16"/>
                <w:lang w:val="en-GB"/>
              </w:rPr>
            </w:pPr>
          </w:p>
        </w:tc>
        <w:tc>
          <w:tcPr>
            <w:tcW w:w="405" w:type="dxa"/>
            <w:shd w:val="clear" w:color="auto" w:fill="FBE4D5"/>
          </w:tcPr>
          <w:p w:rsidR="000E596D" w:rsidRPr="00666B27" w:rsidRDefault="000E596D" w:rsidP="000E596D">
            <w:pPr>
              <w:rPr>
                <w:sz w:val="16"/>
                <w:szCs w:val="16"/>
                <w:lang w:val="en-GB"/>
              </w:rPr>
            </w:pPr>
          </w:p>
        </w:tc>
        <w:tc>
          <w:tcPr>
            <w:tcW w:w="466" w:type="dxa"/>
            <w:shd w:val="clear" w:color="auto" w:fill="FBE4D5"/>
          </w:tcPr>
          <w:p w:rsidR="000E596D" w:rsidRPr="00666B27" w:rsidRDefault="000E596D" w:rsidP="000E596D">
            <w:pPr>
              <w:rPr>
                <w:sz w:val="16"/>
                <w:szCs w:val="16"/>
                <w:lang w:val="en-GB"/>
              </w:rPr>
            </w:pPr>
          </w:p>
        </w:tc>
      </w:tr>
      <w:tr w:rsidR="000E596D" w:rsidRPr="0057545E" w:rsidTr="00F737AD">
        <w:tc>
          <w:tcPr>
            <w:tcW w:w="14722" w:type="dxa"/>
            <w:gridSpan w:val="21"/>
            <w:shd w:val="clear" w:color="auto" w:fill="C9C9C9"/>
          </w:tcPr>
          <w:p w:rsidR="000E596D" w:rsidRPr="00353542" w:rsidRDefault="000E596D" w:rsidP="000E596D">
            <w:pPr>
              <w:tabs>
                <w:tab w:val="left" w:pos="1173"/>
              </w:tabs>
              <w:jc w:val="left"/>
              <w:rPr>
                <w:rFonts w:ascii="Arial Narrow" w:hAnsi="Arial Narrow"/>
                <w:szCs w:val="22"/>
                <w:lang w:val="en-GB"/>
              </w:rPr>
            </w:pPr>
            <w:r w:rsidRPr="0057545E">
              <w:rPr>
                <w:rFonts w:ascii="Arial Narrow" w:hAnsi="Arial Narrow"/>
                <w:b/>
                <w:sz w:val="18"/>
                <w:szCs w:val="18"/>
                <w:lang w:val="en-GB"/>
              </w:rPr>
              <w:t>OUTCOME 1</w:t>
            </w:r>
            <w:r w:rsidRPr="0057545E">
              <w:rPr>
                <w:rFonts w:ascii="Arial Narrow" w:hAnsi="Arial Narrow"/>
                <w:b/>
                <w:sz w:val="18"/>
                <w:szCs w:val="18"/>
                <w:lang w:val="en-GB"/>
              </w:rPr>
              <w:tab/>
              <w:t>Strengthened government capacity and regulatory frameworks for LEDs and distribution transformers</w:t>
            </w:r>
          </w:p>
        </w:tc>
      </w:tr>
      <w:tr w:rsidR="00D80416" w:rsidRPr="0057545E" w:rsidTr="00F737AD">
        <w:tc>
          <w:tcPr>
            <w:tcW w:w="6238" w:type="dxa"/>
            <w:shd w:val="clear" w:color="auto" w:fill="FFFFFF"/>
          </w:tcPr>
          <w:p w:rsidR="000E596D" w:rsidRPr="003B7D62" w:rsidRDefault="000E596D" w:rsidP="000E596D">
            <w:pPr>
              <w:tabs>
                <w:tab w:val="left" w:pos="889"/>
              </w:tabs>
              <w:ind w:left="889" w:hanging="889"/>
              <w:jc w:val="left"/>
              <w:rPr>
                <w:rFonts w:ascii="Arial Narrow" w:hAnsi="Arial Narrow"/>
                <w:b/>
                <w:noProof/>
                <w:sz w:val="18"/>
                <w:szCs w:val="18"/>
                <w:lang w:val="en-GB"/>
              </w:rPr>
            </w:pPr>
            <w:r w:rsidRPr="0057545E">
              <w:rPr>
                <w:rFonts w:ascii="Arial Narrow" w:hAnsi="Arial Narrow"/>
                <w:b/>
                <w:noProof/>
                <w:sz w:val="18"/>
                <w:szCs w:val="18"/>
                <w:lang w:val="en-GB"/>
              </w:rPr>
              <w:t xml:space="preserve">Output 1.1 </w:t>
            </w:r>
            <w:r w:rsidRPr="0057545E">
              <w:rPr>
                <w:rFonts w:ascii="Arial Narrow" w:hAnsi="Arial Narrow"/>
                <w:b/>
                <w:noProof/>
                <w:sz w:val="18"/>
                <w:szCs w:val="18"/>
                <w:lang w:val="en-GB"/>
              </w:rPr>
              <w:tab/>
              <w:t xml:space="preserve">National coordination, assessment and strategy </w:t>
            </w:r>
            <w:r w:rsidRPr="00353542">
              <w:rPr>
                <w:rFonts w:ascii="Arial Narrow" w:hAnsi="Arial Narrow"/>
                <w:b/>
                <w:noProof/>
                <w:sz w:val="18"/>
                <w:szCs w:val="18"/>
                <w:lang w:val="en-GB"/>
              </w:rPr>
              <w:t>realised</w:t>
            </w:r>
          </w:p>
        </w:tc>
        <w:tc>
          <w:tcPr>
            <w:tcW w:w="405" w:type="dxa"/>
            <w:shd w:val="clear" w:color="auto" w:fill="FFFFFF"/>
          </w:tcPr>
          <w:p w:rsidR="000E596D" w:rsidRPr="004722F0" w:rsidRDefault="000E596D" w:rsidP="000E596D">
            <w:pPr>
              <w:jc w:val="left"/>
              <w:rPr>
                <w:rFonts w:ascii="Arial Narrow" w:hAnsi="Arial Narrow"/>
                <w:noProof/>
                <w:szCs w:val="22"/>
                <w:lang w:val="en-GB"/>
              </w:rPr>
            </w:pPr>
          </w:p>
        </w:tc>
        <w:tc>
          <w:tcPr>
            <w:tcW w:w="405" w:type="dxa"/>
            <w:shd w:val="clear" w:color="auto" w:fill="FFFFFF"/>
          </w:tcPr>
          <w:p w:rsidR="000E596D" w:rsidRPr="00666B27" w:rsidRDefault="000E596D" w:rsidP="000E596D">
            <w:pPr>
              <w:jc w:val="left"/>
              <w:rPr>
                <w:rFonts w:ascii="Arial Narrow" w:hAnsi="Arial Narrow"/>
                <w:noProof/>
                <w:szCs w:val="22"/>
                <w:lang w:val="en-GB"/>
              </w:rPr>
            </w:pPr>
          </w:p>
        </w:tc>
        <w:tc>
          <w:tcPr>
            <w:tcW w:w="405" w:type="dxa"/>
            <w:shd w:val="clear" w:color="auto" w:fill="FFFFFF"/>
          </w:tcPr>
          <w:p w:rsidR="000E596D" w:rsidRPr="00666B27" w:rsidRDefault="000E596D" w:rsidP="000E596D">
            <w:pPr>
              <w:jc w:val="left"/>
              <w:rPr>
                <w:rFonts w:ascii="Arial Narrow" w:hAnsi="Arial Narrow"/>
                <w:noProof/>
                <w:szCs w:val="22"/>
                <w:lang w:val="en-GB"/>
              </w:rPr>
            </w:pPr>
          </w:p>
        </w:tc>
        <w:tc>
          <w:tcPr>
            <w:tcW w:w="405" w:type="dxa"/>
            <w:shd w:val="clear" w:color="auto" w:fill="FFFFFF"/>
          </w:tcPr>
          <w:p w:rsidR="000E596D" w:rsidRPr="00666B27" w:rsidRDefault="000E596D" w:rsidP="000E596D">
            <w:pPr>
              <w:jc w:val="left"/>
              <w:rPr>
                <w:rFonts w:ascii="Arial Narrow" w:hAnsi="Arial Narrow"/>
                <w:noProof/>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1.1.1</w:t>
            </w:r>
            <w:r w:rsidRPr="0057545E">
              <w:rPr>
                <w:rFonts w:ascii="Arial Narrow" w:hAnsi="Arial Narrow"/>
                <w:sz w:val="18"/>
                <w:szCs w:val="18"/>
                <w:lang w:val="en-GB"/>
              </w:rPr>
              <w:tab/>
              <w:t>Market assessments implemented on lighting products and distribution transformers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57545E"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62336" behindDoc="0" locked="0" layoutInCell="1" allowOverlap="1">
                      <wp:simplePos x="0" y="0"/>
                      <wp:positionH relativeFrom="column">
                        <wp:posOffset>-50800</wp:posOffset>
                      </wp:positionH>
                      <wp:positionV relativeFrom="paragraph">
                        <wp:posOffset>75564</wp:posOffset>
                      </wp:positionV>
                      <wp:extent cx="495300" cy="0"/>
                      <wp:effectExtent l="0" t="19050" r="19050" b="19050"/>
                      <wp:wrapNone/>
                      <wp:docPr id="58" name="Straight Connector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953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EDF890B" id="Straight Connector 249" o:spid="_x0000_s1026" style="position:absolute;flip:y;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pt,5.95pt" to="35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" strokecolor="#4472c4" strokeweight="5pt">
                      <v:stroke joinstyle="miter"/>
                      <o:lock v:ext="edit" shapetype="f"/>
                    </v:line>
                  </w:pict>
                </mc:Fallback>
              </mc:AlternateContent>
            </w:r>
          </w:p>
        </w:tc>
        <w:tc>
          <w:tcPr>
            <w:tcW w:w="405" w:type="dxa"/>
            <w:shd w:val="clear" w:color="auto" w:fill="FFFFFF"/>
          </w:tcPr>
          <w:p w:rsidR="000E596D" w:rsidRPr="00353542" w:rsidRDefault="000E596D" w:rsidP="000E596D">
            <w:pPr>
              <w:jc w:val="left"/>
              <w:rPr>
                <w:rFonts w:ascii="Arial Narrow" w:hAnsi="Arial Narrow"/>
                <w:szCs w:val="22"/>
                <w:lang w:val="en-GB"/>
              </w:rPr>
            </w:pP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86"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92032" behindDoc="0" locked="0" layoutInCell="1" allowOverlap="1">
                      <wp:simplePos x="0" y="0"/>
                      <wp:positionH relativeFrom="column">
                        <wp:posOffset>4445</wp:posOffset>
                      </wp:positionH>
                      <wp:positionV relativeFrom="paragraph">
                        <wp:posOffset>97154</wp:posOffset>
                      </wp:positionV>
                      <wp:extent cx="533400" cy="0"/>
                      <wp:effectExtent l="0" t="19050" r="19050" b="19050"/>
                      <wp:wrapNone/>
                      <wp:docPr id="63" name="Straight Connector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334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861F3F2" id="Straight Connector 63" o:spid="_x0000_s1026" style="position:absolute;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5pt,7.65pt" to="42.3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" strokecolor="#4472c4" strokeweight="5pt">
                      <v:stroke joinstyle="miter"/>
                      <o:lock v:ext="edit" shapetype="f"/>
                    </v:line>
                  </w:pict>
                </mc:Fallback>
              </mc:AlternateContent>
            </w: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57545E" w:rsidRDefault="000E596D" w:rsidP="000E596D">
            <w:pPr>
              <w:jc w:val="left"/>
              <w:rPr>
                <w:rFonts w:ascii="Arial Narrow" w:hAnsi="Arial Narrow"/>
                <w:szCs w:val="22"/>
                <w:lang w:val="en-GB"/>
              </w:rPr>
            </w:pPr>
          </w:p>
        </w:tc>
        <w:tc>
          <w:tcPr>
            <w:tcW w:w="405" w:type="dxa"/>
            <w:shd w:val="clear" w:color="auto" w:fill="FFFFFF"/>
          </w:tcPr>
          <w:p w:rsidR="000E596D" w:rsidRPr="00353542" w:rsidRDefault="000E596D" w:rsidP="000E596D">
            <w:pPr>
              <w:jc w:val="left"/>
              <w:rPr>
                <w:rFonts w:ascii="Arial Narrow" w:hAnsi="Arial Narrow"/>
                <w:szCs w:val="22"/>
                <w:lang w:val="en-GB"/>
              </w:rPr>
            </w:pP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66" w:type="dxa"/>
            <w:shd w:val="clear" w:color="auto" w:fill="FFFFFF"/>
          </w:tcPr>
          <w:p w:rsidR="000E596D" w:rsidRPr="004722F0"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1.1.2</w:t>
            </w:r>
            <w:r w:rsidRPr="0057545E">
              <w:rPr>
                <w:rFonts w:ascii="Arial Narrow" w:hAnsi="Arial Narrow"/>
                <w:sz w:val="18"/>
                <w:szCs w:val="18"/>
                <w:lang w:val="en-GB"/>
              </w:rPr>
              <w:tab/>
              <w:t>Establishment of working groups on lighting products and distribution transformers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57545E"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84864" behindDoc="0" locked="0" layoutInCell="1" allowOverlap="1">
                      <wp:simplePos x="0" y="0"/>
                      <wp:positionH relativeFrom="column">
                        <wp:posOffset>-31115</wp:posOffset>
                      </wp:positionH>
                      <wp:positionV relativeFrom="paragraph">
                        <wp:posOffset>97789</wp:posOffset>
                      </wp:positionV>
                      <wp:extent cx="365760" cy="0"/>
                      <wp:effectExtent l="0" t="19050" r="34290" b="19050"/>
                      <wp:wrapNone/>
                      <wp:docPr id="8328" name="Straight Connector 83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65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9E827F6" id="Straight Connector 8328" o:spid="_x0000_s1026" style="position:absolute;flip:y;z-index:2516848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5pt,7.7pt" to="26.3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" strokecolor="#4472c4" strokeweight="5pt">
                      <v:stroke joinstyle="miter"/>
                      <o:lock v:ext="edit" shapetype="f"/>
                    </v:line>
                  </w:pict>
                </mc:Fallback>
              </mc:AlternateContent>
            </w:r>
          </w:p>
        </w:tc>
        <w:tc>
          <w:tcPr>
            <w:tcW w:w="405" w:type="dxa"/>
            <w:shd w:val="clear" w:color="auto" w:fill="FFFFFF"/>
          </w:tcPr>
          <w:p w:rsidR="000E596D" w:rsidRPr="00353542" w:rsidRDefault="000E596D" w:rsidP="000E596D">
            <w:pPr>
              <w:jc w:val="left"/>
              <w:rPr>
                <w:rFonts w:ascii="Arial Narrow" w:hAnsi="Arial Narrow"/>
                <w:szCs w:val="22"/>
                <w:lang w:val="en-GB"/>
              </w:rPr>
            </w:pP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86" w:type="dxa"/>
            <w:shd w:val="clear" w:color="auto" w:fill="FFFFFF"/>
          </w:tcPr>
          <w:p w:rsidR="000E596D" w:rsidRPr="004722F0" w:rsidRDefault="000E596D" w:rsidP="000E596D">
            <w:pPr>
              <w:jc w:val="left"/>
              <w:rPr>
                <w:noProof/>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1.1.3</w:t>
            </w:r>
            <w:r w:rsidRPr="0057545E">
              <w:rPr>
                <w:rFonts w:ascii="Arial Narrow" w:hAnsi="Arial Narrow"/>
                <w:sz w:val="18"/>
                <w:szCs w:val="18"/>
                <w:lang w:val="en-GB"/>
              </w:rPr>
              <w:tab/>
              <w:t xml:space="preserve">Strategies and action plans developed for HE </w:t>
            </w:r>
            <w:proofErr w:type="gramStart"/>
            <w:r w:rsidRPr="0057545E">
              <w:rPr>
                <w:rFonts w:ascii="Arial Narrow" w:hAnsi="Arial Narrow"/>
                <w:sz w:val="18"/>
                <w:szCs w:val="18"/>
                <w:lang w:val="en-GB"/>
              </w:rPr>
              <w:t>lighting</w:t>
            </w:r>
            <w:proofErr w:type="gramEnd"/>
            <w:r w:rsidRPr="0057545E">
              <w:rPr>
                <w:rFonts w:ascii="Arial Narrow" w:hAnsi="Arial Narrow"/>
                <w:sz w:val="18"/>
                <w:szCs w:val="18"/>
                <w:lang w:val="en-GB"/>
              </w:rPr>
              <w:t xml:space="preserve"> and HE distribution transformers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57545E" w:rsidRDefault="000E596D" w:rsidP="000E596D">
            <w:pPr>
              <w:jc w:val="left"/>
              <w:rPr>
                <w:noProof/>
                <w:lang w:val="en-GB"/>
              </w:rPr>
            </w:pPr>
          </w:p>
        </w:tc>
        <w:tc>
          <w:tcPr>
            <w:tcW w:w="405" w:type="dxa"/>
            <w:shd w:val="clear" w:color="auto" w:fill="FFFFFF"/>
          </w:tcPr>
          <w:p w:rsidR="000E596D" w:rsidRPr="00353542" w:rsidRDefault="000E596D" w:rsidP="000E596D">
            <w:pPr>
              <w:jc w:val="left"/>
              <w:rPr>
                <w:rFonts w:ascii="Arial Narrow" w:hAnsi="Arial Narrow"/>
                <w:szCs w:val="22"/>
                <w:lang w:val="en-GB"/>
              </w:rPr>
            </w:pPr>
          </w:p>
        </w:tc>
        <w:tc>
          <w:tcPr>
            <w:tcW w:w="405" w:type="dxa"/>
            <w:shd w:val="clear" w:color="auto" w:fill="FFFFFF"/>
          </w:tcPr>
          <w:p w:rsidR="000E596D" w:rsidRPr="003B7D62" w:rsidRDefault="003A2690" w:rsidP="000E596D">
            <w:pPr>
              <w:jc w:val="left"/>
              <w:rPr>
                <w:rFonts w:ascii="Arial Narrow" w:hAnsi="Arial Narrow"/>
                <w:szCs w:val="22"/>
                <w:lang w:val="en-GB"/>
              </w:rPr>
            </w:pPr>
            <w:r>
              <w:rPr>
                <w:noProof/>
              </w:rPr>
              <mc:AlternateContent>
                <mc:Choice Requires="wps">
                  <w:drawing>
                    <wp:anchor distT="0" distB="0" distL="114300" distR="114300" simplePos="0" relativeHeight="251685888" behindDoc="0" locked="0" layoutInCell="1" allowOverlap="1">
                      <wp:simplePos x="0" y="0"/>
                      <wp:positionH relativeFrom="column">
                        <wp:posOffset>-562610</wp:posOffset>
                      </wp:positionH>
                      <wp:positionV relativeFrom="paragraph">
                        <wp:posOffset>175260</wp:posOffset>
                      </wp:positionV>
                      <wp:extent cx="1198880" cy="19050"/>
                      <wp:effectExtent l="0" t="19050" r="20320" b="19050"/>
                      <wp:wrapNone/>
                      <wp:docPr id="8329" name="Straight Connector 83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9888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D0DF041" id="Straight Connector 8329" o:spid="_x0000_s1026" style="position:absolute;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3pt,13.8pt" to="50.1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" strokecolor="#4472c4" strokeweight="5pt">
                      <v:stroke joinstyle="miter"/>
                      <o:lock v:ext="edit" shapetype="f"/>
                    </v:line>
                  </w:pict>
                </mc:Fallback>
              </mc:AlternateContent>
            </w:r>
          </w:p>
        </w:tc>
        <w:tc>
          <w:tcPr>
            <w:tcW w:w="465" w:type="dxa"/>
            <w:shd w:val="clear" w:color="auto" w:fill="FFFFFF"/>
          </w:tcPr>
          <w:p w:rsidR="000E596D" w:rsidRPr="004722F0"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3A2690" w:rsidP="000E596D">
            <w:pPr>
              <w:jc w:val="left"/>
              <w:rPr>
                <w:rFonts w:ascii="Arial Narrow" w:hAnsi="Arial Narrow"/>
                <w:szCs w:val="22"/>
                <w:lang w:val="en-GB"/>
              </w:rPr>
            </w:pPr>
            <w:r>
              <w:rPr>
                <w:noProof/>
              </w:rPr>
              <mc:AlternateContent>
                <mc:Choice Requires="wps">
                  <w:drawing>
                    <wp:anchor distT="0" distB="0" distL="114300" distR="114300" simplePos="0" relativeHeight="251686912" behindDoc="0" locked="0" layoutInCell="1" allowOverlap="1">
                      <wp:simplePos x="0" y="0"/>
                      <wp:positionH relativeFrom="column">
                        <wp:posOffset>-459740</wp:posOffset>
                      </wp:positionH>
                      <wp:positionV relativeFrom="paragraph">
                        <wp:posOffset>163830</wp:posOffset>
                      </wp:positionV>
                      <wp:extent cx="833120" cy="10160"/>
                      <wp:effectExtent l="0" t="19050" r="24130" b="27940"/>
                      <wp:wrapNone/>
                      <wp:docPr id="8330" name="Straight Connector 83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3312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A01A96A" id="Straight Connector 8330" o:spid="_x0000_s1026" style="position:absolute;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2pt,12.9pt" to="29.4pt,1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" strokecolor="#4472c4" strokeweight="5pt">
                      <v:stroke joinstyle="miter"/>
                      <o:lock v:ext="edit" shapetype="f"/>
                    </v:line>
                  </w:pict>
                </mc:Fallback>
              </mc:AlternateContent>
            </w: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57545E" w:rsidRDefault="000E596D" w:rsidP="000E596D">
            <w:pPr>
              <w:jc w:val="left"/>
              <w:rPr>
                <w:rFonts w:ascii="Arial Narrow" w:hAnsi="Arial Narrow"/>
                <w:szCs w:val="22"/>
                <w:lang w:val="en-GB"/>
              </w:rPr>
            </w:pPr>
          </w:p>
        </w:tc>
        <w:tc>
          <w:tcPr>
            <w:tcW w:w="405" w:type="dxa"/>
            <w:shd w:val="clear" w:color="auto" w:fill="FFFFFF"/>
          </w:tcPr>
          <w:p w:rsidR="000E596D" w:rsidRPr="00353542" w:rsidRDefault="000E596D" w:rsidP="000E596D">
            <w:pPr>
              <w:jc w:val="left"/>
              <w:rPr>
                <w:rFonts w:ascii="Arial Narrow" w:hAnsi="Arial Narrow"/>
                <w:szCs w:val="22"/>
                <w:lang w:val="en-GB"/>
              </w:rPr>
            </w:pPr>
          </w:p>
        </w:tc>
        <w:tc>
          <w:tcPr>
            <w:tcW w:w="466" w:type="dxa"/>
            <w:shd w:val="clear" w:color="auto" w:fill="FFFFFF"/>
          </w:tcPr>
          <w:p w:rsidR="000E596D" w:rsidRPr="003B7D62"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900"/>
              </w:tabs>
              <w:ind w:left="889" w:hanging="889"/>
              <w:jc w:val="left"/>
              <w:rPr>
                <w:rFonts w:ascii="Arial Narrow" w:hAnsi="Arial Narrow"/>
                <w:b/>
                <w:sz w:val="18"/>
                <w:szCs w:val="18"/>
                <w:lang w:val="en-GB"/>
              </w:rPr>
            </w:pPr>
            <w:r w:rsidRPr="0057545E">
              <w:rPr>
                <w:rFonts w:ascii="Arial Narrow" w:hAnsi="Arial Narrow"/>
                <w:b/>
                <w:sz w:val="18"/>
                <w:szCs w:val="18"/>
                <w:lang w:val="en-GB"/>
              </w:rPr>
              <w:t>Output 1.2</w:t>
            </w:r>
            <w:r w:rsidRPr="0057545E">
              <w:rPr>
                <w:rFonts w:ascii="Arial Narrow" w:hAnsi="Arial Narrow"/>
                <w:b/>
                <w:sz w:val="18"/>
                <w:szCs w:val="18"/>
                <w:lang w:val="en-GB"/>
              </w:rPr>
              <w:tab/>
              <w:t>S&amp;L and MVE system developed for LED lighting and distribution transformers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B7D6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1.2.1</w:t>
            </w:r>
            <w:r w:rsidRPr="0057545E">
              <w:rPr>
                <w:rFonts w:ascii="Arial Narrow" w:hAnsi="Arial Narrow"/>
                <w:sz w:val="18"/>
                <w:szCs w:val="18"/>
                <w:lang w:val="en-GB"/>
              </w:rPr>
              <w:tab/>
              <w:t xml:space="preserve">Proposals for (mandatory) </w:t>
            </w:r>
            <w:r w:rsidRPr="00353542">
              <w:rPr>
                <w:rFonts w:ascii="Arial Narrow" w:hAnsi="Arial Narrow"/>
                <w:noProof/>
                <w:sz w:val="18"/>
                <w:szCs w:val="18"/>
                <w:lang w:val="en-GB"/>
              </w:rPr>
              <w:t>labelling</w:t>
            </w:r>
            <w:r w:rsidRPr="003B7D62">
              <w:rPr>
                <w:rFonts w:ascii="Arial Narrow" w:hAnsi="Arial Narrow"/>
                <w:sz w:val="18"/>
                <w:szCs w:val="18"/>
                <w:lang w:val="en-GB"/>
              </w:rPr>
              <w:t xml:space="preserve"> and MEPS (S&amp;L) for lighting and MVE system</w:t>
            </w: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57545E"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63360" behindDoc="0" locked="0" layoutInCell="1" allowOverlap="1">
                      <wp:simplePos x="0" y="0"/>
                      <wp:positionH relativeFrom="column">
                        <wp:posOffset>-3256915</wp:posOffset>
                      </wp:positionH>
                      <wp:positionV relativeFrom="paragraph">
                        <wp:posOffset>88899</wp:posOffset>
                      </wp:positionV>
                      <wp:extent cx="2458720" cy="0"/>
                      <wp:effectExtent l="0" t="19050" r="36830" b="19050"/>
                      <wp:wrapNone/>
                      <wp:docPr id="57" name="Straight Connector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4587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98964AC" id="Straight Connector 250" o:spid="_x0000_s1026" style="position:absolute;flip:y;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56.45pt,7pt" to="-62.8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" strokecolor="#4472c4" strokeweight="5pt">
                      <v:stroke joinstyle="miter"/>
                      <o:lock v:ext="edit" shapetype="f"/>
                    </v:line>
                  </w:pict>
                </mc:Fallback>
              </mc:AlternateContent>
            </w:r>
          </w:p>
        </w:tc>
        <w:tc>
          <w:tcPr>
            <w:tcW w:w="425" w:type="dxa"/>
            <w:shd w:val="clear" w:color="auto" w:fill="FFFFFF"/>
          </w:tcPr>
          <w:p w:rsidR="000E596D" w:rsidRPr="00353542" w:rsidRDefault="000E596D" w:rsidP="000E596D">
            <w:pPr>
              <w:jc w:val="left"/>
              <w:rPr>
                <w:rFonts w:ascii="Arial Narrow" w:hAnsi="Arial Narrow"/>
                <w:szCs w:val="22"/>
                <w:lang w:val="en-GB"/>
              </w:rPr>
            </w:pP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1.2.2</w:t>
            </w:r>
            <w:r w:rsidRPr="0057545E">
              <w:rPr>
                <w:rFonts w:ascii="Arial Narrow" w:hAnsi="Arial Narrow"/>
                <w:sz w:val="18"/>
                <w:szCs w:val="18"/>
                <w:lang w:val="en-GB"/>
              </w:rPr>
              <w:tab/>
              <w:t>Proposal for setting up MEPS and MVE system for distribution transformers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57545E" w:rsidRDefault="000E596D" w:rsidP="000E596D">
            <w:pPr>
              <w:jc w:val="left"/>
              <w:rPr>
                <w:rFonts w:ascii="Arial Narrow" w:hAnsi="Arial Narrow"/>
                <w:szCs w:val="22"/>
                <w:lang w:val="en-GB"/>
              </w:rPr>
            </w:pPr>
          </w:p>
        </w:tc>
        <w:tc>
          <w:tcPr>
            <w:tcW w:w="425" w:type="dxa"/>
            <w:shd w:val="clear" w:color="auto" w:fill="FFFFFF"/>
          </w:tcPr>
          <w:p w:rsidR="000E596D" w:rsidRPr="00353542" w:rsidRDefault="000E596D" w:rsidP="000E596D">
            <w:pPr>
              <w:jc w:val="left"/>
              <w:rPr>
                <w:rFonts w:ascii="Arial Narrow" w:hAnsi="Arial Narrow"/>
                <w:szCs w:val="22"/>
                <w:lang w:val="en-GB"/>
              </w:rPr>
            </w:pPr>
          </w:p>
        </w:tc>
        <w:tc>
          <w:tcPr>
            <w:tcW w:w="425" w:type="dxa"/>
            <w:shd w:val="clear" w:color="auto" w:fill="FFFFFF"/>
          </w:tcPr>
          <w:p w:rsidR="000E596D" w:rsidRPr="003B7D62"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68480" behindDoc="0" locked="0" layoutInCell="1" allowOverlap="1">
                      <wp:simplePos x="0" y="0"/>
                      <wp:positionH relativeFrom="column">
                        <wp:posOffset>-2418715</wp:posOffset>
                      </wp:positionH>
                      <wp:positionV relativeFrom="paragraph">
                        <wp:posOffset>81914</wp:posOffset>
                      </wp:positionV>
                      <wp:extent cx="2397760" cy="0"/>
                      <wp:effectExtent l="0" t="19050" r="21590" b="19050"/>
                      <wp:wrapNone/>
                      <wp:docPr id="56" name="Straight Connector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39776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939752F" id="Straight Connector 251"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90.45pt,6.45pt" to="-1.65pt,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" strokecolor="#4472c4" strokeweight="5pt">
                      <v:stroke joinstyle="miter"/>
                      <o:lock v:ext="edit" shapetype="f"/>
                    </v:line>
                  </w:pict>
                </mc:Fallback>
              </mc:AlternateContent>
            </w:r>
          </w:p>
        </w:tc>
        <w:tc>
          <w:tcPr>
            <w:tcW w:w="410"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B7D62" w:rsidRDefault="000E596D" w:rsidP="000E596D">
            <w:pPr>
              <w:tabs>
                <w:tab w:val="left" w:pos="464"/>
              </w:tabs>
              <w:jc w:val="left"/>
              <w:rPr>
                <w:rFonts w:ascii="Arial Narrow" w:hAnsi="Arial Narrow"/>
                <w:sz w:val="18"/>
                <w:szCs w:val="18"/>
                <w:lang w:val="en-GB"/>
              </w:rPr>
            </w:pPr>
            <w:r w:rsidRPr="0057545E">
              <w:rPr>
                <w:rFonts w:ascii="Arial Narrow" w:hAnsi="Arial Narrow"/>
                <w:sz w:val="18"/>
                <w:szCs w:val="18"/>
                <w:lang w:val="en-GB"/>
              </w:rPr>
              <w:t>1.2.3</w:t>
            </w:r>
            <w:r w:rsidRPr="0057545E">
              <w:rPr>
                <w:rFonts w:ascii="Arial Narrow" w:hAnsi="Arial Narrow"/>
                <w:sz w:val="18"/>
                <w:szCs w:val="18"/>
                <w:lang w:val="en-GB"/>
              </w:rPr>
              <w:tab/>
              <w:t xml:space="preserve">Capacity strengthening and stakeholder engagement on standards and </w:t>
            </w:r>
            <w:r w:rsidRPr="00353542">
              <w:rPr>
                <w:rFonts w:ascii="Arial Narrow" w:hAnsi="Arial Narrow"/>
                <w:noProof/>
                <w:sz w:val="18"/>
                <w:szCs w:val="18"/>
                <w:lang w:val="en-GB"/>
              </w:rPr>
              <w:t>labelling</w:t>
            </w: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57545E" w:rsidRDefault="003A2690" w:rsidP="000E596D">
            <w:pPr>
              <w:jc w:val="left"/>
              <w:rPr>
                <w:rFonts w:ascii="Arial Narrow" w:hAnsi="Arial Narrow"/>
                <w:szCs w:val="22"/>
                <w:lang w:val="en-GB"/>
              </w:rPr>
            </w:pPr>
            <w:r>
              <w:rPr>
                <w:noProof/>
              </w:rPr>
              <mc:AlternateContent>
                <mc:Choice Requires="wps">
                  <w:drawing>
                    <wp:anchor distT="4294967295" distB="4294967295" distL="114300" distR="114300" simplePos="0" relativeHeight="251661312" behindDoc="0" locked="0" layoutInCell="1" allowOverlap="1">
                      <wp:simplePos x="0" y="0"/>
                      <wp:positionH relativeFrom="column">
                        <wp:posOffset>-1385570</wp:posOffset>
                      </wp:positionH>
                      <wp:positionV relativeFrom="paragraph">
                        <wp:posOffset>104774</wp:posOffset>
                      </wp:positionV>
                      <wp:extent cx="2875280" cy="0"/>
                      <wp:effectExtent l="0" t="19050" r="20320" b="19050"/>
                      <wp:wrapNone/>
                      <wp:docPr id="55" name="Straight Connector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8752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A051E8" id="Straight Connector 245"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09.1pt,8.25pt" to="117.3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" strokecolor="#4472c4" strokeweight="5pt">
                      <v:stroke joinstyle="miter"/>
                      <o:lock v:ext="edit" shapetype="f"/>
                    </v:line>
                  </w:pict>
                </mc:Fallback>
              </mc:AlternateContent>
            </w:r>
          </w:p>
        </w:tc>
        <w:tc>
          <w:tcPr>
            <w:tcW w:w="465" w:type="dxa"/>
            <w:shd w:val="clear" w:color="auto" w:fill="FFFFFF"/>
          </w:tcPr>
          <w:p w:rsidR="000E596D" w:rsidRPr="00353542" w:rsidRDefault="000E596D" w:rsidP="000E596D">
            <w:pPr>
              <w:jc w:val="left"/>
              <w:rPr>
                <w:rFonts w:ascii="Arial Narrow" w:hAnsi="Arial Narrow"/>
                <w:szCs w:val="22"/>
                <w:lang w:val="en-GB"/>
              </w:rPr>
            </w:pPr>
          </w:p>
        </w:tc>
        <w:tc>
          <w:tcPr>
            <w:tcW w:w="425" w:type="dxa"/>
            <w:shd w:val="clear" w:color="auto" w:fill="FFFFFF"/>
          </w:tcPr>
          <w:p w:rsidR="000E596D" w:rsidRPr="003B7D62" w:rsidRDefault="000E596D" w:rsidP="000E596D">
            <w:pPr>
              <w:jc w:val="left"/>
              <w:rPr>
                <w:rFonts w:ascii="Arial Narrow" w:hAnsi="Arial Narrow"/>
                <w:szCs w:val="22"/>
                <w:lang w:val="en-GB"/>
              </w:rPr>
            </w:pPr>
          </w:p>
        </w:tc>
        <w:tc>
          <w:tcPr>
            <w:tcW w:w="426" w:type="dxa"/>
            <w:shd w:val="clear" w:color="auto" w:fill="FFFFFF"/>
          </w:tcPr>
          <w:p w:rsidR="000E596D" w:rsidRPr="004722F0"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t>Output 1.3</w:t>
            </w:r>
            <w:r w:rsidRPr="0057545E">
              <w:rPr>
                <w:rFonts w:ascii="Arial Narrow" w:hAnsi="Arial Narrow"/>
                <w:b/>
                <w:sz w:val="18"/>
                <w:szCs w:val="18"/>
                <w:lang w:val="en-GB"/>
              </w:rPr>
              <w:tab/>
              <w:t>Strengthened capacity of testing labs and testing of products</w:t>
            </w:r>
          </w:p>
        </w:tc>
        <w:tc>
          <w:tcPr>
            <w:tcW w:w="405" w:type="dxa"/>
            <w:shd w:val="clear" w:color="auto" w:fill="FFFFFF"/>
          </w:tcPr>
          <w:p w:rsidR="000E596D" w:rsidRPr="003B7D62" w:rsidRDefault="000E596D" w:rsidP="000E596D">
            <w:pPr>
              <w:jc w:val="left"/>
              <w:rPr>
                <w:rFonts w:ascii="Arial Narrow" w:hAnsi="Arial Narrow"/>
                <w:szCs w:val="22"/>
                <w:lang w:val="en-GB"/>
              </w:rPr>
            </w:pPr>
          </w:p>
        </w:tc>
        <w:tc>
          <w:tcPr>
            <w:tcW w:w="405" w:type="dxa"/>
            <w:shd w:val="clear" w:color="auto" w:fill="FFFFFF"/>
          </w:tcPr>
          <w:p w:rsidR="000E596D" w:rsidRPr="004722F0"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86"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6"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10"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1" w:type="dxa"/>
            <w:shd w:val="clear" w:color="auto" w:fill="FFFFFF"/>
          </w:tcPr>
          <w:p w:rsidR="000E596D" w:rsidRPr="00666B27" w:rsidRDefault="000E596D" w:rsidP="000E596D">
            <w:pPr>
              <w:jc w:val="left"/>
              <w:rPr>
                <w:rFonts w:ascii="Arial Narrow" w:hAnsi="Arial Narrow"/>
                <w:szCs w:val="22"/>
                <w:lang w:val="en-GB"/>
              </w:rPr>
            </w:pPr>
          </w:p>
        </w:tc>
        <w:tc>
          <w:tcPr>
            <w:tcW w:w="42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05" w:type="dxa"/>
            <w:shd w:val="clear" w:color="auto" w:fill="FFFFFF"/>
          </w:tcPr>
          <w:p w:rsidR="000E596D" w:rsidRPr="00666B27" w:rsidRDefault="000E596D" w:rsidP="000E596D">
            <w:pPr>
              <w:jc w:val="left"/>
              <w:rPr>
                <w:rFonts w:ascii="Arial Narrow" w:hAnsi="Arial Narrow"/>
                <w:szCs w:val="22"/>
                <w:lang w:val="en-GB"/>
              </w:rPr>
            </w:pPr>
          </w:p>
        </w:tc>
        <w:tc>
          <w:tcPr>
            <w:tcW w:w="466" w:type="dxa"/>
            <w:shd w:val="clear" w:color="auto" w:fill="FFFFFF"/>
          </w:tcPr>
          <w:p w:rsidR="000E596D" w:rsidRPr="00666B27" w:rsidRDefault="000E596D" w:rsidP="000E596D">
            <w:pPr>
              <w:jc w:val="left"/>
              <w:rPr>
                <w:rFonts w:ascii="Arial Narrow" w:hAnsi="Arial Narrow"/>
                <w:szCs w:val="22"/>
                <w:lang w:val="en-GB"/>
              </w:rPr>
            </w:pPr>
          </w:p>
        </w:tc>
      </w:tr>
      <w:tr w:rsidR="00D80416" w:rsidRPr="0057545E" w:rsidTr="00F737AD">
        <w:tc>
          <w:tcPr>
            <w:tcW w:w="6238" w:type="dxa"/>
            <w:shd w:val="clear" w:color="auto" w:fill="FFFFFF"/>
          </w:tcPr>
          <w:p w:rsidR="000E596D" w:rsidRPr="003B7D6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1.3.1</w:t>
            </w:r>
            <w:r w:rsidRPr="0057545E">
              <w:rPr>
                <w:rFonts w:ascii="Arial Narrow" w:hAnsi="Arial Narrow"/>
                <w:sz w:val="18"/>
                <w:szCs w:val="18"/>
                <w:lang w:val="en-GB"/>
              </w:rPr>
              <w:tab/>
              <w:t xml:space="preserve">Assessment of capacity needed to do </w:t>
            </w:r>
            <w:r w:rsidRPr="00353542">
              <w:rPr>
                <w:rFonts w:ascii="Arial Narrow" w:hAnsi="Arial Narrow"/>
                <w:noProof/>
                <w:sz w:val="18"/>
                <w:szCs w:val="18"/>
                <w:lang w:val="en-GB"/>
              </w:rPr>
              <w:t>photometric</w:t>
            </w:r>
            <w:r w:rsidRPr="003B7D62">
              <w:rPr>
                <w:rFonts w:ascii="Arial Narrow" w:hAnsi="Arial Narrow"/>
                <w:sz w:val="18"/>
                <w:szCs w:val="18"/>
                <w:lang w:val="en-GB"/>
              </w:rPr>
              <w:t xml:space="preserve"> test (lighting) and transformers in accredited facilities</w:t>
            </w:r>
          </w:p>
        </w:tc>
        <w:tc>
          <w:tcPr>
            <w:tcW w:w="405" w:type="dxa"/>
            <w:shd w:val="clear" w:color="auto" w:fill="FFFFFF"/>
          </w:tcPr>
          <w:p w:rsidR="000E596D" w:rsidRPr="004722F0"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86"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65408" behindDoc="0" locked="0" layoutInCell="1" allowOverlap="1">
                      <wp:simplePos x="0" y="0"/>
                      <wp:positionH relativeFrom="column">
                        <wp:posOffset>-839470</wp:posOffset>
                      </wp:positionH>
                      <wp:positionV relativeFrom="paragraph">
                        <wp:posOffset>106044</wp:posOffset>
                      </wp:positionV>
                      <wp:extent cx="716280" cy="0"/>
                      <wp:effectExtent l="0" t="19050" r="26670" b="19050"/>
                      <wp:wrapNone/>
                      <wp:docPr id="51" name="Straight Connector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162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4835260" id="Straight Connector 252" o:spid="_x0000_s1026" style="position:absolute;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6.1pt,8.35pt" to="-9.7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" strokecolor="#4472c4" strokeweight="5pt">
                      <v:stroke joinstyle="miter"/>
                      <o:lock v:ext="edit" shapetype="f"/>
                    </v:line>
                  </w:pict>
                </mc:Fallback>
              </mc:AlternateContent>
            </w:r>
          </w:p>
        </w:tc>
        <w:tc>
          <w:tcPr>
            <w:tcW w:w="465" w:type="dxa"/>
            <w:shd w:val="clear" w:color="auto" w:fill="FFFFFF"/>
          </w:tcPr>
          <w:p w:rsidR="000E596D" w:rsidRPr="00353542" w:rsidRDefault="000E596D" w:rsidP="000E596D">
            <w:pPr>
              <w:jc w:val="left"/>
              <w:rPr>
                <w:rFonts w:ascii="Arial Narrow" w:hAnsi="Arial Narrow"/>
                <w:lang w:val="en-GB"/>
              </w:rPr>
            </w:pPr>
          </w:p>
        </w:tc>
        <w:tc>
          <w:tcPr>
            <w:tcW w:w="425" w:type="dxa"/>
            <w:shd w:val="clear" w:color="auto" w:fill="FFFFFF"/>
          </w:tcPr>
          <w:p w:rsidR="000E596D" w:rsidRPr="003B7D62" w:rsidRDefault="000E596D" w:rsidP="000E596D">
            <w:pPr>
              <w:jc w:val="left"/>
              <w:rPr>
                <w:rFonts w:ascii="Arial Narrow" w:hAnsi="Arial Narrow"/>
                <w:lang w:val="en-GB"/>
              </w:rPr>
            </w:pPr>
          </w:p>
        </w:tc>
        <w:tc>
          <w:tcPr>
            <w:tcW w:w="426" w:type="dxa"/>
            <w:shd w:val="clear" w:color="auto" w:fill="FFFFFF"/>
          </w:tcPr>
          <w:p w:rsidR="000E596D" w:rsidRPr="004722F0"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10"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1"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6" w:type="dxa"/>
            <w:shd w:val="clear" w:color="auto" w:fill="FFFFFF"/>
          </w:tcPr>
          <w:p w:rsidR="000E596D" w:rsidRPr="00666B27" w:rsidRDefault="000E596D" w:rsidP="000E596D">
            <w:pPr>
              <w:jc w:val="left"/>
              <w:rPr>
                <w:rFonts w:ascii="Arial Narrow" w:hAnsi="Arial Narrow"/>
                <w:lang w:val="en-GB"/>
              </w:rPr>
            </w:pPr>
          </w:p>
        </w:tc>
      </w:tr>
      <w:tr w:rsidR="00D80416" w:rsidRPr="0057545E" w:rsidTr="00F737AD">
        <w:tc>
          <w:tcPr>
            <w:tcW w:w="6238" w:type="dxa"/>
            <w:shd w:val="clear" w:color="auto" w:fill="FFFFFF"/>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1.3.2</w:t>
            </w:r>
            <w:r w:rsidRPr="0057545E">
              <w:rPr>
                <w:rFonts w:ascii="Arial Narrow" w:hAnsi="Arial Narrow"/>
                <w:sz w:val="18"/>
                <w:szCs w:val="18"/>
                <w:lang w:val="en-GB"/>
              </w:rPr>
              <w:tab/>
            </w:r>
            <w:proofErr w:type="gramStart"/>
            <w:r w:rsidRPr="0057545E">
              <w:rPr>
                <w:rFonts w:ascii="Arial Narrow" w:hAnsi="Arial Narrow"/>
                <w:sz w:val="18"/>
                <w:szCs w:val="18"/>
                <w:lang w:val="en-GB"/>
              </w:rPr>
              <w:t>Provide assistance to</w:t>
            </w:r>
            <w:proofErr w:type="gramEnd"/>
            <w:r w:rsidRPr="0057545E">
              <w:rPr>
                <w:rFonts w:ascii="Arial Narrow" w:hAnsi="Arial Narrow"/>
                <w:sz w:val="18"/>
                <w:szCs w:val="18"/>
                <w:lang w:val="en-GB"/>
              </w:rPr>
              <w:t xml:space="preserve"> upgrade testing facilities and support accreditation</w:t>
            </w:r>
          </w:p>
        </w:tc>
        <w:tc>
          <w:tcPr>
            <w:tcW w:w="405" w:type="dxa"/>
            <w:shd w:val="clear" w:color="auto" w:fill="FFFFFF"/>
          </w:tcPr>
          <w:p w:rsidR="000E596D" w:rsidRPr="003B7D62" w:rsidRDefault="000E596D" w:rsidP="000E596D">
            <w:pPr>
              <w:jc w:val="left"/>
              <w:rPr>
                <w:rFonts w:ascii="Arial Narrow" w:hAnsi="Arial Narrow"/>
                <w:lang w:val="en-GB"/>
              </w:rPr>
            </w:pPr>
          </w:p>
        </w:tc>
        <w:tc>
          <w:tcPr>
            <w:tcW w:w="405" w:type="dxa"/>
            <w:shd w:val="clear" w:color="auto" w:fill="FFFFFF"/>
          </w:tcPr>
          <w:p w:rsidR="000E596D" w:rsidRPr="004722F0"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86"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5" w:type="dxa"/>
            <w:shd w:val="clear" w:color="auto" w:fill="FFFFFF"/>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64384" behindDoc="0" locked="0" layoutInCell="1" allowOverlap="1">
                      <wp:simplePos x="0" y="0"/>
                      <wp:positionH relativeFrom="column">
                        <wp:posOffset>-27305</wp:posOffset>
                      </wp:positionH>
                      <wp:positionV relativeFrom="paragraph">
                        <wp:posOffset>48895</wp:posOffset>
                      </wp:positionV>
                      <wp:extent cx="1168400" cy="19050"/>
                      <wp:effectExtent l="0" t="19050" r="31750" b="19050"/>
                      <wp:wrapNone/>
                      <wp:docPr id="50" name="Straight Connector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16840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536556D" id="Straight Connector 253"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5pt,3.85pt" to="89.8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" strokecolor="#4472c4" strokeweight="5pt">
                      <v:stroke joinstyle="miter"/>
                      <o:lock v:ext="edit" shapetype="f"/>
                    </v:line>
                  </w:pict>
                </mc:Fallback>
              </mc:AlternateContent>
            </w:r>
          </w:p>
        </w:tc>
        <w:tc>
          <w:tcPr>
            <w:tcW w:w="425" w:type="dxa"/>
            <w:shd w:val="clear" w:color="auto" w:fill="FFFFFF"/>
          </w:tcPr>
          <w:p w:rsidR="000E596D" w:rsidRPr="00353542" w:rsidRDefault="000E596D" w:rsidP="000E596D">
            <w:pPr>
              <w:jc w:val="left"/>
              <w:rPr>
                <w:rFonts w:ascii="Arial Narrow" w:hAnsi="Arial Narrow"/>
                <w:lang w:val="en-GB"/>
              </w:rPr>
            </w:pPr>
          </w:p>
        </w:tc>
        <w:tc>
          <w:tcPr>
            <w:tcW w:w="426" w:type="dxa"/>
            <w:shd w:val="clear" w:color="auto" w:fill="FFFFFF"/>
          </w:tcPr>
          <w:p w:rsidR="000E596D" w:rsidRPr="003B7D62" w:rsidRDefault="000E596D" w:rsidP="000E596D">
            <w:pPr>
              <w:jc w:val="left"/>
              <w:rPr>
                <w:rFonts w:ascii="Arial Narrow" w:hAnsi="Arial Narrow"/>
                <w:lang w:val="en-GB"/>
              </w:rPr>
            </w:pPr>
          </w:p>
        </w:tc>
        <w:tc>
          <w:tcPr>
            <w:tcW w:w="425" w:type="dxa"/>
            <w:shd w:val="clear" w:color="auto" w:fill="FFFFFF"/>
          </w:tcPr>
          <w:p w:rsidR="000E596D" w:rsidRPr="004722F0"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10"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1"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6" w:type="dxa"/>
            <w:shd w:val="clear" w:color="auto" w:fill="FFFFFF"/>
          </w:tcPr>
          <w:p w:rsidR="000E596D" w:rsidRPr="00666B27" w:rsidRDefault="000E596D" w:rsidP="000E596D">
            <w:pPr>
              <w:jc w:val="left"/>
              <w:rPr>
                <w:rFonts w:ascii="Arial Narrow" w:hAnsi="Arial Narrow"/>
                <w:lang w:val="en-GB"/>
              </w:rPr>
            </w:pPr>
          </w:p>
        </w:tc>
      </w:tr>
      <w:tr w:rsidR="00D80416" w:rsidRPr="0057545E" w:rsidTr="00F737AD">
        <w:tc>
          <w:tcPr>
            <w:tcW w:w="6238" w:type="dxa"/>
            <w:shd w:val="clear" w:color="auto" w:fill="FFFFFF"/>
          </w:tcPr>
          <w:p w:rsidR="000E596D" w:rsidRPr="00353542" w:rsidRDefault="000E596D" w:rsidP="000E596D">
            <w:pPr>
              <w:tabs>
                <w:tab w:val="left" w:pos="464"/>
              </w:tabs>
              <w:jc w:val="left"/>
              <w:rPr>
                <w:rFonts w:ascii="Arial Narrow" w:hAnsi="Arial Narrow"/>
                <w:sz w:val="18"/>
                <w:szCs w:val="18"/>
                <w:lang w:val="en-GB"/>
              </w:rPr>
            </w:pPr>
            <w:r w:rsidRPr="0057545E">
              <w:rPr>
                <w:rFonts w:ascii="Arial Narrow" w:hAnsi="Arial Narrow"/>
                <w:sz w:val="18"/>
                <w:szCs w:val="18"/>
                <w:lang w:val="en-GB"/>
              </w:rPr>
              <w:t>1.3.3</w:t>
            </w:r>
            <w:r w:rsidRPr="0057545E">
              <w:rPr>
                <w:rFonts w:ascii="Arial Narrow" w:hAnsi="Arial Narrow"/>
                <w:sz w:val="18"/>
                <w:szCs w:val="18"/>
                <w:lang w:val="en-GB"/>
              </w:rPr>
              <w:tab/>
              <w:t>Testing of selected products carried out and publication of results</w:t>
            </w:r>
          </w:p>
        </w:tc>
        <w:tc>
          <w:tcPr>
            <w:tcW w:w="405" w:type="dxa"/>
            <w:shd w:val="clear" w:color="auto" w:fill="FFFFFF"/>
          </w:tcPr>
          <w:p w:rsidR="000E596D" w:rsidRPr="003B7D62" w:rsidRDefault="000E596D" w:rsidP="000E596D">
            <w:pPr>
              <w:jc w:val="left"/>
              <w:rPr>
                <w:rFonts w:ascii="Arial Narrow" w:hAnsi="Arial Narrow"/>
                <w:lang w:val="en-GB"/>
              </w:rPr>
            </w:pPr>
          </w:p>
        </w:tc>
        <w:tc>
          <w:tcPr>
            <w:tcW w:w="405" w:type="dxa"/>
            <w:shd w:val="clear" w:color="auto" w:fill="FFFFFF"/>
          </w:tcPr>
          <w:p w:rsidR="000E596D" w:rsidRPr="004722F0"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86"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6"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666B27" w:rsidRDefault="000E596D" w:rsidP="000E596D">
            <w:pPr>
              <w:jc w:val="left"/>
              <w:rPr>
                <w:rFonts w:ascii="Arial Narrow" w:hAnsi="Arial Narrow"/>
                <w:lang w:val="en-GB"/>
              </w:rPr>
            </w:pPr>
          </w:p>
        </w:tc>
        <w:tc>
          <w:tcPr>
            <w:tcW w:w="410" w:type="dxa"/>
            <w:shd w:val="clear" w:color="auto" w:fill="FFFFFF"/>
          </w:tcPr>
          <w:p w:rsidR="000E596D" w:rsidRPr="00666B27" w:rsidRDefault="000E596D" w:rsidP="000E596D">
            <w:pPr>
              <w:jc w:val="left"/>
              <w:rPr>
                <w:rFonts w:ascii="Arial Narrow" w:hAnsi="Arial Narrow"/>
                <w:lang w:val="en-GB"/>
              </w:rPr>
            </w:pPr>
          </w:p>
        </w:tc>
        <w:tc>
          <w:tcPr>
            <w:tcW w:w="405" w:type="dxa"/>
            <w:shd w:val="clear" w:color="auto" w:fill="FFFFFF"/>
          </w:tcPr>
          <w:p w:rsidR="000E596D" w:rsidRPr="00666B27" w:rsidRDefault="000E596D" w:rsidP="000E596D">
            <w:pPr>
              <w:jc w:val="left"/>
              <w:rPr>
                <w:rFonts w:ascii="Arial Narrow" w:hAnsi="Arial Narrow"/>
                <w:lang w:val="en-GB"/>
              </w:rPr>
            </w:pPr>
          </w:p>
        </w:tc>
        <w:tc>
          <w:tcPr>
            <w:tcW w:w="461" w:type="dxa"/>
            <w:shd w:val="clear" w:color="auto" w:fill="FFFFFF"/>
          </w:tcPr>
          <w:p w:rsidR="000E596D" w:rsidRPr="00666B27" w:rsidRDefault="000E596D" w:rsidP="000E596D">
            <w:pPr>
              <w:jc w:val="left"/>
              <w:rPr>
                <w:rFonts w:ascii="Arial Narrow" w:hAnsi="Arial Narrow"/>
                <w:lang w:val="en-GB"/>
              </w:rPr>
            </w:pPr>
          </w:p>
        </w:tc>
        <w:tc>
          <w:tcPr>
            <w:tcW w:w="425" w:type="dxa"/>
            <w:shd w:val="clear" w:color="auto" w:fill="FFFFFF"/>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67456" behindDoc="0" locked="0" layoutInCell="1" allowOverlap="1">
                      <wp:simplePos x="0" y="0"/>
                      <wp:positionH relativeFrom="column">
                        <wp:posOffset>-1385570</wp:posOffset>
                      </wp:positionH>
                      <wp:positionV relativeFrom="paragraph">
                        <wp:posOffset>92710</wp:posOffset>
                      </wp:positionV>
                      <wp:extent cx="1127760" cy="10160"/>
                      <wp:effectExtent l="0" t="19050" r="34290" b="27940"/>
                      <wp:wrapNone/>
                      <wp:docPr id="49" name="Straight Connector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12776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34CB68" id="Straight Connector 255"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9.1pt,7.3pt" to="-20.3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" strokecolor="#4472c4" strokeweight="5pt">
                      <v:stroke joinstyle="miter"/>
                      <o:lock v:ext="edit" shapetype="f"/>
                    </v:line>
                  </w:pict>
                </mc:Fallback>
              </mc:AlternateContent>
            </w:r>
          </w:p>
        </w:tc>
        <w:tc>
          <w:tcPr>
            <w:tcW w:w="405" w:type="dxa"/>
            <w:shd w:val="clear" w:color="auto" w:fill="FFFFFF"/>
          </w:tcPr>
          <w:p w:rsidR="000E596D" w:rsidRPr="00353542" w:rsidRDefault="000E596D" w:rsidP="000E596D">
            <w:pPr>
              <w:jc w:val="left"/>
              <w:rPr>
                <w:rFonts w:ascii="Arial Narrow" w:hAnsi="Arial Narrow"/>
                <w:lang w:val="en-GB"/>
              </w:rPr>
            </w:pPr>
          </w:p>
        </w:tc>
        <w:tc>
          <w:tcPr>
            <w:tcW w:w="405" w:type="dxa"/>
            <w:shd w:val="clear" w:color="auto" w:fill="FFFFFF"/>
          </w:tcPr>
          <w:p w:rsidR="000E596D" w:rsidRPr="003B7D62" w:rsidRDefault="000E596D" w:rsidP="000E596D">
            <w:pPr>
              <w:jc w:val="left"/>
              <w:rPr>
                <w:rFonts w:ascii="Arial Narrow" w:hAnsi="Arial Narrow"/>
                <w:lang w:val="en-GB"/>
              </w:rPr>
            </w:pPr>
          </w:p>
        </w:tc>
        <w:tc>
          <w:tcPr>
            <w:tcW w:w="466" w:type="dxa"/>
            <w:shd w:val="clear" w:color="auto" w:fill="FFFFFF"/>
          </w:tcPr>
          <w:p w:rsidR="000E596D" w:rsidRPr="004722F0" w:rsidRDefault="000E596D" w:rsidP="000E596D">
            <w:pPr>
              <w:jc w:val="left"/>
              <w:rPr>
                <w:rFonts w:ascii="Arial Narrow" w:hAnsi="Arial Narrow"/>
                <w:lang w:val="en-GB"/>
              </w:rPr>
            </w:pPr>
          </w:p>
        </w:tc>
      </w:tr>
      <w:tr w:rsidR="000E596D" w:rsidRPr="0057545E" w:rsidTr="00F737AD">
        <w:tc>
          <w:tcPr>
            <w:tcW w:w="14722" w:type="dxa"/>
            <w:gridSpan w:val="21"/>
            <w:shd w:val="clear" w:color="auto" w:fill="E2EFD9"/>
          </w:tcPr>
          <w:p w:rsidR="000E596D" w:rsidRPr="00353542" w:rsidRDefault="000E596D" w:rsidP="000E596D">
            <w:pPr>
              <w:tabs>
                <w:tab w:val="left" w:pos="1173"/>
              </w:tabs>
              <w:jc w:val="left"/>
              <w:rPr>
                <w:rFonts w:ascii="Arial Narrow" w:hAnsi="Arial Narrow"/>
                <w:b/>
                <w:lang w:val="en-GB"/>
              </w:rPr>
            </w:pPr>
            <w:r w:rsidRPr="0057545E">
              <w:rPr>
                <w:rFonts w:ascii="Arial Narrow" w:hAnsi="Arial Narrow"/>
                <w:b/>
                <w:sz w:val="18"/>
                <w:szCs w:val="18"/>
                <w:lang w:val="en-GB"/>
              </w:rPr>
              <w:t>Outcome 2</w:t>
            </w:r>
            <w:r w:rsidRPr="0057545E">
              <w:rPr>
                <w:rFonts w:ascii="Arial Narrow" w:hAnsi="Arial Narrow"/>
                <w:b/>
                <w:sz w:val="18"/>
                <w:szCs w:val="18"/>
                <w:lang w:val="en-GB"/>
              </w:rPr>
              <w:tab/>
              <w:t>Awareness, knowledge and capacity enhanced of end-users, municipalities and private sector</w:t>
            </w:r>
          </w:p>
        </w:tc>
      </w:tr>
      <w:tr w:rsidR="000E596D" w:rsidRPr="0057545E" w:rsidTr="0038146D">
        <w:tc>
          <w:tcPr>
            <w:tcW w:w="6238" w:type="dxa"/>
            <w:shd w:val="clear" w:color="auto" w:fill="auto"/>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t>Output 2.1</w:t>
            </w:r>
            <w:r w:rsidRPr="0057545E">
              <w:rPr>
                <w:rFonts w:ascii="Arial Narrow" w:hAnsi="Arial Narrow"/>
                <w:b/>
                <w:sz w:val="18"/>
                <w:szCs w:val="18"/>
                <w:lang w:val="en-GB"/>
              </w:rPr>
              <w:tab/>
              <w:t>Capacity needs assessment conducted for national and local government entities, RE market actors and beneficiaries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4722F0"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2.2.1</w:t>
            </w:r>
            <w:r w:rsidRPr="0057545E">
              <w:rPr>
                <w:rFonts w:ascii="Arial Narrow" w:hAnsi="Arial Narrow"/>
                <w:sz w:val="18"/>
                <w:szCs w:val="18"/>
                <w:lang w:val="en-GB"/>
              </w:rPr>
              <w:tab/>
              <w:t xml:space="preserve">Development and implementation of </w:t>
            </w:r>
            <w:r w:rsidRPr="00353542">
              <w:rPr>
                <w:rFonts w:ascii="Arial Narrow" w:hAnsi="Arial Narrow"/>
                <w:noProof/>
                <w:sz w:val="18"/>
                <w:szCs w:val="18"/>
                <w:lang w:val="en-GB"/>
              </w:rPr>
              <w:t>gender-sensitive</w:t>
            </w:r>
            <w:r w:rsidRPr="003B7D62">
              <w:rPr>
                <w:rFonts w:ascii="Arial Narrow" w:hAnsi="Arial Narrow"/>
                <w:sz w:val="18"/>
                <w:szCs w:val="18"/>
                <w:lang w:val="en-GB"/>
              </w:rPr>
              <w:t xml:space="preserve"> campaign for households and businesses on efficient lighting and waste disposal</w:t>
            </w:r>
          </w:p>
        </w:tc>
        <w:tc>
          <w:tcPr>
            <w:tcW w:w="405" w:type="dxa"/>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69504" behindDoc="0" locked="0" layoutInCell="1" allowOverlap="1">
                      <wp:simplePos x="0" y="0"/>
                      <wp:positionH relativeFrom="column">
                        <wp:posOffset>-563245</wp:posOffset>
                      </wp:positionH>
                      <wp:positionV relativeFrom="paragraph">
                        <wp:posOffset>117474</wp:posOffset>
                      </wp:positionV>
                      <wp:extent cx="838200" cy="0"/>
                      <wp:effectExtent l="0" t="19050" r="19050" b="19050"/>
                      <wp:wrapNone/>
                      <wp:docPr id="255" name="Straight Connector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838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DCAB749" id="Straight Connector 32" o:spid="_x0000_s1026" style="position:absolute;flip:y;z-index:2516695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4.35pt,9.25pt" to="21.6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6"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87936" behindDoc="0" locked="0" layoutInCell="1" allowOverlap="1">
                      <wp:simplePos x="0" y="0"/>
                      <wp:positionH relativeFrom="column">
                        <wp:posOffset>-195580</wp:posOffset>
                      </wp:positionH>
                      <wp:positionV relativeFrom="paragraph">
                        <wp:posOffset>153034</wp:posOffset>
                      </wp:positionV>
                      <wp:extent cx="457200" cy="0"/>
                      <wp:effectExtent l="0" t="19050" r="19050" b="19050"/>
                      <wp:wrapNone/>
                      <wp:docPr id="8331" name="Straight Connector 83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C6E8CE" id="Straight Connector 8331" o:spid="_x0000_s1026" style="position:absolute;flip:y;z-index:2516879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5.4pt,12.05pt" to="20.6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" strokecolor="#4472c4" strokeweight="5pt">
                      <v:stroke joinstyle="miter"/>
                      <o:lock v:ext="edit" shapetype="f"/>
                    </v:line>
                  </w:pict>
                </mc:Fallback>
              </mc:AlternateContent>
            </w: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93056" behindDoc="0" locked="0" layoutInCell="1" allowOverlap="1">
                      <wp:simplePos x="0" y="0"/>
                      <wp:positionH relativeFrom="column">
                        <wp:posOffset>-120015</wp:posOffset>
                      </wp:positionH>
                      <wp:positionV relativeFrom="paragraph">
                        <wp:posOffset>165099</wp:posOffset>
                      </wp:positionV>
                      <wp:extent cx="457200" cy="0"/>
                      <wp:effectExtent l="0" t="19050" r="19050" b="19050"/>
                      <wp:wrapNone/>
                      <wp:docPr id="8332" name="Straight Connector 83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572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C98DB52" id="Straight Connector 8332" o:spid="_x0000_s1026" style="position:absolute;flip:y;z-index:2516930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45pt,13pt" to="26.5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" strokecolor="#4472c4" strokeweight="5pt">
                      <v:stroke joinstyle="miter"/>
                      <o:lock v:ext="edit" shapetype="f"/>
                    </v:line>
                  </w:pict>
                </mc:Fallback>
              </mc:AlternateContent>
            </w:r>
          </w:p>
        </w:tc>
        <w:tc>
          <w:tcPr>
            <w:tcW w:w="461"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57545E" w:rsidRDefault="000E596D" w:rsidP="000E596D">
            <w:pPr>
              <w:jc w:val="left"/>
              <w:rPr>
                <w:rFonts w:ascii="Arial Narrow" w:hAnsi="Arial Narrow"/>
                <w:lang w:val="en-GB"/>
              </w:rPr>
            </w:pPr>
          </w:p>
        </w:tc>
        <w:tc>
          <w:tcPr>
            <w:tcW w:w="466" w:type="dxa"/>
            <w:shd w:val="clear" w:color="auto" w:fill="auto"/>
          </w:tcPr>
          <w:p w:rsidR="000E596D" w:rsidRPr="00353542"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2.2.2</w:t>
            </w:r>
            <w:r w:rsidRPr="0057545E">
              <w:rPr>
                <w:rFonts w:ascii="Arial Narrow" w:hAnsi="Arial Narrow"/>
                <w:sz w:val="18"/>
                <w:szCs w:val="18"/>
                <w:lang w:val="en-GB"/>
              </w:rPr>
              <w:tab/>
              <w:t>Capacity strengthening of staff of retailers and wholesalers on EE lighting promotion</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noProof/>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8720" behindDoc="0" locked="0" layoutInCell="1" allowOverlap="1">
                      <wp:simplePos x="0" y="0"/>
                      <wp:positionH relativeFrom="column">
                        <wp:posOffset>23495</wp:posOffset>
                      </wp:positionH>
                      <wp:positionV relativeFrom="paragraph">
                        <wp:posOffset>96519</wp:posOffset>
                      </wp:positionV>
                      <wp:extent cx="419100" cy="0"/>
                      <wp:effectExtent l="0" t="19050" r="19050" b="19050"/>
                      <wp:wrapNone/>
                      <wp:docPr id="254" name="Straight Connector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9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C253DE9" id="Straight Connector 34" o:spid="_x0000_s1026" style="position:absolute;flip:y;z-index:25167872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85pt,7.6pt" to="34.85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65" w:type="dxa"/>
            <w:shd w:val="clear" w:color="auto" w:fill="auto"/>
          </w:tcPr>
          <w:p w:rsidR="000E596D" w:rsidRPr="004722F0" w:rsidRDefault="000E596D" w:rsidP="000E596D">
            <w:pPr>
              <w:jc w:val="left"/>
              <w:rPr>
                <w:noProof/>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88960" behindDoc="0" locked="0" layoutInCell="1" allowOverlap="1">
                      <wp:simplePos x="0" y="0"/>
                      <wp:positionH relativeFrom="column">
                        <wp:posOffset>-314325</wp:posOffset>
                      </wp:positionH>
                      <wp:positionV relativeFrom="paragraph">
                        <wp:posOffset>103504</wp:posOffset>
                      </wp:positionV>
                      <wp:extent cx="419100" cy="0"/>
                      <wp:effectExtent l="0" t="19050" r="19050" b="19050"/>
                      <wp:wrapNone/>
                      <wp:docPr id="8333" name="Straight Connector 83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19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60CBA63" id="Straight Connector 8333" o:spid="_x0000_s1026" style="position:absolute;flip:y;z-index:2516889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4.75pt,8.15pt" to="8.25pt,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61"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2.2.3</w:t>
            </w:r>
            <w:r w:rsidRPr="0057545E">
              <w:rPr>
                <w:rFonts w:ascii="Arial Narrow" w:hAnsi="Arial Narrow"/>
                <w:sz w:val="18"/>
                <w:szCs w:val="18"/>
                <w:lang w:val="en-GB"/>
              </w:rPr>
              <w:tab/>
              <w:t>Capacity strengthening of commercial building owners and ESCO</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noProof/>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57545E" w:rsidRDefault="003A2690" w:rsidP="000E596D">
            <w:pPr>
              <w:jc w:val="left"/>
              <w:rPr>
                <w:noProof/>
                <w:lang w:val="en-GB"/>
              </w:rPr>
            </w:pPr>
            <w:r>
              <w:rPr>
                <w:noProof/>
              </w:rPr>
              <mc:AlternateContent>
                <mc:Choice Requires="wps">
                  <w:drawing>
                    <wp:anchor distT="4294967295" distB="4294967295" distL="114300" distR="114300" simplePos="0" relativeHeight="251666432" behindDoc="0" locked="0" layoutInCell="1" allowOverlap="1">
                      <wp:simplePos x="0" y="0"/>
                      <wp:positionH relativeFrom="column">
                        <wp:posOffset>-278765</wp:posOffset>
                      </wp:positionH>
                      <wp:positionV relativeFrom="paragraph">
                        <wp:posOffset>106044</wp:posOffset>
                      </wp:positionV>
                      <wp:extent cx="563880" cy="0"/>
                      <wp:effectExtent l="0" t="19050" r="26670" b="19050"/>
                      <wp:wrapNone/>
                      <wp:docPr id="253" name="Straight Connector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E1DBF90" id="Straight Connector 248" o:spid="_x0000_s1026" style="position:absolute;flip:y;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1.95pt,8.35pt" to="22.45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6"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89984" behindDoc="0" locked="0" layoutInCell="1" allowOverlap="1">
                      <wp:simplePos x="0" y="0"/>
                      <wp:positionH relativeFrom="column">
                        <wp:posOffset>-103505</wp:posOffset>
                      </wp:positionH>
                      <wp:positionV relativeFrom="paragraph">
                        <wp:posOffset>102234</wp:posOffset>
                      </wp:positionV>
                      <wp:extent cx="563880" cy="0"/>
                      <wp:effectExtent l="0" t="19050" r="26670" b="19050"/>
                      <wp:wrapNone/>
                      <wp:docPr id="8334" name="Straight Connector 83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638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514CDF" id="Straight Connector 8334" o:spid="_x0000_s1026" style="position:absolute;flip:y;z-index:2516899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8.15pt,8.05pt" to="36.25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" strokecolor="#4472c4" strokeweight="5pt">
                      <v:stroke joinstyle="miter"/>
                      <o:lock v:ext="edit" shapetype="f"/>
                    </v:line>
                  </w:pict>
                </mc:Fallback>
              </mc:AlternateContent>
            </w: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57545E" w:rsidRDefault="000E596D" w:rsidP="000E596D">
            <w:pPr>
              <w:jc w:val="left"/>
              <w:rPr>
                <w:rFonts w:ascii="Arial Narrow" w:hAnsi="Arial Narrow"/>
                <w:lang w:val="en-GB"/>
              </w:rPr>
            </w:pPr>
          </w:p>
        </w:tc>
        <w:tc>
          <w:tcPr>
            <w:tcW w:w="425"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t>Output 2.2</w:t>
            </w:r>
            <w:r w:rsidRPr="0057545E">
              <w:rPr>
                <w:rFonts w:ascii="Arial Narrow" w:hAnsi="Arial Narrow"/>
                <w:b/>
                <w:sz w:val="18"/>
                <w:szCs w:val="18"/>
                <w:lang w:val="en-GB"/>
              </w:rPr>
              <w:tab/>
              <w:t>Capacity strengthened of municipalities to formulate EE programmes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ind w:left="464" w:hanging="464"/>
              <w:jc w:val="left"/>
              <w:rPr>
                <w:rFonts w:ascii="Arial Narrow" w:hAnsi="Arial Narrow"/>
                <w:sz w:val="18"/>
                <w:szCs w:val="18"/>
                <w:lang w:val="en-GB"/>
              </w:rPr>
            </w:pPr>
            <w:r w:rsidRPr="0057545E">
              <w:rPr>
                <w:rFonts w:ascii="Arial Narrow" w:hAnsi="Arial Narrow"/>
                <w:sz w:val="18"/>
                <w:szCs w:val="18"/>
                <w:lang w:val="en-GB"/>
              </w:rPr>
              <w:t>2.2.1</w:t>
            </w:r>
            <w:r w:rsidRPr="0057545E">
              <w:rPr>
                <w:rFonts w:ascii="Arial Narrow" w:hAnsi="Arial Narrow"/>
                <w:sz w:val="18"/>
                <w:szCs w:val="18"/>
                <w:lang w:val="en-GB"/>
              </w:rPr>
              <w:tab/>
              <w:t>Capacity and knowledge strengthening of municipal staff and decision-makers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7696" behindDoc="0" locked="0" layoutInCell="1" allowOverlap="1">
                      <wp:simplePos x="0" y="0"/>
                      <wp:positionH relativeFrom="column">
                        <wp:posOffset>-71755</wp:posOffset>
                      </wp:positionH>
                      <wp:positionV relativeFrom="paragraph">
                        <wp:posOffset>82549</wp:posOffset>
                      </wp:positionV>
                      <wp:extent cx="830580" cy="0"/>
                      <wp:effectExtent l="0" t="19050" r="26670" b="19050"/>
                      <wp:wrapNone/>
                      <wp:docPr id="252"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305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A5C94DF" id="Straight Connector 35" o:spid="_x0000_s1026" style="position:absolute;z-index:2516776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65pt,6.5pt" to="59.75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86"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91008" behindDoc="0" locked="0" layoutInCell="1" allowOverlap="1">
                      <wp:simplePos x="0" y="0"/>
                      <wp:positionH relativeFrom="column">
                        <wp:posOffset>-323850</wp:posOffset>
                      </wp:positionH>
                      <wp:positionV relativeFrom="paragraph">
                        <wp:posOffset>85724</wp:posOffset>
                      </wp:positionV>
                      <wp:extent cx="830580" cy="0"/>
                      <wp:effectExtent l="0" t="19050" r="26670" b="19050"/>
                      <wp:wrapNone/>
                      <wp:docPr id="8335" name="Straight Connector 83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3058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193FB94" id="Straight Connector 8335" o:spid="_x0000_s1026" style="position:absolute;z-index:2516910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25.5pt,6.75pt" to="39.9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79744" behindDoc="0" locked="0" layoutInCell="1" allowOverlap="1">
                      <wp:simplePos x="0" y="0"/>
                      <wp:positionH relativeFrom="column">
                        <wp:posOffset>-320040</wp:posOffset>
                      </wp:positionH>
                      <wp:positionV relativeFrom="paragraph">
                        <wp:posOffset>74930</wp:posOffset>
                      </wp:positionV>
                      <wp:extent cx="716280" cy="7620"/>
                      <wp:effectExtent l="0" t="19050" r="26670" b="30480"/>
                      <wp:wrapNone/>
                      <wp:docPr id="251"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716280" cy="762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0A80B7A" id="Straight Connector 37" o:spid="_x0000_s1026" style="position:absolute;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pt,5.9pt" to="31.2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" strokecolor="#4472c4" strokeweight="5pt">
                      <v:stroke joinstyle="miter"/>
                      <o:lock v:ext="edit" shapetype="f"/>
                    </v:line>
                  </w:pict>
                </mc:Fallback>
              </mc:AlternateContent>
            </w:r>
          </w:p>
        </w:tc>
        <w:tc>
          <w:tcPr>
            <w:tcW w:w="461"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2.2.2</w:t>
            </w:r>
            <w:r w:rsidRPr="0057545E">
              <w:rPr>
                <w:rFonts w:ascii="Arial Narrow" w:hAnsi="Arial Narrow"/>
                <w:sz w:val="18"/>
                <w:szCs w:val="18"/>
                <w:lang w:val="en-GB"/>
              </w:rPr>
              <w:tab/>
              <w:t>Technical assistance support to develop municipal energy efficiency planning</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82816" behindDoc="0" locked="0" layoutInCell="1" allowOverlap="1">
                      <wp:simplePos x="0" y="0"/>
                      <wp:positionH relativeFrom="column">
                        <wp:posOffset>-346075</wp:posOffset>
                      </wp:positionH>
                      <wp:positionV relativeFrom="paragraph">
                        <wp:posOffset>80010</wp:posOffset>
                      </wp:positionV>
                      <wp:extent cx="3129280" cy="11430"/>
                      <wp:effectExtent l="0" t="19050" r="33020" b="26670"/>
                      <wp:wrapNone/>
                      <wp:docPr id="250"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2928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FFE89B" id="Straight Connector 46"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5pt,6.3pt" to="219.1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6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lastRenderedPageBreak/>
              <w:t>Output 2.3</w:t>
            </w:r>
            <w:r w:rsidRPr="0057545E">
              <w:rPr>
                <w:rFonts w:ascii="Arial Narrow" w:hAnsi="Arial Narrow"/>
                <w:b/>
                <w:sz w:val="18"/>
                <w:szCs w:val="18"/>
                <w:lang w:val="en-GB"/>
              </w:rPr>
              <w:tab/>
              <w:t>Increased capacity for local production of LED products and distribution transformers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ind w:left="464" w:hanging="464"/>
              <w:jc w:val="left"/>
              <w:rPr>
                <w:rFonts w:ascii="Arial Narrow" w:hAnsi="Arial Narrow"/>
                <w:sz w:val="18"/>
                <w:szCs w:val="18"/>
                <w:lang w:val="en-GB"/>
              </w:rPr>
            </w:pPr>
            <w:r w:rsidRPr="0057545E">
              <w:rPr>
                <w:rFonts w:ascii="Arial Narrow" w:hAnsi="Arial Narrow"/>
                <w:sz w:val="18"/>
                <w:szCs w:val="18"/>
                <w:lang w:val="en-GB"/>
              </w:rPr>
              <w:t>2.3.1</w:t>
            </w:r>
            <w:r w:rsidRPr="0057545E">
              <w:rPr>
                <w:rFonts w:ascii="Arial Narrow" w:hAnsi="Arial Narrow"/>
                <w:sz w:val="18"/>
                <w:szCs w:val="18"/>
                <w:lang w:val="en-GB"/>
              </w:rPr>
              <w:tab/>
              <w:t>Technical support for manufacturers of local LED products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80768" behindDoc="0" locked="0" layoutInCell="1" allowOverlap="1">
                      <wp:simplePos x="0" y="0"/>
                      <wp:positionH relativeFrom="column">
                        <wp:posOffset>-288290</wp:posOffset>
                      </wp:positionH>
                      <wp:positionV relativeFrom="paragraph">
                        <wp:posOffset>71755</wp:posOffset>
                      </wp:positionV>
                      <wp:extent cx="3718560" cy="19050"/>
                      <wp:effectExtent l="0" t="19050" r="34290" b="19050"/>
                      <wp:wrapNone/>
                      <wp:docPr id="53" name="Straight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718560" cy="1905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2825E1D" id="Straight Connector 53" o:spid="_x0000_s1026" style="position:absolute;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7pt,5.65pt" to="270.1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" strokecolor="#4472c4" strokeweight="5pt">
                      <v:stroke joinstyle="miter"/>
                      <o:lock v:ext="edit" shapetype="f"/>
                    </v:line>
                  </w:pict>
                </mc:Fallback>
              </mc:AlternateContent>
            </w:r>
          </w:p>
        </w:tc>
        <w:tc>
          <w:tcPr>
            <w:tcW w:w="486"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2.3.2</w:t>
            </w:r>
            <w:r w:rsidRPr="0057545E">
              <w:rPr>
                <w:rFonts w:ascii="Arial Narrow" w:hAnsi="Arial Narrow"/>
                <w:sz w:val="18"/>
                <w:szCs w:val="18"/>
                <w:lang w:val="en-GB"/>
              </w:rPr>
              <w:tab/>
              <w:t>Technical support to suppliers to manufacture high-efficiency distribution transformers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81792" behindDoc="0" locked="0" layoutInCell="1" allowOverlap="1">
                      <wp:simplePos x="0" y="0"/>
                      <wp:positionH relativeFrom="column">
                        <wp:posOffset>-1176020</wp:posOffset>
                      </wp:positionH>
                      <wp:positionV relativeFrom="paragraph">
                        <wp:posOffset>124460</wp:posOffset>
                      </wp:positionV>
                      <wp:extent cx="2651760" cy="22860"/>
                      <wp:effectExtent l="0" t="19050" r="34290" b="34290"/>
                      <wp:wrapNone/>
                      <wp:docPr id="54" name="Straight Connector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651760" cy="228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4D5CD1" id="Straight Connector 54"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2.6pt,9.8pt" to="116.2pt,1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" strokecolor="#4472c4" strokeweight="5pt">
                      <v:stroke joinstyle="miter"/>
                      <o:lock v:ext="edit" shapetype="f"/>
                    </v:line>
                  </w:pict>
                </mc:Fallback>
              </mc:AlternateContent>
            </w:r>
          </w:p>
        </w:tc>
        <w:tc>
          <w:tcPr>
            <w:tcW w:w="426"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F737AD">
        <w:tc>
          <w:tcPr>
            <w:tcW w:w="14722" w:type="dxa"/>
            <w:gridSpan w:val="21"/>
            <w:shd w:val="clear" w:color="auto" w:fill="DEEAF6"/>
          </w:tcPr>
          <w:p w:rsidR="000E596D" w:rsidRPr="00353542" w:rsidRDefault="000E596D" w:rsidP="000E596D">
            <w:pPr>
              <w:jc w:val="left"/>
              <w:rPr>
                <w:rFonts w:ascii="Arial Narrow" w:hAnsi="Arial Narrow"/>
                <w:b/>
                <w:lang w:val="en-GB"/>
              </w:rPr>
            </w:pPr>
            <w:r w:rsidRPr="0057545E">
              <w:rPr>
                <w:rFonts w:ascii="Arial Narrow" w:hAnsi="Arial Narrow"/>
                <w:b/>
                <w:sz w:val="18"/>
                <w:szCs w:val="18"/>
                <w:lang w:val="en-GB"/>
              </w:rPr>
              <w:t>OUTCOME 3</w:t>
            </w:r>
            <w:r w:rsidRPr="0057545E">
              <w:rPr>
                <w:rFonts w:ascii="Arial Narrow" w:hAnsi="Arial Narrow"/>
                <w:b/>
                <w:sz w:val="18"/>
                <w:szCs w:val="18"/>
                <w:lang w:val="en-GB"/>
              </w:rPr>
              <w:tab/>
              <w:t>Increased investments in rural RE to meet household demand, PUE and enterprise development</w:t>
            </w:r>
          </w:p>
        </w:tc>
      </w:tr>
      <w:tr w:rsidR="000E596D" w:rsidRPr="0057545E" w:rsidTr="0038146D">
        <w:tc>
          <w:tcPr>
            <w:tcW w:w="6238" w:type="dxa"/>
            <w:shd w:val="clear" w:color="auto" w:fill="auto"/>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t>Output 3.1</w:t>
            </w:r>
            <w:r w:rsidRPr="0057545E">
              <w:rPr>
                <w:rFonts w:ascii="Arial Narrow" w:hAnsi="Arial Narrow"/>
                <w:b/>
                <w:sz w:val="18"/>
                <w:szCs w:val="18"/>
                <w:lang w:val="en-GB"/>
              </w:rPr>
              <w:tab/>
              <w:t>Designed and implemented off-grid RE solutions and models integrated with PUE implemented in selected villages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3.1.1.</w:t>
            </w:r>
            <w:r w:rsidRPr="0057545E">
              <w:rPr>
                <w:rFonts w:ascii="Arial Narrow" w:hAnsi="Arial Narrow"/>
                <w:sz w:val="18"/>
                <w:szCs w:val="18"/>
                <w:lang w:val="en-GB"/>
              </w:rPr>
              <w:tab/>
              <w:t>EEFI governance structure set up</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0528" behindDoc="0" locked="0" layoutInCell="1" allowOverlap="1">
                      <wp:simplePos x="0" y="0"/>
                      <wp:positionH relativeFrom="column">
                        <wp:posOffset>-66040</wp:posOffset>
                      </wp:positionH>
                      <wp:positionV relativeFrom="paragraph">
                        <wp:posOffset>102234</wp:posOffset>
                      </wp:positionV>
                      <wp:extent cx="800100" cy="0"/>
                      <wp:effectExtent l="0" t="19050" r="19050" b="19050"/>
                      <wp:wrapNone/>
                      <wp:docPr id="59" name="Straight Connector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0010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0D0360D" id="Straight Connector 59"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2pt,8.05pt" to="57.8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86"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4722F0"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3.1.2</w:t>
            </w:r>
            <w:r w:rsidRPr="0057545E">
              <w:rPr>
                <w:rFonts w:ascii="Arial Narrow" w:hAnsi="Arial Narrow"/>
                <w:sz w:val="18"/>
                <w:szCs w:val="18"/>
                <w:lang w:val="en-GB"/>
              </w:rPr>
              <w:tab/>
            </w:r>
            <w:proofErr w:type="spellStart"/>
            <w:r w:rsidR="00DB334A" w:rsidRPr="003B7D62">
              <w:rPr>
                <w:rFonts w:ascii="Arial Narrow" w:hAnsi="Arial Narrow"/>
                <w:sz w:val="18"/>
                <w:szCs w:val="18"/>
                <w:lang w:val="en-GB"/>
              </w:rPr>
              <w:t>EEFi</w:t>
            </w:r>
            <w:proofErr w:type="spellEnd"/>
            <w:r w:rsidR="00DB334A" w:rsidRPr="003B7D62">
              <w:rPr>
                <w:rFonts w:ascii="Arial Narrow" w:hAnsi="Arial Narrow"/>
                <w:sz w:val="18"/>
                <w:szCs w:val="18"/>
                <w:lang w:val="en-GB"/>
              </w:rPr>
              <w:t xml:space="preserve"> funding is</w:t>
            </w:r>
            <w:r w:rsidRPr="003B7D62">
              <w:rPr>
                <w:rFonts w:ascii="Arial Narrow" w:hAnsi="Arial Narrow"/>
                <w:sz w:val="18"/>
                <w:szCs w:val="18"/>
                <w:lang w:val="en-GB"/>
              </w:rPr>
              <w:t xml:space="preserve"> made available through GEF’s facility to finance LED lighting and distribution transformer projects</w:t>
            </w:r>
          </w:p>
        </w:tc>
        <w:tc>
          <w:tcPr>
            <w:tcW w:w="405" w:type="dxa"/>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71552" behindDoc="0" locked="0" layoutInCell="1" allowOverlap="1">
                      <wp:simplePos x="0" y="0"/>
                      <wp:positionH relativeFrom="column">
                        <wp:posOffset>-301625</wp:posOffset>
                      </wp:positionH>
                      <wp:positionV relativeFrom="paragraph">
                        <wp:posOffset>191770</wp:posOffset>
                      </wp:positionV>
                      <wp:extent cx="3535680" cy="17780"/>
                      <wp:effectExtent l="0" t="19050" r="26670" b="20320"/>
                      <wp:wrapNone/>
                      <wp:docPr id="8321" name="Straight Connector 83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3535680" cy="1778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37458C0" id="Straight Connector 8321"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5pt,15.1pt" to="254.6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6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3.1.3</w:t>
            </w:r>
            <w:r w:rsidRPr="0057545E">
              <w:rPr>
                <w:rFonts w:ascii="Arial Narrow" w:hAnsi="Arial Narrow"/>
                <w:sz w:val="18"/>
                <w:szCs w:val="18"/>
                <w:lang w:val="en-GB"/>
              </w:rPr>
              <w:tab/>
              <w:t>Bridge finance is provided for the mass-procurement of residential LED lamps, working in collaboration with existing energy programs of the municipalities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noProof/>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83840" behindDoc="0" locked="0" layoutInCell="1" allowOverlap="1">
                      <wp:simplePos x="0" y="0"/>
                      <wp:positionH relativeFrom="column">
                        <wp:posOffset>-216535</wp:posOffset>
                      </wp:positionH>
                      <wp:positionV relativeFrom="paragraph">
                        <wp:posOffset>139064</wp:posOffset>
                      </wp:positionV>
                      <wp:extent cx="1747520" cy="0"/>
                      <wp:effectExtent l="0" t="19050" r="24130" b="19050"/>
                      <wp:wrapNone/>
                      <wp:docPr id="48" name="Straight Connector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47520"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0BEC548" id="Straight Connector 48" o:spid="_x0000_s1026" style="position:absolute;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17.05pt,10.95pt" to="120.55pt,1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4722F0"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3.1.4</w:t>
            </w:r>
            <w:r w:rsidRPr="0057545E">
              <w:rPr>
                <w:rFonts w:ascii="Arial Narrow" w:hAnsi="Arial Narrow"/>
                <w:sz w:val="18"/>
                <w:szCs w:val="18"/>
                <w:lang w:val="en-GB"/>
              </w:rPr>
              <w:tab/>
            </w:r>
            <w:r w:rsidR="00DB334A" w:rsidRPr="003B7D62">
              <w:rPr>
                <w:rFonts w:ascii="Arial Narrow" w:hAnsi="Arial Narrow"/>
                <w:sz w:val="18"/>
                <w:szCs w:val="18"/>
                <w:lang w:val="en-GB"/>
              </w:rPr>
              <w:t>EEFI funding is</w:t>
            </w:r>
            <w:r w:rsidRPr="003B7D62">
              <w:rPr>
                <w:rFonts w:ascii="Arial Narrow" w:hAnsi="Arial Narrow"/>
                <w:sz w:val="18"/>
                <w:szCs w:val="18"/>
                <w:lang w:val="en-GB"/>
              </w:rPr>
              <w:t xml:space="preserve"> made available to suppliers, manufacturer to set up or upgrade the production facility of LED products and transformers</w:t>
            </w:r>
          </w:p>
        </w:tc>
        <w:tc>
          <w:tcPr>
            <w:tcW w:w="405" w:type="dxa"/>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57545E" w:rsidRDefault="003A2690" w:rsidP="000E596D">
            <w:pPr>
              <w:jc w:val="left"/>
              <w:rPr>
                <w:noProof/>
                <w:lang w:val="en-GB"/>
              </w:rPr>
            </w:pPr>
            <w:r>
              <w:rPr>
                <w:noProof/>
              </w:rPr>
              <mc:AlternateContent>
                <mc:Choice Requires="wps">
                  <w:drawing>
                    <wp:anchor distT="0" distB="0" distL="114300" distR="114300" simplePos="0" relativeHeight="251694080" behindDoc="0" locked="0" layoutInCell="1" allowOverlap="1">
                      <wp:simplePos x="0" y="0"/>
                      <wp:positionH relativeFrom="column">
                        <wp:posOffset>-260985</wp:posOffset>
                      </wp:positionH>
                      <wp:positionV relativeFrom="paragraph">
                        <wp:posOffset>137160</wp:posOffset>
                      </wp:positionV>
                      <wp:extent cx="3119120" cy="21590"/>
                      <wp:effectExtent l="0" t="19050" r="24130" b="35560"/>
                      <wp:wrapNone/>
                      <wp:docPr id="8336" name="Straight Connector 83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11912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A051BC2" id="Straight Connector 8336"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5pt,10.8pt" to="225.0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6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878"/>
              </w:tabs>
              <w:ind w:left="464" w:hanging="464"/>
              <w:jc w:val="left"/>
              <w:rPr>
                <w:rFonts w:ascii="Arial Narrow" w:hAnsi="Arial Narrow"/>
                <w:b/>
                <w:sz w:val="18"/>
                <w:szCs w:val="18"/>
                <w:lang w:val="en-GB"/>
              </w:rPr>
            </w:pPr>
            <w:r w:rsidRPr="0057545E">
              <w:rPr>
                <w:rFonts w:ascii="Arial Narrow" w:hAnsi="Arial Narrow"/>
                <w:b/>
                <w:sz w:val="18"/>
                <w:szCs w:val="18"/>
                <w:lang w:val="en-GB"/>
              </w:rPr>
              <w:t>Output 3.2</w:t>
            </w:r>
            <w:r w:rsidRPr="0057545E">
              <w:rPr>
                <w:rFonts w:ascii="Arial Narrow" w:hAnsi="Arial Narrow"/>
                <w:b/>
                <w:sz w:val="18"/>
                <w:szCs w:val="18"/>
                <w:lang w:val="en-GB"/>
              </w:rPr>
              <w:tab/>
              <w:t>Financial advice service provided to prospective applicants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noProof/>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3.2.1</w:t>
            </w:r>
            <w:r w:rsidRPr="0057545E">
              <w:rPr>
                <w:rFonts w:ascii="Arial Narrow" w:hAnsi="Arial Narrow"/>
                <w:sz w:val="18"/>
                <w:szCs w:val="18"/>
                <w:lang w:val="en-GB"/>
              </w:rPr>
              <w:tab/>
              <w:t>Advice services provided to prospective applicants on financing modalities and structuring of proposals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noProof/>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95104" behindDoc="0" locked="0" layoutInCell="1" allowOverlap="1">
                      <wp:simplePos x="0" y="0"/>
                      <wp:positionH relativeFrom="column">
                        <wp:posOffset>-1083945</wp:posOffset>
                      </wp:positionH>
                      <wp:positionV relativeFrom="paragraph">
                        <wp:posOffset>118110</wp:posOffset>
                      </wp:positionV>
                      <wp:extent cx="3444240" cy="21590"/>
                      <wp:effectExtent l="0" t="19050" r="22860" b="35560"/>
                      <wp:wrapNone/>
                      <wp:docPr id="8337" name="Straight Connector 83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3444240" cy="2159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40B884" id="Straight Connector 8337"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35pt,9.3pt" to="185.85pt,1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6"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F737AD">
        <w:tc>
          <w:tcPr>
            <w:tcW w:w="14722" w:type="dxa"/>
            <w:gridSpan w:val="21"/>
            <w:shd w:val="clear" w:color="auto" w:fill="FBE4D5"/>
          </w:tcPr>
          <w:p w:rsidR="000E596D" w:rsidRPr="00353542" w:rsidRDefault="000E596D" w:rsidP="000E596D">
            <w:pPr>
              <w:jc w:val="left"/>
              <w:rPr>
                <w:rFonts w:ascii="Arial Narrow" w:hAnsi="Arial Narrow"/>
                <w:b/>
                <w:lang w:val="en-GB"/>
              </w:rPr>
            </w:pPr>
            <w:r w:rsidRPr="0057545E">
              <w:rPr>
                <w:rFonts w:ascii="Arial Narrow" w:hAnsi="Arial Narrow"/>
                <w:b/>
                <w:sz w:val="18"/>
                <w:szCs w:val="18"/>
                <w:lang w:val="en-GB"/>
              </w:rPr>
              <w:t>OUTCOME 4</w:t>
            </w:r>
            <w:r w:rsidRPr="0057545E">
              <w:rPr>
                <w:rFonts w:ascii="Arial Narrow" w:hAnsi="Arial Narrow"/>
                <w:b/>
                <w:sz w:val="18"/>
                <w:szCs w:val="18"/>
                <w:lang w:val="en-GB"/>
              </w:rPr>
              <w:tab/>
              <w:t>Environmentally sound management and waste disposal practices</w:t>
            </w:r>
          </w:p>
        </w:tc>
      </w:tr>
      <w:tr w:rsidR="000E596D" w:rsidRPr="0057545E" w:rsidTr="0038146D">
        <w:tc>
          <w:tcPr>
            <w:tcW w:w="6238" w:type="dxa"/>
            <w:shd w:val="clear" w:color="auto" w:fill="auto"/>
          </w:tcPr>
          <w:p w:rsidR="000E596D" w:rsidRPr="00353542" w:rsidRDefault="000E596D" w:rsidP="000E596D">
            <w:pPr>
              <w:tabs>
                <w:tab w:val="left" w:pos="889"/>
              </w:tabs>
              <w:ind w:left="889" w:hanging="889"/>
              <w:jc w:val="left"/>
              <w:rPr>
                <w:rFonts w:ascii="Arial Narrow" w:hAnsi="Arial Narrow"/>
                <w:b/>
                <w:sz w:val="18"/>
                <w:szCs w:val="18"/>
                <w:lang w:val="en-GB"/>
              </w:rPr>
            </w:pPr>
            <w:r w:rsidRPr="0057545E">
              <w:rPr>
                <w:rFonts w:ascii="Arial Narrow" w:hAnsi="Arial Narrow"/>
                <w:b/>
                <w:sz w:val="18"/>
                <w:szCs w:val="18"/>
                <w:lang w:val="en-GB"/>
              </w:rPr>
              <w:t>Output 4.1</w:t>
            </w:r>
            <w:r w:rsidRPr="0057545E">
              <w:rPr>
                <w:rFonts w:ascii="Arial Narrow" w:hAnsi="Arial Narrow"/>
                <w:b/>
                <w:sz w:val="18"/>
                <w:szCs w:val="18"/>
                <w:lang w:val="en-GB"/>
              </w:rPr>
              <w:tab/>
              <w:t>Assessed and facilitated commercial financial support for rural RE energy projects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4.1.1</w:t>
            </w:r>
            <w:r w:rsidRPr="0057545E">
              <w:rPr>
                <w:rFonts w:ascii="Arial Narrow" w:hAnsi="Arial Narrow"/>
                <w:sz w:val="18"/>
                <w:szCs w:val="18"/>
                <w:lang w:val="en-GB"/>
              </w:rPr>
              <w:tab/>
              <w:t>Assessment of current practice in recycling of (fluorescent) lamps, waste handling</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72576" behindDoc="0" locked="0" layoutInCell="1" allowOverlap="1">
                      <wp:simplePos x="0" y="0"/>
                      <wp:positionH relativeFrom="column">
                        <wp:posOffset>-267970</wp:posOffset>
                      </wp:positionH>
                      <wp:positionV relativeFrom="paragraph">
                        <wp:posOffset>78740</wp:posOffset>
                      </wp:positionV>
                      <wp:extent cx="746760" cy="11430"/>
                      <wp:effectExtent l="0" t="19050" r="34290" b="26670"/>
                      <wp:wrapNone/>
                      <wp:docPr id="8322" name="Straight Connector 83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6760" cy="1143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C583090" id="Straight Connector 832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1pt,6.2pt" to="37.7pt,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" strokecolor="#4472c4" strokeweight="5pt">
                      <v:stroke joinstyle="miter"/>
                      <o:lock v:ext="edit" shapetype="f"/>
                    </v:line>
                  </w:pict>
                </mc:Fallback>
              </mc:AlternateContent>
            </w:r>
          </w:p>
        </w:tc>
        <w:tc>
          <w:tcPr>
            <w:tcW w:w="486"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4.1.2</w:t>
            </w:r>
            <w:r w:rsidRPr="0057545E">
              <w:rPr>
                <w:rFonts w:ascii="Arial Narrow" w:hAnsi="Arial Narrow"/>
                <w:sz w:val="18"/>
                <w:szCs w:val="18"/>
                <w:lang w:val="en-GB"/>
              </w:rPr>
              <w:tab/>
              <w:t>Provide training to municipal officials on environmentally sound management of lamp waste</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4624" behindDoc="0" locked="0" layoutInCell="1" allowOverlap="1">
                      <wp:simplePos x="0" y="0"/>
                      <wp:positionH relativeFrom="column">
                        <wp:posOffset>-84455</wp:posOffset>
                      </wp:positionH>
                      <wp:positionV relativeFrom="paragraph">
                        <wp:posOffset>134619</wp:posOffset>
                      </wp:positionV>
                      <wp:extent cx="276225" cy="0"/>
                      <wp:effectExtent l="0" t="19050" r="28575" b="19050"/>
                      <wp:wrapNone/>
                      <wp:docPr id="8323" name="Straight Connector 83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7658B78" id="Straight Connector 8323" o:spid="_x0000_s1026" style="position:absolute;z-index:2516746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65pt,10.6pt" to="15.1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" strokecolor="#4472c4" strokeweight="5pt">
                      <v:stroke joinstyle="miter"/>
                      <o:lock v:ext="edit" shapetype="f"/>
                    </v:line>
                  </w:pict>
                </mc:Fallback>
              </mc:AlternateContent>
            </w:r>
          </w:p>
        </w:tc>
        <w:tc>
          <w:tcPr>
            <w:tcW w:w="405" w:type="dxa"/>
            <w:shd w:val="clear" w:color="auto" w:fill="auto"/>
          </w:tcPr>
          <w:p w:rsidR="000E596D" w:rsidRPr="00353542" w:rsidRDefault="000E596D" w:rsidP="000E596D">
            <w:pPr>
              <w:jc w:val="left"/>
              <w:rPr>
                <w:rFonts w:ascii="Arial Narrow" w:hAnsi="Arial Narrow"/>
                <w:lang w:val="en-GB"/>
              </w:rPr>
            </w:pPr>
          </w:p>
        </w:tc>
        <w:tc>
          <w:tcPr>
            <w:tcW w:w="46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26"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5648" behindDoc="0" locked="0" layoutInCell="1" allowOverlap="1">
                      <wp:simplePos x="0" y="0"/>
                      <wp:positionH relativeFrom="column">
                        <wp:posOffset>-74295</wp:posOffset>
                      </wp:positionH>
                      <wp:positionV relativeFrom="paragraph">
                        <wp:posOffset>126999</wp:posOffset>
                      </wp:positionV>
                      <wp:extent cx="276225" cy="0"/>
                      <wp:effectExtent l="0" t="19050" r="28575" b="19050"/>
                      <wp:wrapNone/>
                      <wp:docPr id="8324" name="Straight Connector 83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1E17C95" id="Straight Connector 8324" o:spid="_x0000_s1026" style="position:absolute;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5.85pt,10pt" to="15.9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" strokecolor="#4472c4" strokeweight="5pt">
                      <v:stroke joinstyle="miter"/>
                      <o:lock v:ext="edit" shapetype="f"/>
                    </v:line>
                  </w:pict>
                </mc:Fallback>
              </mc:AlternateContent>
            </w:r>
          </w:p>
        </w:tc>
        <w:tc>
          <w:tcPr>
            <w:tcW w:w="425" w:type="dxa"/>
            <w:shd w:val="clear" w:color="auto" w:fill="auto"/>
          </w:tcPr>
          <w:p w:rsidR="000E596D" w:rsidRPr="00353542" w:rsidRDefault="000E596D" w:rsidP="000E596D">
            <w:pPr>
              <w:jc w:val="left"/>
              <w:rPr>
                <w:rFonts w:ascii="Arial Narrow" w:hAnsi="Arial Narrow"/>
                <w:lang w:val="en-GB"/>
              </w:rPr>
            </w:pPr>
          </w:p>
        </w:tc>
        <w:tc>
          <w:tcPr>
            <w:tcW w:w="425"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10" w:type="dxa"/>
            <w:shd w:val="clear" w:color="auto" w:fill="auto"/>
          </w:tcPr>
          <w:p w:rsidR="000E596D" w:rsidRPr="0057545E" w:rsidRDefault="000E596D" w:rsidP="000E596D">
            <w:pPr>
              <w:jc w:val="left"/>
              <w:rPr>
                <w:rFonts w:ascii="Arial Narrow" w:hAnsi="Arial Narrow"/>
                <w:lang w:val="en-GB"/>
              </w:rPr>
            </w:pPr>
          </w:p>
        </w:tc>
        <w:tc>
          <w:tcPr>
            <w:tcW w:w="405" w:type="dxa"/>
            <w:shd w:val="clear" w:color="auto" w:fill="auto"/>
          </w:tcPr>
          <w:p w:rsidR="000E596D" w:rsidRPr="00353542" w:rsidRDefault="003A2690" w:rsidP="000E596D">
            <w:pPr>
              <w:jc w:val="left"/>
              <w:rPr>
                <w:rFonts w:ascii="Arial Narrow" w:hAnsi="Arial Narrow"/>
                <w:lang w:val="en-GB"/>
              </w:rPr>
            </w:pPr>
            <w:r>
              <w:rPr>
                <w:noProof/>
              </w:rPr>
              <mc:AlternateContent>
                <mc:Choice Requires="wps">
                  <w:drawing>
                    <wp:anchor distT="4294967295" distB="4294967295" distL="114300" distR="114300" simplePos="0" relativeHeight="251676672" behindDoc="0" locked="0" layoutInCell="1" allowOverlap="1">
                      <wp:simplePos x="0" y="0"/>
                      <wp:positionH relativeFrom="column">
                        <wp:posOffset>-121920</wp:posOffset>
                      </wp:positionH>
                      <wp:positionV relativeFrom="paragraph">
                        <wp:posOffset>146049</wp:posOffset>
                      </wp:positionV>
                      <wp:extent cx="276225" cy="0"/>
                      <wp:effectExtent l="0" t="19050" r="28575" b="19050"/>
                      <wp:wrapNone/>
                      <wp:docPr id="8325" name="Straight Connector 83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76225" cy="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BA2F78C" id="Straight Connector 8325" o:spid="_x0000_s1026" style="position:absolute;z-index:25167667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9.6pt,11.5pt" to="12.1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" strokecolor="#4472c4" strokeweight="5pt">
                      <v:stroke joinstyle="miter"/>
                      <o:lock v:ext="edit" shapetype="f"/>
                    </v:line>
                  </w:pict>
                </mc:Fallback>
              </mc:AlternateContent>
            </w:r>
          </w:p>
        </w:tc>
        <w:tc>
          <w:tcPr>
            <w:tcW w:w="461" w:type="dxa"/>
            <w:shd w:val="clear" w:color="auto" w:fill="auto"/>
          </w:tcPr>
          <w:p w:rsidR="000E596D" w:rsidRPr="003B7D62" w:rsidRDefault="000E596D" w:rsidP="000E596D">
            <w:pPr>
              <w:jc w:val="left"/>
              <w:rPr>
                <w:rFonts w:ascii="Arial Narrow" w:hAnsi="Arial Narrow"/>
                <w:lang w:val="en-GB"/>
              </w:rPr>
            </w:pPr>
          </w:p>
        </w:tc>
        <w:tc>
          <w:tcPr>
            <w:tcW w:w="42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57545E" w:rsidRDefault="000E596D" w:rsidP="000E596D">
            <w:pPr>
              <w:jc w:val="left"/>
              <w:rPr>
                <w:rFonts w:ascii="Arial Narrow" w:hAnsi="Arial Narrow"/>
                <w:lang w:val="en-GB"/>
              </w:rPr>
            </w:pPr>
          </w:p>
        </w:tc>
        <w:tc>
          <w:tcPr>
            <w:tcW w:w="405" w:type="dxa"/>
            <w:shd w:val="clear" w:color="auto" w:fill="auto"/>
          </w:tcPr>
          <w:p w:rsidR="000E596D" w:rsidRPr="00353542" w:rsidRDefault="000E596D" w:rsidP="000E596D">
            <w:pPr>
              <w:jc w:val="left"/>
              <w:rPr>
                <w:rFonts w:ascii="Arial Narrow" w:hAnsi="Arial Narrow"/>
                <w:lang w:val="en-GB"/>
              </w:rPr>
            </w:pPr>
          </w:p>
        </w:tc>
        <w:tc>
          <w:tcPr>
            <w:tcW w:w="466" w:type="dxa"/>
            <w:shd w:val="clear" w:color="auto" w:fill="auto"/>
          </w:tcPr>
          <w:p w:rsidR="000E596D" w:rsidRPr="003B7D62"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878"/>
              </w:tabs>
              <w:ind w:left="878" w:hanging="878"/>
              <w:jc w:val="left"/>
              <w:rPr>
                <w:rFonts w:ascii="Arial Narrow" w:hAnsi="Arial Narrow"/>
                <w:sz w:val="18"/>
                <w:szCs w:val="18"/>
                <w:lang w:val="en-GB"/>
              </w:rPr>
            </w:pPr>
            <w:r w:rsidRPr="0057545E">
              <w:rPr>
                <w:rFonts w:ascii="Arial Narrow" w:hAnsi="Arial Narrow"/>
                <w:b/>
                <w:sz w:val="18"/>
                <w:szCs w:val="18"/>
                <w:lang w:val="en-GB"/>
              </w:rPr>
              <w:t>Output 4.2</w:t>
            </w:r>
            <w:r w:rsidRPr="0057545E">
              <w:rPr>
                <w:rFonts w:ascii="Arial Narrow" w:hAnsi="Arial Narrow"/>
                <w:b/>
                <w:sz w:val="18"/>
                <w:szCs w:val="18"/>
                <w:lang w:val="en-GB"/>
              </w:rPr>
              <w:tab/>
              <w:t>Assessed issues and options of using vegetable oil in liquid-filled transformers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noProof/>
                <w:lang w:val="en-GB"/>
              </w:rPr>
            </w:pPr>
          </w:p>
        </w:tc>
        <w:tc>
          <w:tcPr>
            <w:tcW w:w="486"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r w:rsidR="000E596D" w:rsidRPr="0057545E" w:rsidTr="0038146D">
        <w:tc>
          <w:tcPr>
            <w:tcW w:w="6238" w:type="dxa"/>
            <w:shd w:val="clear" w:color="auto" w:fill="auto"/>
          </w:tcPr>
          <w:p w:rsidR="000E596D" w:rsidRPr="00353542" w:rsidRDefault="000E596D" w:rsidP="000E596D">
            <w:pPr>
              <w:tabs>
                <w:tab w:val="left" w:pos="464"/>
              </w:tabs>
              <w:ind w:left="464" w:hanging="464"/>
              <w:jc w:val="left"/>
              <w:rPr>
                <w:rFonts w:ascii="Arial Narrow" w:hAnsi="Arial Narrow"/>
                <w:sz w:val="18"/>
                <w:szCs w:val="18"/>
                <w:lang w:val="en-GB"/>
              </w:rPr>
            </w:pPr>
            <w:r w:rsidRPr="0057545E">
              <w:rPr>
                <w:rFonts w:ascii="Arial Narrow" w:hAnsi="Arial Narrow"/>
                <w:sz w:val="18"/>
                <w:szCs w:val="18"/>
                <w:lang w:val="en-GB"/>
              </w:rPr>
              <w:t>4.2.1</w:t>
            </w:r>
            <w:r w:rsidRPr="0057545E">
              <w:rPr>
                <w:rFonts w:ascii="Arial Narrow" w:hAnsi="Arial Narrow"/>
                <w:sz w:val="18"/>
                <w:szCs w:val="18"/>
                <w:lang w:val="en-GB"/>
              </w:rPr>
              <w:tab/>
              <w:t>Assessment of the issues and options of using vegetable oil in liquid-filled transformers</w:t>
            </w:r>
          </w:p>
        </w:tc>
        <w:tc>
          <w:tcPr>
            <w:tcW w:w="405" w:type="dxa"/>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57545E" w:rsidRDefault="003A2690" w:rsidP="000E596D">
            <w:pPr>
              <w:jc w:val="left"/>
              <w:rPr>
                <w:rFonts w:ascii="Arial Narrow" w:hAnsi="Arial Narrow"/>
                <w:lang w:val="en-GB"/>
              </w:rPr>
            </w:pPr>
            <w:r>
              <w:rPr>
                <w:noProof/>
              </w:rPr>
              <mc:AlternateContent>
                <mc:Choice Requires="wps">
                  <w:drawing>
                    <wp:anchor distT="0" distB="0" distL="114300" distR="114300" simplePos="0" relativeHeight="251673600" behindDoc="0" locked="0" layoutInCell="1" allowOverlap="1">
                      <wp:simplePos x="0" y="0"/>
                      <wp:positionH relativeFrom="column">
                        <wp:posOffset>1316990</wp:posOffset>
                      </wp:positionH>
                      <wp:positionV relativeFrom="paragraph">
                        <wp:posOffset>142240</wp:posOffset>
                      </wp:positionV>
                      <wp:extent cx="2153920" cy="10160"/>
                      <wp:effectExtent l="0" t="19050" r="36830" b="27940"/>
                      <wp:wrapNone/>
                      <wp:docPr id="8327" name="Straight Connector 83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153920" cy="10160"/>
                              </a:xfrm>
                              <a:prstGeom prst="line">
                                <a:avLst/>
                              </a:prstGeom>
                              <a:noFill/>
                              <a:ln w="63500" cap="flat" cmpd="sng" algn="ctr">
                                <a:solidFill>
                                  <a:srgbClr val="4472C4"/>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0F2CE7" id="Straight Connector 8327"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3.7pt,11.2pt" to="273.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" strokecolor="#4472c4" strokeweight="5pt">
                      <v:stroke joinstyle="miter"/>
                      <o:lock v:ext="edit" shapetype="f"/>
                    </v:line>
                  </w:pict>
                </mc:Fallback>
              </mc:AlternateContent>
            </w:r>
          </w:p>
        </w:tc>
        <w:tc>
          <w:tcPr>
            <w:tcW w:w="486" w:type="dxa"/>
            <w:shd w:val="clear" w:color="auto" w:fill="auto"/>
          </w:tcPr>
          <w:p w:rsidR="000E596D" w:rsidRPr="00353542" w:rsidRDefault="000E596D" w:rsidP="000E596D">
            <w:pPr>
              <w:jc w:val="left"/>
              <w:rPr>
                <w:rFonts w:ascii="Arial Narrow" w:hAnsi="Arial Narrow"/>
                <w:lang w:val="en-GB"/>
              </w:rPr>
            </w:pPr>
          </w:p>
        </w:tc>
        <w:tc>
          <w:tcPr>
            <w:tcW w:w="405" w:type="dxa"/>
            <w:shd w:val="clear" w:color="auto" w:fill="auto"/>
          </w:tcPr>
          <w:p w:rsidR="000E596D" w:rsidRPr="003B7D62" w:rsidRDefault="000E596D" w:rsidP="000E596D">
            <w:pPr>
              <w:jc w:val="left"/>
              <w:rPr>
                <w:rFonts w:ascii="Arial Narrow" w:hAnsi="Arial Narrow"/>
                <w:lang w:val="en-GB"/>
              </w:rPr>
            </w:pPr>
          </w:p>
        </w:tc>
        <w:tc>
          <w:tcPr>
            <w:tcW w:w="405" w:type="dxa"/>
            <w:shd w:val="clear" w:color="auto" w:fill="auto"/>
          </w:tcPr>
          <w:p w:rsidR="000E596D" w:rsidRPr="004722F0" w:rsidRDefault="000E596D" w:rsidP="000E596D">
            <w:pPr>
              <w:jc w:val="left"/>
              <w:rPr>
                <w:rFonts w:ascii="Arial Narrow" w:hAnsi="Arial Narrow"/>
                <w:lang w:val="en-GB"/>
              </w:rPr>
            </w:pPr>
          </w:p>
        </w:tc>
        <w:tc>
          <w:tcPr>
            <w:tcW w:w="46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6"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10"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1" w:type="dxa"/>
            <w:shd w:val="clear" w:color="auto" w:fill="auto"/>
          </w:tcPr>
          <w:p w:rsidR="000E596D" w:rsidRPr="00666B27" w:rsidRDefault="000E596D" w:rsidP="000E596D">
            <w:pPr>
              <w:jc w:val="left"/>
              <w:rPr>
                <w:rFonts w:ascii="Arial Narrow" w:hAnsi="Arial Narrow"/>
                <w:lang w:val="en-GB"/>
              </w:rPr>
            </w:pPr>
          </w:p>
        </w:tc>
        <w:tc>
          <w:tcPr>
            <w:tcW w:w="42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05" w:type="dxa"/>
            <w:shd w:val="clear" w:color="auto" w:fill="auto"/>
          </w:tcPr>
          <w:p w:rsidR="000E596D" w:rsidRPr="00666B27" w:rsidRDefault="000E596D" w:rsidP="000E596D">
            <w:pPr>
              <w:jc w:val="left"/>
              <w:rPr>
                <w:rFonts w:ascii="Arial Narrow" w:hAnsi="Arial Narrow"/>
                <w:lang w:val="en-GB"/>
              </w:rPr>
            </w:pPr>
          </w:p>
        </w:tc>
        <w:tc>
          <w:tcPr>
            <w:tcW w:w="466" w:type="dxa"/>
            <w:shd w:val="clear" w:color="auto" w:fill="auto"/>
          </w:tcPr>
          <w:p w:rsidR="000E596D" w:rsidRPr="00666B27" w:rsidRDefault="000E596D" w:rsidP="000E596D">
            <w:pPr>
              <w:jc w:val="left"/>
              <w:rPr>
                <w:rFonts w:ascii="Arial Narrow" w:hAnsi="Arial Narrow"/>
                <w:lang w:val="en-GB"/>
              </w:rPr>
            </w:pPr>
          </w:p>
        </w:tc>
      </w:tr>
    </w:tbl>
    <w:p w:rsidR="00E716B2" w:rsidRPr="0057545E" w:rsidRDefault="00E716B2" w:rsidP="003B2A79">
      <w:pPr>
        <w:rPr>
          <w:szCs w:val="22"/>
          <w:lang w:val="en-GB"/>
        </w:rPr>
      </w:pPr>
    </w:p>
    <w:p w:rsidR="00E716B2" w:rsidRPr="00353542" w:rsidRDefault="00E716B2" w:rsidP="00E716B2">
      <w:pPr>
        <w:rPr>
          <w:szCs w:val="22"/>
          <w:lang w:val="en-GB"/>
        </w:rPr>
      </w:pPr>
    </w:p>
    <w:p w:rsidR="00E716B2" w:rsidRPr="00666B27" w:rsidRDefault="00E716B2" w:rsidP="00E716B2">
      <w:pPr>
        <w:ind w:left="-567"/>
        <w:rPr>
          <w:szCs w:val="22"/>
          <w:lang w:val="en-GB"/>
        </w:rPr>
        <w:sectPr w:rsidR="00E716B2" w:rsidRPr="00666B27" w:rsidSect="00E716B2">
          <w:pgSz w:w="15840" w:h="12240" w:orient="landscape" w:code="1"/>
          <w:pgMar w:top="1134" w:right="1440" w:bottom="1134" w:left="1440" w:header="720" w:footer="720" w:gutter="0"/>
          <w:cols w:space="720"/>
          <w:docGrid w:linePitch="360"/>
        </w:sectPr>
      </w:pPr>
    </w:p>
    <w:bookmarkEnd w:id="149"/>
    <w:bookmarkEnd w:id="150"/>
    <w:p w:rsidR="005D47FA" w:rsidRPr="00666B27" w:rsidRDefault="005D47FA" w:rsidP="00B54E97">
      <w:pPr>
        <w:rPr>
          <w:b/>
          <w:szCs w:val="22"/>
          <w:lang w:val="en-GB"/>
        </w:rPr>
      </w:pPr>
    </w:p>
    <w:p w:rsidR="005D47FA" w:rsidRPr="00666B27" w:rsidRDefault="00346DFA" w:rsidP="00503021">
      <w:pPr>
        <w:pStyle w:val="HeadingA"/>
        <w:ind w:left="1701" w:hanging="1701"/>
      </w:pPr>
      <w:bookmarkStart w:id="184" w:name="_Toc340777"/>
      <w:r w:rsidRPr="00666B27">
        <w:t>Consultancies and subcontracts</w:t>
      </w:r>
      <w:bookmarkEnd w:id="184"/>
    </w:p>
    <w:p w:rsidR="00D35F00" w:rsidRPr="00666B27" w:rsidRDefault="00D35F00" w:rsidP="00D35F00">
      <w:pPr>
        <w:rPr>
          <w:lang w:val="en-GB"/>
        </w:rPr>
      </w:pPr>
    </w:p>
    <w:p w:rsidR="000B4332" w:rsidRPr="00666B27" w:rsidRDefault="000B4332" w:rsidP="003018AE">
      <w:pPr>
        <w:spacing w:after="0"/>
        <w:jc w:val="left"/>
        <w:rPr>
          <w:szCs w:val="20"/>
          <w:lang w:val="en-GB"/>
        </w:rPr>
      </w:pPr>
      <w:r w:rsidRPr="00666B27">
        <w:rPr>
          <w:szCs w:val="20"/>
          <w:lang w:val="en-GB"/>
        </w:rPr>
        <w:t xml:space="preserve">The table below gives an overview of short-term staff and subcontracts </w:t>
      </w:r>
      <w:r w:rsidR="00D521DF" w:rsidRPr="00666B27">
        <w:rPr>
          <w:szCs w:val="20"/>
          <w:lang w:val="en-GB"/>
        </w:rPr>
        <w:t>hired with</w:t>
      </w:r>
      <w:r w:rsidRPr="00666B27">
        <w:rPr>
          <w:szCs w:val="20"/>
          <w:lang w:val="en-GB"/>
        </w:rPr>
        <w:t xml:space="preserve"> UNDP-managed GEF funding.    </w:t>
      </w:r>
    </w:p>
    <w:p w:rsidR="000B4332" w:rsidRPr="00666B27" w:rsidRDefault="000B4332" w:rsidP="003018AE">
      <w:pPr>
        <w:spacing w:after="0"/>
        <w:jc w:val="left"/>
        <w:rPr>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6"/>
        <w:gridCol w:w="1030"/>
        <w:gridCol w:w="893"/>
        <w:gridCol w:w="6203"/>
      </w:tblGrid>
      <w:tr w:rsidR="00D80416" w:rsidRPr="0057545E" w:rsidTr="00F737AD">
        <w:trPr>
          <w:tblHeader/>
        </w:trPr>
        <w:tc>
          <w:tcPr>
            <w:tcW w:w="1836" w:type="dxa"/>
            <w:shd w:val="clear" w:color="auto" w:fill="D9E2F3"/>
          </w:tcPr>
          <w:p w:rsidR="000B4332" w:rsidRPr="00F737AD" w:rsidRDefault="000B4332" w:rsidP="00F737AD">
            <w:pPr>
              <w:jc w:val="left"/>
              <w:rPr>
                <w:b/>
                <w:sz w:val="19"/>
                <w:szCs w:val="19"/>
                <w:lang w:val="en-GB" w:eastAsia="en-GB"/>
              </w:rPr>
            </w:pPr>
            <w:bookmarkStart w:id="185" w:name="_Hlk534852383"/>
            <w:bookmarkStart w:id="186" w:name="_Hlk536793920"/>
            <w:r w:rsidRPr="00F737AD">
              <w:rPr>
                <w:b/>
                <w:sz w:val="19"/>
                <w:szCs w:val="19"/>
                <w:lang w:val="en-GB" w:eastAsia="en-GB"/>
              </w:rPr>
              <w:t>Expertise</w:t>
            </w:r>
          </w:p>
          <w:p w:rsidR="000B4332" w:rsidRPr="00F737AD" w:rsidRDefault="000B4332" w:rsidP="00F737AD">
            <w:pPr>
              <w:jc w:val="left"/>
              <w:rPr>
                <w:b/>
                <w:sz w:val="19"/>
                <w:szCs w:val="19"/>
                <w:lang w:val="en-GB" w:eastAsia="en-GB"/>
              </w:rPr>
            </w:pPr>
          </w:p>
        </w:tc>
        <w:tc>
          <w:tcPr>
            <w:tcW w:w="1030" w:type="dxa"/>
            <w:shd w:val="clear" w:color="auto" w:fill="D9E2F3"/>
          </w:tcPr>
          <w:p w:rsidR="000B4332" w:rsidRPr="00F737AD" w:rsidRDefault="000B4332" w:rsidP="00F737AD">
            <w:pPr>
              <w:jc w:val="center"/>
              <w:rPr>
                <w:b/>
                <w:sz w:val="19"/>
                <w:szCs w:val="19"/>
                <w:lang w:val="en-GB" w:eastAsia="en-GB"/>
              </w:rPr>
            </w:pPr>
            <w:r w:rsidRPr="00F737AD">
              <w:rPr>
                <w:b/>
                <w:sz w:val="19"/>
                <w:szCs w:val="19"/>
                <w:lang w:val="en-GB" w:eastAsia="en-GB"/>
              </w:rPr>
              <w:t>Inter-national</w:t>
            </w:r>
          </w:p>
        </w:tc>
        <w:tc>
          <w:tcPr>
            <w:tcW w:w="893" w:type="dxa"/>
            <w:shd w:val="clear" w:color="auto" w:fill="D9E2F3"/>
          </w:tcPr>
          <w:p w:rsidR="000B4332" w:rsidRPr="00F737AD" w:rsidRDefault="000B4332" w:rsidP="00F737AD">
            <w:pPr>
              <w:jc w:val="center"/>
              <w:rPr>
                <w:b/>
                <w:sz w:val="19"/>
                <w:szCs w:val="19"/>
                <w:lang w:val="en-GB" w:eastAsia="en-GB"/>
              </w:rPr>
            </w:pPr>
            <w:r w:rsidRPr="00F737AD">
              <w:rPr>
                <w:b/>
                <w:sz w:val="19"/>
                <w:szCs w:val="19"/>
                <w:lang w:val="en-GB" w:eastAsia="en-GB"/>
              </w:rPr>
              <w:t>National</w:t>
            </w:r>
          </w:p>
        </w:tc>
        <w:tc>
          <w:tcPr>
            <w:tcW w:w="6203" w:type="dxa"/>
            <w:shd w:val="clear" w:color="auto" w:fill="D9E2F3"/>
          </w:tcPr>
          <w:p w:rsidR="000B4332" w:rsidRPr="00F737AD" w:rsidRDefault="000B4332" w:rsidP="00F737AD">
            <w:pPr>
              <w:jc w:val="left"/>
              <w:rPr>
                <w:b/>
                <w:sz w:val="19"/>
                <w:szCs w:val="19"/>
                <w:lang w:val="en-GB" w:eastAsia="en-GB"/>
              </w:rPr>
            </w:pPr>
            <w:r w:rsidRPr="00F737AD">
              <w:rPr>
                <w:b/>
                <w:sz w:val="19"/>
                <w:szCs w:val="19"/>
                <w:lang w:val="en-GB" w:eastAsia="en-GB"/>
              </w:rPr>
              <w:t>Description</w:t>
            </w:r>
          </w:p>
        </w:tc>
      </w:tr>
      <w:tr w:rsidR="000B4332" w:rsidRPr="0057545E" w:rsidTr="00F737AD">
        <w:tc>
          <w:tcPr>
            <w:tcW w:w="1836" w:type="dxa"/>
            <w:shd w:val="clear" w:color="auto" w:fill="auto"/>
          </w:tcPr>
          <w:p w:rsidR="000B4332" w:rsidRPr="00F737AD" w:rsidRDefault="000B4332" w:rsidP="00F737AD">
            <w:pPr>
              <w:jc w:val="left"/>
              <w:rPr>
                <w:i/>
                <w:sz w:val="19"/>
                <w:szCs w:val="19"/>
                <w:lang w:val="en-GB" w:eastAsia="en-GB"/>
              </w:rPr>
            </w:pPr>
          </w:p>
        </w:tc>
        <w:tc>
          <w:tcPr>
            <w:tcW w:w="1923" w:type="dxa"/>
            <w:gridSpan w:val="2"/>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(weeks)</w:t>
            </w:r>
          </w:p>
        </w:tc>
        <w:tc>
          <w:tcPr>
            <w:tcW w:w="6203" w:type="dxa"/>
            <w:shd w:val="clear" w:color="auto" w:fill="auto"/>
          </w:tcPr>
          <w:p w:rsidR="000B4332" w:rsidRPr="00F737AD" w:rsidRDefault="000B4332" w:rsidP="00F737AD">
            <w:pPr>
              <w:jc w:val="left"/>
              <w:rPr>
                <w:sz w:val="19"/>
                <w:szCs w:val="19"/>
                <w:lang w:val="en-GB" w:eastAsia="en-GB"/>
              </w:rPr>
            </w:pPr>
          </w:p>
        </w:tc>
      </w:tr>
      <w:bookmarkEnd w:id="185"/>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S&amp;L MVE system</w:t>
            </w:r>
          </w:p>
        </w:tc>
        <w:tc>
          <w:tcPr>
            <w:tcW w:w="1030"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19</w:t>
            </w:r>
          </w:p>
        </w:tc>
        <w:tc>
          <w:tcPr>
            <w:tcW w:w="893"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10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For lighting and for transformers, the expert(s) will: a) conduct a capacity assessment of the agencies/entities (including Customs) involved in compliance and verification; b) in consultation with the key stakeholders, draft proposals for a strengthened compliance checking and enforcement scheme for lighting products, including organisation of testing, suggested procedures in the case of non-compliance (Component 1). In Component 2, the expert(s) will provide training to the key stakeholders to further develop and implement the adopted schemes; </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Lighting and LED</w:t>
            </w:r>
          </w:p>
        </w:tc>
        <w:tc>
          <w:tcPr>
            <w:tcW w:w="1030"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23</w:t>
            </w:r>
          </w:p>
        </w:tc>
        <w:tc>
          <w:tcPr>
            <w:tcW w:w="893"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53</w:t>
            </w:r>
          </w:p>
        </w:tc>
        <w:tc>
          <w:tcPr>
            <w:tcW w:w="6203" w:type="dxa"/>
            <w:shd w:val="clear" w:color="auto" w:fill="auto"/>
          </w:tcPr>
          <w:p w:rsidR="00924E59" w:rsidRPr="00F737AD" w:rsidRDefault="000B4332" w:rsidP="00F737AD">
            <w:pPr>
              <w:jc w:val="left"/>
              <w:rPr>
                <w:sz w:val="19"/>
                <w:szCs w:val="19"/>
                <w:lang w:val="en-GB" w:eastAsia="en-GB"/>
              </w:rPr>
            </w:pPr>
            <w:r w:rsidRPr="00F737AD">
              <w:rPr>
                <w:sz w:val="19"/>
                <w:szCs w:val="19"/>
                <w:lang w:val="en-GB" w:eastAsia="en-GB"/>
              </w:rPr>
              <w:t xml:space="preserve">The experts will review the existing EE policies and identify gaps and propose changes by </w:t>
            </w:r>
            <w:proofErr w:type="gramStart"/>
            <w:r w:rsidRPr="00F737AD">
              <w:rPr>
                <w:sz w:val="19"/>
                <w:szCs w:val="19"/>
                <w:lang w:val="en-GB" w:eastAsia="en-GB"/>
              </w:rPr>
              <w:t>taking into account</w:t>
            </w:r>
            <w:proofErr w:type="gramEnd"/>
            <w:r w:rsidRPr="00F737AD">
              <w:rPr>
                <w:sz w:val="19"/>
                <w:szCs w:val="19"/>
                <w:lang w:val="en-GB" w:eastAsia="en-GB"/>
              </w:rPr>
              <w:t xml:space="preserve"> the most recent international developments regarding EE lighting, and provide input in recommended policy-regulatory changes (for lighting). The national expert will assist in </w:t>
            </w:r>
            <w:r w:rsidR="00C45283" w:rsidRPr="00F737AD">
              <w:rPr>
                <w:sz w:val="19"/>
                <w:szCs w:val="19"/>
                <w:lang w:val="en-GB" w:eastAsia="en-GB"/>
              </w:rPr>
              <w:t xml:space="preserve">the </w:t>
            </w:r>
            <w:r w:rsidRPr="00F737AD">
              <w:rPr>
                <w:noProof/>
                <w:sz w:val="19"/>
                <w:szCs w:val="19"/>
                <w:lang w:val="en-GB" w:eastAsia="en-GB"/>
              </w:rPr>
              <w:t>establishment</w:t>
            </w:r>
            <w:r w:rsidRPr="00F737AD">
              <w:rPr>
                <w:sz w:val="19"/>
                <w:szCs w:val="19"/>
                <w:lang w:val="en-GB" w:eastAsia="en-GB"/>
              </w:rPr>
              <w:t xml:space="preserve"> of stakeholder Working Groups (Component 1)</w:t>
            </w:r>
            <w:r w:rsidR="00B70163" w:rsidRPr="00F737AD">
              <w:rPr>
                <w:sz w:val="19"/>
                <w:szCs w:val="19"/>
                <w:lang w:val="en-GB" w:eastAsia="en-GB"/>
              </w:rPr>
              <w:t xml:space="preserve"> and serve as focal point of the project on LED issues</w:t>
            </w:r>
            <w:r w:rsidRPr="00F737AD">
              <w:rPr>
                <w:sz w:val="19"/>
                <w:szCs w:val="19"/>
                <w:lang w:val="en-GB" w:eastAsia="en-GB"/>
              </w:rPr>
              <w:t xml:space="preserve">. </w:t>
            </w:r>
            <w:r w:rsidR="00924E59" w:rsidRPr="00F737AD">
              <w:rPr>
                <w:sz w:val="19"/>
                <w:szCs w:val="19"/>
                <w:lang w:val="en-GB" w:eastAsia="en-GB"/>
              </w:rPr>
              <w:t xml:space="preserve">In addition, the </w:t>
            </w:r>
            <w:r w:rsidR="00B70163" w:rsidRPr="00F737AD">
              <w:rPr>
                <w:sz w:val="19"/>
                <w:szCs w:val="19"/>
                <w:lang w:val="en-GB" w:eastAsia="en-GB"/>
              </w:rPr>
              <w:t>experts will provide advice and support to partner</w:t>
            </w:r>
            <w:r w:rsidR="00924E59" w:rsidRPr="00F737AD">
              <w:rPr>
                <w:sz w:val="19"/>
                <w:szCs w:val="19"/>
                <w:lang w:val="en-GB" w:eastAsia="en-GB"/>
              </w:rPr>
              <w:t xml:space="preserve"> municipalities.</w:t>
            </w:r>
          </w:p>
          <w:p w:rsidR="000B4332" w:rsidRPr="00F737AD" w:rsidRDefault="00924E59" w:rsidP="00F737AD">
            <w:pPr>
              <w:jc w:val="left"/>
              <w:rPr>
                <w:sz w:val="19"/>
                <w:szCs w:val="19"/>
                <w:lang w:val="en-GB" w:eastAsia="en-GB"/>
              </w:rPr>
            </w:pPr>
            <w:r w:rsidRPr="00F737AD">
              <w:rPr>
                <w:sz w:val="19"/>
                <w:szCs w:val="19"/>
                <w:lang w:val="en-GB" w:eastAsia="en-GB"/>
              </w:rPr>
              <w:t xml:space="preserve">International and national </w:t>
            </w:r>
            <w:r w:rsidR="000B4332" w:rsidRPr="00F737AD">
              <w:rPr>
                <w:sz w:val="19"/>
                <w:szCs w:val="19"/>
                <w:lang w:val="en-GB" w:eastAsia="en-GB"/>
              </w:rPr>
              <w:t>experts will be involved in designing and delivering training to build the capacity of the local stakeholders on lighting technology, communication and promotion</w:t>
            </w:r>
            <w:r w:rsidR="00C45283" w:rsidRPr="00F737AD">
              <w:rPr>
                <w:sz w:val="19"/>
                <w:szCs w:val="19"/>
                <w:lang w:val="en-GB" w:eastAsia="en-GB"/>
              </w:rPr>
              <w:t>,</w:t>
            </w:r>
            <w:r w:rsidR="000B4332" w:rsidRPr="00F737AD">
              <w:rPr>
                <w:sz w:val="19"/>
                <w:szCs w:val="19"/>
                <w:lang w:val="en-GB" w:eastAsia="en-GB"/>
              </w:rPr>
              <w:t xml:space="preserve"> </w:t>
            </w:r>
            <w:r w:rsidR="000B4332" w:rsidRPr="00F737AD">
              <w:rPr>
                <w:noProof/>
                <w:sz w:val="19"/>
                <w:szCs w:val="19"/>
                <w:lang w:val="en-GB" w:eastAsia="en-GB"/>
              </w:rPr>
              <w:t>and</w:t>
            </w:r>
            <w:r w:rsidR="000B4332" w:rsidRPr="00F737AD">
              <w:rPr>
                <w:sz w:val="19"/>
                <w:szCs w:val="19"/>
                <w:lang w:val="en-GB" w:eastAsia="en-GB"/>
              </w:rPr>
              <w:t xml:space="preserve"> international developments</w:t>
            </w:r>
            <w:r w:rsidRPr="00F737AD">
              <w:rPr>
                <w:sz w:val="19"/>
                <w:szCs w:val="19"/>
                <w:lang w:val="en-GB" w:eastAsia="en-GB"/>
              </w:rPr>
              <w:t xml:space="preserve">. </w:t>
            </w:r>
            <w:r w:rsidR="000B4332" w:rsidRPr="00F737AD">
              <w:rPr>
                <w:sz w:val="19"/>
                <w:szCs w:val="19"/>
                <w:lang w:val="en-GB" w:eastAsia="en-GB"/>
              </w:rPr>
              <w:t xml:space="preserve"> The experts will work with the Expert S&amp;L and MVE on the regulatory framework</w:t>
            </w:r>
            <w:r w:rsidR="003D5F07" w:rsidRPr="00F737AD">
              <w:rPr>
                <w:sz w:val="19"/>
                <w:szCs w:val="19"/>
                <w:lang w:val="en-GB" w:eastAsia="en-GB"/>
              </w:rPr>
              <w:t xml:space="preserve"> (labels, MEPS, procurement)</w:t>
            </w:r>
            <w:r w:rsidR="000B4332" w:rsidRPr="00F737AD">
              <w:rPr>
                <w:sz w:val="19"/>
                <w:szCs w:val="19"/>
                <w:lang w:val="en-GB" w:eastAsia="en-GB"/>
              </w:rPr>
              <w:t>.</w:t>
            </w:r>
            <w:r w:rsidRPr="00F737AD">
              <w:rPr>
                <w:sz w:val="19"/>
                <w:szCs w:val="19"/>
                <w:lang w:val="en-GB" w:eastAsia="en-GB"/>
              </w:rPr>
              <w:t xml:space="preserve"> </w:t>
            </w:r>
            <w:r w:rsidR="003D5F07" w:rsidRPr="00F737AD">
              <w:rPr>
                <w:sz w:val="19"/>
                <w:szCs w:val="19"/>
                <w:lang w:val="en-GB" w:eastAsia="en-GB"/>
              </w:rPr>
              <w:t xml:space="preserve"> S/he will </w:t>
            </w:r>
            <w:r w:rsidR="009B56B5" w:rsidRPr="00F737AD">
              <w:rPr>
                <w:sz w:val="19"/>
                <w:szCs w:val="19"/>
                <w:lang w:val="en-GB" w:eastAsia="en-GB"/>
              </w:rPr>
              <w:t>advise</w:t>
            </w:r>
            <w:r w:rsidR="003D5F07" w:rsidRPr="00F737AD">
              <w:rPr>
                <w:sz w:val="19"/>
                <w:szCs w:val="19"/>
                <w:lang w:val="en-GB" w:eastAsia="en-GB"/>
              </w:rPr>
              <w:t xml:space="preserve"> and assess</w:t>
            </w:r>
            <w:r w:rsidR="009B56B5" w:rsidRPr="00F737AD">
              <w:rPr>
                <w:sz w:val="19"/>
                <w:szCs w:val="19"/>
                <w:lang w:val="en-GB" w:eastAsia="en-GB"/>
              </w:rPr>
              <w:t xml:space="preserve"> on </w:t>
            </w:r>
            <w:r w:rsidR="003D5F07" w:rsidRPr="00F737AD">
              <w:rPr>
                <w:sz w:val="19"/>
                <w:szCs w:val="19"/>
                <w:lang w:val="en-GB" w:eastAsia="en-GB"/>
              </w:rPr>
              <w:t>local production issues and options of lighting products</w:t>
            </w:r>
            <w:r w:rsidR="009B56B5" w:rsidRPr="00F737AD">
              <w:rPr>
                <w:sz w:val="19"/>
                <w:szCs w:val="19"/>
                <w:lang w:val="en-GB" w:eastAsia="en-GB"/>
              </w:rPr>
              <w:t>.</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Distribution transformers</w:t>
            </w:r>
            <w:r w:rsidR="00924E59" w:rsidRPr="00F737AD">
              <w:rPr>
                <w:sz w:val="19"/>
                <w:szCs w:val="19"/>
                <w:lang w:val="en-GB" w:eastAsia="en-GB"/>
              </w:rPr>
              <w:t xml:space="preserve"> application and production</w:t>
            </w:r>
          </w:p>
        </w:tc>
        <w:tc>
          <w:tcPr>
            <w:tcW w:w="1030"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31</w:t>
            </w:r>
          </w:p>
        </w:tc>
        <w:tc>
          <w:tcPr>
            <w:tcW w:w="893"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54</w:t>
            </w:r>
          </w:p>
        </w:tc>
        <w:tc>
          <w:tcPr>
            <w:tcW w:w="6203" w:type="dxa"/>
            <w:shd w:val="clear" w:color="auto" w:fill="auto"/>
          </w:tcPr>
          <w:p w:rsidR="00924E59" w:rsidRPr="00F737AD" w:rsidRDefault="000B4332" w:rsidP="00F737AD">
            <w:pPr>
              <w:jc w:val="left"/>
              <w:rPr>
                <w:sz w:val="19"/>
                <w:szCs w:val="19"/>
                <w:lang w:val="en-GB" w:eastAsia="en-GB"/>
              </w:rPr>
            </w:pPr>
            <w:r w:rsidRPr="00F737AD">
              <w:rPr>
                <w:sz w:val="19"/>
                <w:szCs w:val="19"/>
                <w:lang w:val="en-GB" w:eastAsia="en-GB"/>
              </w:rPr>
              <w:t xml:space="preserve">The experts will review the existing EE policies and identify gaps and propose changes by </w:t>
            </w:r>
            <w:proofErr w:type="gramStart"/>
            <w:r w:rsidRPr="00F737AD">
              <w:rPr>
                <w:sz w:val="19"/>
                <w:szCs w:val="19"/>
                <w:lang w:val="en-GB" w:eastAsia="en-GB"/>
              </w:rPr>
              <w:t>taking into account</w:t>
            </w:r>
            <w:proofErr w:type="gramEnd"/>
            <w:r w:rsidRPr="00F737AD">
              <w:rPr>
                <w:sz w:val="19"/>
                <w:szCs w:val="19"/>
                <w:lang w:val="en-GB" w:eastAsia="en-GB"/>
              </w:rPr>
              <w:t xml:space="preserve"> the most recent international developments regarding transformers and provide inputs for policy-regulatory changes (MEPS, procurement)</w:t>
            </w:r>
            <w:r w:rsidR="004F098C" w:rsidRPr="00F737AD">
              <w:rPr>
                <w:sz w:val="19"/>
                <w:szCs w:val="19"/>
                <w:lang w:val="en-GB" w:eastAsia="en-GB"/>
              </w:rPr>
              <w:t>.</w:t>
            </w:r>
            <w:r w:rsidRPr="00F737AD">
              <w:rPr>
                <w:sz w:val="19"/>
                <w:szCs w:val="19"/>
                <w:lang w:val="en-GB"/>
              </w:rPr>
              <w:t xml:space="preserve"> </w:t>
            </w:r>
            <w:r w:rsidRPr="00F737AD">
              <w:rPr>
                <w:sz w:val="19"/>
                <w:szCs w:val="19"/>
                <w:lang w:val="en-GB" w:eastAsia="en-GB"/>
              </w:rPr>
              <w:t xml:space="preserve">The national expert will assist in </w:t>
            </w:r>
            <w:r w:rsidR="00C45283" w:rsidRPr="00F737AD">
              <w:rPr>
                <w:sz w:val="19"/>
                <w:szCs w:val="19"/>
                <w:lang w:val="en-GB" w:eastAsia="en-GB"/>
              </w:rPr>
              <w:t xml:space="preserve">the </w:t>
            </w:r>
            <w:r w:rsidRPr="00F737AD">
              <w:rPr>
                <w:noProof/>
                <w:sz w:val="19"/>
                <w:szCs w:val="19"/>
                <w:lang w:val="en-GB" w:eastAsia="en-GB"/>
              </w:rPr>
              <w:t>establishment</w:t>
            </w:r>
            <w:r w:rsidRPr="00F737AD">
              <w:rPr>
                <w:sz w:val="19"/>
                <w:szCs w:val="19"/>
                <w:lang w:val="en-GB" w:eastAsia="en-GB"/>
              </w:rPr>
              <w:t xml:space="preserve"> of stakeholder Working Groups (Component 1)</w:t>
            </w:r>
            <w:r w:rsidR="00B70163" w:rsidRPr="00F737AD">
              <w:rPr>
                <w:sz w:val="19"/>
                <w:szCs w:val="19"/>
                <w:lang w:val="en-GB" w:eastAsia="en-GB"/>
              </w:rPr>
              <w:t xml:space="preserve"> an</w:t>
            </w:r>
            <w:r w:rsidR="004F098C" w:rsidRPr="00F737AD">
              <w:rPr>
                <w:sz w:val="19"/>
                <w:szCs w:val="19"/>
                <w:lang w:val="en-GB" w:eastAsia="en-GB"/>
              </w:rPr>
              <w:t>d</w:t>
            </w:r>
            <w:r w:rsidR="00B70163" w:rsidRPr="00F737AD">
              <w:rPr>
                <w:sz w:val="19"/>
                <w:szCs w:val="19"/>
                <w:lang w:val="en-GB" w:eastAsia="en-GB"/>
              </w:rPr>
              <w:t xml:space="preserve"> serve as </w:t>
            </w:r>
            <w:r w:rsidR="00C45283" w:rsidRPr="00F737AD">
              <w:rPr>
                <w:sz w:val="19"/>
                <w:szCs w:val="19"/>
                <w:lang w:val="en-GB" w:eastAsia="en-GB"/>
              </w:rPr>
              <w:t xml:space="preserve">a </w:t>
            </w:r>
            <w:r w:rsidR="00B70163" w:rsidRPr="00F737AD">
              <w:rPr>
                <w:noProof/>
                <w:sz w:val="19"/>
                <w:szCs w:val="19"/>
                <w:lang w:val="en-GB" w:eastAsia="en-GB"/>
              </w:rPr>
              <w:t>focal</w:t>
            </w:r>
            <w:r w:rsidR="00B70163" w:rsidRPr="00F737AD">
              <w:rPr>
                <w:sz w:val="19"/>
                <w:szCs w:val="19"/>
                <w:lang w:val="en-GB" w:eastAsia="en-GB"/>
              </w:rPr>
              <w:t xml:space="preserve"> point on transformer issues</w:t>
            </w:r>
            <w:r w:rsidRPr="00F737AD">
              <w:rPr>
                <w:sz w:val="19"/>
                <w:szCs w:val="19"/>
                <w:lang w:val="en-GB" w:eastAsia="en-GB"/>
              </w:rPr>
              <w:t xml:space="preserve">. </w:t>
            </w:r>
            <w:r w:rsidR="00B70163" w:rsidRPr="00F737AD">
              <w:rPr>
                <w:sz w:val="19"/>
                <w:szCs w:val="19"/>
                <w:lang w:val="en-GB" w:eastAsia="en-GB"/>
              </w:rPr>
              <w:t>In addition, the experts will provide advice and support to partner municipalities.</w:t>
            </w:r>
          </w:p>
          <w:p w:rsidR="000B4332" w:rsidRPr="00F737AD" w:rsidRDefault="00924E59" w:rsidP="00F737AD">
            <w:pPr>
              <w:jc w:val="left"/>
              <w:rPr>
                <w:sz w:val="19"/>
                <w:szCs w:val="19"/>
                <w:lang w:val="en-GB" w:eastAsia="en-GB"/>
              </w:rPr>
            </w:pPr>
            <w:r w:rsidRPr="00F737AD">
              <w:rPr>
                <w:sz w:val="19"/>
                <w:szCs w:val="19"/>
                <w:lang w:val="en-GB" w:eastAsia="en-GB"/>
              </w:rPr>
              <w:t xml:space="preserve">National and international </w:t>
            </w:r>
            <w:r w:rsidR="000B4332" w:rsidRPr="00F737AD">
              <w:rPr>
                <w:sz w:val="19"/>
                <w:szCs w:val="19"/>
                <w:lang w:val="en-GB" w:eastAsia="en-GB"/>
              </w:rPr>
              <w:t>experts will be involved in designing and delivering training to build the capacity of the local stakeholders for designing municipal policies on transformers and technical subjects (component 2).</w:t>
            </w:r>
            <w:r w:rsidR="000B4332" w:rsidRPr="00F737AD">
              <w:rPr>
                <w:sz w:val="19"/>
                <w:szCs w:val="19"/>
                <w:lang w:val="en-GB"/>
              </w:rPr>
              <w:t xml:space="preserve"> The expert(s) will provide advice and analysis on local production of high-</w:t>
            </w:r>
            <w:r w:rsidR="003D5F07" w:rsidRPr="00F737AD">
              <w:rPr>
                <w:sz w:val="19"/>
                <w:szCs w:val="19"/>
                <w:lang w:val="en-GB"/>
              </w:rPr>
              <w:t>efficiency</w:t>
            </w:r>
            <w:r w:rsidR="000B4332" w:rsidRPr="00F737AD">
              <w:rPr>
                <w:sz w:val="19"/>
                <w:szCs w:val="19"/>
                <w:lang w:val="en-GB"/>
              </w:rPr>
              <w:t xml:space="preserve"> transformers and issued and options in replacing mineral oil </w:t>
            </w:r>
            <w:r w:rsidR="000B4332" w:rsidRPr="00F737AD">
              <w:rPr>
                <w:noProof/>
                <w:sz w:val="19"/>
                <w:szCs w:val="19"/>
                <w:lang w:val="en-GB"/>
              </w:rPr>
              <w:t>by</w:t>
            </w:r>
            <w:r w:rsidR="000B4332" w:rsidRPr="00F737AD">
              <w:rPr>
                <w:sz w:val="19"/>
                <w:szCs w:val="19"/>
                <w:lang w:val="en-GB"/>
              </w:rPr>
              <w:t xml:space="preserve"> vegetable oil. </w:t>
            </w:r>
            <w:r w:rsidR="000B4332" w:rsidRPr="00F737AD">
              <w:rPr>
                <w:sz w:val="19"/>
                <w:szCs w:val="19"/>
                <w:lang w:val="en-GB" w:eastAsia="en-GB"/>
              </w:rPr>
              <w:t>The experts will work with the Expert S&amp;L and MVE on the regulatory framework</w:t>
            </w:r>
            <w:r w:rsidR="003D5F07" w:rsidRPr="00F737AD">
              <w:rPr>
                <w:sz w:val="19"/>
                <w:szCs w:val="19"/>
                <w:lang w:val="en-GB" w:eastAsia="en-GB"/>
              </w:rPr>
              <w:t xml:space="preserve"> (MEPS, procurement)</w:t>
            </w:r>
            <w:r w:rsidR="000B4332" w:rsidRPr="00F737AD">
              <w:rPr>
                <w:sz w:val="19"/>
                <w:szCs w:val="19"/>
                <w:lang w:val="en-GB" w:eastAsia="en-GB"/>
              </w:rPr>
              <w:t xml:space="preserve"> </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Testing and accreditation</w:t>
            </w:r>
          </w:p>
        </w:tc>
        <w:tc>
          <w:tcPr>
            <w:tcW w:w="1030" w:type="dxa"/>
            <w:shd w:val="clear" w:color="auto" w:fill="auto"/>
          </w:tcPr>
          <w:p w:rsidR="000B4332" w:rsidRPr="00F737AD" w:rsidRDefault="000D6B97" w:rsidP="00F737AD">
            <w:pPr>
              <w:jc w:val="center"/>
              <w:rPr>
                <w:sz w:val="19"/>
                <w:szCs w:val="19"/>
                <w:lang w:val="en-GB" w:eastAsia="en-GB"/>
              </w:rPr>
            </w:pPr>
            <w:r>
              <w:rPr>
                <w:sz w:val="19"/>
                <w:szCs w:val="19"/>
                <w:lang w:val="en-GB" w:eastAsia="en-GB"/>
              </w:rPr>
              <w:t>15</w:t>
            </w:r>
          </w:p>
        </w:tc>
        <w:tc>
          <w:tcPr>
            <w:tcW w:w="893"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10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The expert</w:t>
            </w:r>
            <w:r w:rsidR="004F098C" w:rsidRPr="00F737AD">
              <w:rPr>
                <w:sz w:val="19"/>
                <w:szCs w:val="19"/>
                <w:lang w:val="en-GB" w:eastAsia="en-GB"/>
              </w:rPr>
              <w:t>s</w:t>
            </w:r>
            <w:r w:rsidRPr="00F737AD">
              <w:rPr>
                <w:sz w:val="19"/>
                <w:szCs w:val="19"/>
                <w:lang w:val="en-GB" w:eastAsia="en-GB"/>
              </w:rPr>
              <w:t xml:space="preserve"> will a) conduct a capacity assessment of </w:t>
            </w:r>
            <w:proofErr w:type="gramStart"/>
            <w:r w:rsidRPr="00F737AD">
              <w:rPr>
                <w:sz w:val="19"/>
                <w:szCs w:val="19"/>
                <w:lang w:val="en-GB" w:eastAsia="en-GB"/>
              </w:rPr>
              <w:t>the  testing</w:t>
            </w:r>
            <w:proofErr w:type="gramEnd"/>
            <w:r w:rsidRPr="00F737AD">
              <w:rPr>
                <w:sz w:val="19"/>
                <w:szCs w:val="19"/>
                <w:lang w:val="en-GB" w:eastAsia="en-GB"/>
              </w:rPr>
              <w:t xml:space="preserve"> facilities </w:t>
            </w:r>
            <w:r w:rsidR="000A153F" w:rsidRPr="00F737AD">
              <w:rPr>
                <w:sz w:val="19"/>
                <w:szCs w:val="19"/>
                <w:lang w:val="en-GB" w:eastAsia="en-GB"/>
              </w:rPr>
              <w:t>to i</w:t>
            </w:r>
            <w:r w:rsidRPr="00F737AD">
              <w:rPr>
                <w:sz w:val="19"/>
                <w:szCs w:val="19"/>
                <w:lang w:val="en-GB" w:eastAsia="en-GB"/>
              </w:rPr>
              <w:t>dentify the existing gaps and further improvement needs of the existing testing facilities (both in terms of hardware and capacity of the staff) to effectively implement the proposed compliance checking program and achieve accreditation. As applicable, the expert</w:t>
            </w:r>
            <w:r w:rsidR="004F098C" w:rsidRPr="00F737AD">
              <w:rPr>
                <w:sz w:val="19"/>
                <w:szCs w:val="19"/>
                <w:lang w:val="en-GB" w:eastAsia="en-GB"/>
              </w:rPr>
              <w:t>s</w:t>
            </w:r>
            <w:r w:rsidRPr="00F737AD">
              <w:rPr>
                <w:sz w:val="19"/>
                <w:szCs w:val="19"/>
                <w:lang w:val="en-GB" w:eastAsia="en-GB"/>
              </w:rPr>
              <w:t xml:space="preserve"> will support training programs and prepare technical specifications for the new hardware to be purchased for testing, together with initial budget estimates (Component 1).</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lastRenderedPageBreak/>
              <w:t>LED luminaires and buildings</w:t>
            </w:r>
          </w:p>
        </w:tc>
        <w:tc>
          <w:tcPr>
            <w:tcW w:w="1030"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7</w:t>
            </w:r>
          </w:p>
        </w:tc>
        <w:tc>
          <w:tcPr>
            <w:tcW w:w="893"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10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The expert(s) will provide training sessions for engineering firms, designers, architects</w:t>
            </w:r>
            <w:r w:rsidR="00C45283" w:rsidRPr="00F737AD">
              <w:rPr>
                <w:sz w:val="19"/>
                <w:szCs w:val="19"/>
                <w:lang w:val="en-GB" w:eastAsia="en-GB"/>
              </w:rPr>
              <w:t>,</w:t>
            </w:r>
            <w:r w:rsidRPr="00F737AD">
              <w:rPr>
                <w:sz w:val="19"/>
                <w:szCs w:val="19"/>
                <w:lang w:val="en-GB" w:eastAsia="en-GB"/>
              </w:rPr>
              <w:t xml:space="preserve"> </w:t>
            </w:r>
            <w:r w:rsidRPr="00F737AD">
              <w:rPr>
                <w:noProof/>
                <w:sz w:val="19"/>
                <w:szCs w:val="19"/>
                <w:lang w:val="en-GB" w:eastAsia="en-GB"/>
              </w:rPr>
              <w:t>and</w:t>
            </w:r>
            <w:r w:rsidRPr="00F737AD">
              <w:rPr>
                <w:sz w:val="19"/>
                <w:szCs w:val="19"/>
                <w:lang w:val="en-GB" w:eastAsia="en-GB"/>
              </w:rPr>
              <w:t xml:space="preserve"> market partners to install efficient and effective lighting products in buildings</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Communications and marketing</w:t>
            </w:r>
          </w:p>
        </w:tc>
        <w:tc>
          <w:tcPr>
            <w:tcW w:w="1030" w:type="dxa"/>
            <w:shd w:val="clear" w:color="auto" w:fill="auto"/>
          </w:tcPr>
          <w:p w:rsidR="000B4332" w:rsidRPr="00F737AD" w:rsidRDefault="000B4332" w:rsidP="00F737AD">
            <w:pPr>
              <w:jc w:val="center"/>
              <w:rPr>
                <w:sz w:val="19"/>
                <w:szCs w:val="19"/>
                <w:lang w:val="en-GB" w:eastAsia="en-GB"/>
              </w:rPr>
            </w:pPr>
          </w:p>
        </w:tc>
        <w:tc>
          <w:tcPr>
            <w:tcW w:w="893"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8</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Provide support on the communication activities such as the awareness raising and marketing campaigns that will be undertaken by DOE, municipalities and private sector for various income-levels (lower, higher, middle). </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Gender </w:t>
            </w:r>
            <w:r w:rsidR="003B0129" w:rsidRPr="00F737AD">
              <w:rPr>
                <w:sz w:val="19"/>
                <w:szCs w:val="19"/>
                <w:lang w:val="en-GB" w:eastAsia="en-GB"/>
              </w:rPr>
              <w:t xml:space="preserve">and social </w:t>
            </w:r>
            <w:r w:rsidRPr="00F737AD">
              <w:rPr>
                <w:sz w:val="19"/>
                <w:szCs w:val="19"/>
                <w:lang w:val="en-GB" w:eastAsia="en-GB"/>
              </w:rPr>
              <w:t>expert</w:t>
            </w:r>
          </w:p>
        </w:tc>
        <w:tc>
          <w:tcPr>
            <w:tcW w:w="1030" w:type="dxa"/>
            <w:shd w:val="clear" w:color="auto" w:fill="auto"/>
          </w:tcPr>
          <w:p w:rsidR="000B4332" w:rsidRPr="00F737AD" w:rsidRDefault="000B4332" w:rsidP="00F737AD">
            <w:pPr>
              <w:jc w:val="center"/>
              <w:rPr>
                <w:sz w:val="19"/>
                <w:szCs w:val="19"/>
                <w:lang w:val="en-GB" w:eastAsia="en-GB"/>
              </w:rPr>
            </w:pPr>
          </w:p>
        </w:tc>
        <w:tc>
          <w:tcPr>
            <w:tcW w:w="893"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6</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The gender expert will </w:t>
            </w:r>
            <w:r w:rsidR="004F098C" w:rsidRPr="00F737AD">
              <w:rPr>
                <w:sz w:val="19"/>
                <w:szCs w:val="19"/>
                <w:lang w:val="en-GB" w:eastAsia="en-GB"/>
              </w:rPr>
              <w:t>advise</w:t>
            </w:r>
            <w:r w:rsidRPr="00F737AD">
              <w:rPr>
                <w:sz w:val="19"/>
                <w:szCs w:val="19"/>
                <w:lang w:val="en-GB" w:eastAsia="en-GB"/>
              </w:rPr>
              <w:t xml:space="preserve"> on gender-inclusive data gathering and storage (</w:t>
            </w:r>
            <w:proofErr w:type="gramStart"/>
            <w:r w:rsidRPr="00F737AD">
              <w:rPr>
                <w:sz w:val="19"/>
                <w:szCs w:val="19"/>
                <w:lang w:val="en-GB" w:eastAsia="en-GB"/>
              </w:rPr>
              <w:t>in particular in</w:t>
            </w:r>
            <w:proofErr w:type="gramEnd"/>
            <w:r w:rsidRPr="00F737AD">
              <w:rPr>
                <w:sz w:val="19"/>
                <w:szCs w:val="19"/>
                <w:lang w:val="en-GB" w:eastAsia="en-GB"/>
              </w:rPr>
              <w:t xml:space="preserve"> the assessments of Output 1.1), on </w:t>
            </w:r>
            <w:r w:rsidR="004F098C" w:rsidRPr="00F737AD">
              <w:rPr>
                <w:sz w:val="19"/>
                <w:szCs w:val="19"/>
                <w:lang w:val="en-GB" w:eastAsia="en-GB"/>
              </w:rPr>
              <w:t xml:space="preserve">the </w:t>
            </w:r>
            <w:r w:rsidRPr="00F737AD">
              <w:rPr>
                <w:sz w:val="19"/>
                <w:szCs w:val="19"/>
                <w:lang w:val="en-GB" w:eastAsia="en-GB"/>
              </w:rPr>
              <w:t xml:space="preserve">implementation of the Gender Action Plan (see Annex D) and </w:t>
            </w:r>
            <w:r w:rsidR="004F098C" w:rsidRPr="00F737AD">
              <w:rPr>
                <w:sz w:val="19"/>
                <w:szCs w:val="19"/>
                <w:lang w:val="en-GB" w:eastAsia="en-GB"/>
              </w:rPr>
              <w:t xml:space="preserve">provide </w:t>
            </w:r>
            <w:r w:rsidRPr="00F737AD">
              <w:rPr>
                <w:sz w:val="19"/>
                <w:szCs w:val="19"/>
                <w:lang w:val="en-GB" w:eastAsia="en-GB"/>
              </w:rPr>
              <w:t>advice on gender-aspects in communication and awareness creation (Output 2.1).</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Lamp waste management</w:t>
            </w:r>
          </w:p>
        </w:tc>
        <w:tc>
          <w:tcPr>
            <w:tcW w:w="1030"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10</w:t>
            </w:r>
          </w:p>
        </w:tc>
        <w:tc>
          <w:tcPr>
            <w:tcW w:w="893" w:type="dxa"/>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10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The expert(s) will assist in carrying out an assessment of existing firms having the required know-how within South Africa or outside on recycling and disposal of lamp waste. </w:t>
            </w:r>
            <w:r w:rsidR="004F098C" w:rsidRPr="00F737AD">
              <w:rPr>
                <w:sz w:val="19"/>
                <w:szCs w:val="19"/>
                <w:lang w:val="en-GB" w:eastAsia="en-GB"/>
              </w:rPr>
              <w:t>S/he will p</w:t>
            </w:r>
            <w:r w:rsidRPr="00F737AD">
              <w:rPr>
                <w:sz w:val="19"/>
                <w:szCs w:val="19"/>
                <w:lang w:val="en-GB" w:eastAsia="en-GB"/>
              </w:rPr>
              <w:t>rovide advice on management and handling of the mercury content in discarded CFLs and regarding the options of industrial processing and disposal of the collected hazardous waste (mercury) of fluorescent lamps</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Lighting market assessments and low-carbon data </w:t>
            </w:r>
          </w:p>
          <w:p w:rsidR="000B4332" w:rsidRPr="00F737AD" w:rsidRDefault="000B4332" w:rsidP="00F737AD">
            <w:pPr>
              <w:jc w:val="left"/>
              <w:rPr>
                <w:sz w:val="19"/>
                <w:szCs w:val="19"/>
                <w:lang w:val="en-GB" w:eastAsia="en-GB"/>
              </w:rPr>
            </w:pPr>
            <w:r w:rsidRPr="00F737AD">
              <w:rPr>
                <w:sz w:val="19"/>
                <w:szCs w:val="19"/>
                <w:lang w:val="en-GB" w:eastAsia="en-GB"/>
              </w:rPr>
              <w:t>(at the beginning and at the end of the Project)</w:t>
            </w:r>
          </w:p>
        </w:tc>
        <w:tc>
          <w:tcPr>
            <w:tcW w:w="1923" w:type="dxa"/>
            <w:gridSpan w:val="2"/>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 xml:space="preserve">Subcontracts </w:t>
            </w:r>
          </w:p>
          <w:p w:rsidR="000B4332" w:rsidRPr="00F737AD" w:rsidRDefault="000B4332" w:rsidP="00F737AD">
            <w:pPr>
              <w:jc w:val="center"/>
              <w:rPr>
                <w:sz w:val="19"/>
                <w:szCs w:val="19"/>
                <w:lang w:val="en-GB" w:eastAsia="en-GB"/>
              </w:rPr>
            </w:pPr>
            <w:r w:rsidRPr="00F737AD">
              <w:rPr>
                <w:sz w:val="19"/>
                <w:szCs w:val="19"/>
                <w:lang w:val="en-GB" w:eastAsia="en-GB"/>
              </w:rPr>
              <w:t>(USD 280,000)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One or more entities will be contracted to collect and </w:t>
            </w:r>
            <w:r w:rsidRPr="00F737AD">
              <w:rPr>
                <w:noProof/>
                <w:sz w:val="19"/>
                <w:szCs w:val="19"/>
                <w:lang w:val="en-GB" w:eastAsia="en-GB"/>
              </w:rPr>
              <w:t>analyse</w:t>
            </w:r>
            <w:r w:rsidRPr="00F737AD">
              <w:rPr>
                <w:sz w:val="19"/>
                <w:szCs w:val="19"/>
                <w:lang w:val="en-GB" w:eastAsia="en-GB"/>
              </w:rPr>
              <w:t xml:space="preserve"> the already available information </w:t>
            </w:r>
            <w:r w:rsidR="004F098C" w:rsidRPr="00F737AD">
              <w:rPr>
                <w:sz w:val="19"/>
                <w:szCs w:val="19"/>
                <w:lang w:val="en-GB" w:eastAsia="en-GB"/>
              </w:rPr>
              <w:t>(</w:t>
            </w:r>
            <w:r w:rsidRPr="00F737AD">
              <w:rPr>
                <w:sz w:val="19"/>
                <w:szCs w:val="19"/>
                <w:lang w:val="en-GB" w:eastAsia="en-GB"/>
              </w:rPr>
              <w:t>used for quantifying and characterizing the current state and forecasted market development of lighting products; categories and market share of key products, producers, consumers, distribution networks and energy consumption characteristics</w:t>
            </w:r>
            <w:r w:rsidR="004F098C" w:rsidRPr="00F737AD">
              <w:rPr>
                <w:sz w:val="19"/>
                <w:szCs w:val="19"/>
                <w:lang w:val="en-GB" w:eastAsia="en-GB"/>
              </w:rPr>
              <w:t>). The contracted company will d</w:t>
            </w:r>
            <w:r w:rsidRPr="00F737AD">
              <w:rPr>
                <w:sz w:val="19"/>
                <w:szCs w:val="19"/>
                <w:lang w:val="en-GB" w:eastAsia="en-GB"/>
              </w:rPr>
              <w:t>esign and facilitate the implementation of specific market surveys</w:t>
            </w:r>
            <w:proofErr w:type="gramStart"/>
            <w:r w:rsidRPr="00F737AD">
              <w:rPr>
                <w:sz w:val="19"/>
                <w:szCs w:val="19"/>
                <w:lang w:val="en-GB" w:eastAsia="en-GB"/>
              </w:rPr>
              <w:t xml:space="preserve">, in </w:t>
            </w:r>
            <w:r w:rsidRPr="00F737AD">
              <w:rPr>
                <w:noProof/>
                <w:sz w:val="19"/>
                <w:szCs w:val="19"/>
                <w:lang w:val="en-GB" w:eastAsia="en-GB"/>
              </w:rPr>
              <w:t>particular</w:t>
            </w:r>
            <w:r w:rsidR="00C45283" w:rsidRPr="00F737AD">
              <w:rPr>
                <w:noProof/>
                <w:sz w:val="19"/>
                <w:szCs w:val="19"/>
                <w:lang w:val="en-GB" w:eastAsia="en-GB"/>
              </w:rPr>
              <w:t>,</w:t>
            </w:r>
            <w:r w:rsidRPr="00F737AD">
              <w:rPr>
                <w:sz w:val="19"/>
                <w:szCs w:val="19"/>
                <w:lang w:val="en-GB" w:eastAsia="en-GB"/>
              </w:rPr>
              <w:t xml:space="preserve"> </w:t>
            </w:r>
            <w:r w:rsidR="004F098C" w:rsidRPr="00F737AD">
              <w:rPr>
                <w:sz w:val="19"/>
                <w:szCs w:val="19"/>
                <w:lang w:val="en-GB" w:eastAsia="en-GB"/>
              </w:rPr>
              <w:t>household/end-user</w:t>
            </w:r>
            <w:proofErr w:type="gramEnd"/>
            <w:r w:rsidRPr="00F737AD">
              <w:rPr>
                <w:sz w:val="19"/>
                <w:szCs w:val="19"/>
                <w:lang w:val="en-GB" w:eastAsia="en-GB"/>
              </w:rPr>
              <w:t xml:space="preserve"> surveys</w:t>
            </w:r>
            <w:r w:rsidR="004F098C" w:rsidRPr="00F737AD">
              <w:rPr>
                <w:sz w:val="19"/>
                <w:szCs w:val="19"/>
                <w:lang w:val="en-GB" w:eastAsia="en-GB"/>
              </w:rPr>
              <w:t xml:space="preserve"> (</w:t>
            </w:r>
            <w:r w:rsidRPr="00F737AD">
              <w:rPr>
                <w:sz w:val="19"/>
                <w:szCs w:val="19"/>
                <w:lang w:val="en-GB" w:eastAsia="en-GB"/>
              </w:rPr>
              <w:t>regarding lamp usage, lamp preferences, perceptions</w:t>
            </w:r>
            <w:r w:rsidR="00C45283" w:rsidRPr="00F737AD">
              <w:rPr>
                <w:sz w:val="19"/>
                <w:szCs w:val="19"/>
                <w:lang w:val="en-GB" w:eastAsia="en-GB"/>
              </w:rPr>
              <w:t>,</w:t>
            </w:r>
            <w:r w:rsidRPr="00F737AD">
              <w:rPr>
                <w:sz w:val="19"/>
                <w:szCs w:val="19"/>
                <w:lang w:val="en-GB" w:eastAsia="en-GB"/>
              </w:rPr>
              <w:t xml:space="preserve"> </w:t>
            </w:r>
            <w:r w:rsidRPr="00F737AD">
              <w:rPr>
                <w:noProof/>
                <w:sz w:val="19"/>
                <w:szCs w:val="19"/>
                <w:lang w:val="en-GB" w:eastAsia="en-GB"/>
              </w:rPr>
              <w:t>and</w:t>
            </w:r>
            <w:r w:rsidRPr="00F737AD">
              <w:rPr>
                <w:sz w:val="19"/>
                <w:szCs w:val="19"/>
                <w:lang w:val="en-GB" w:eastAsia="en-GB"/>
              </w:rPr>
              <w:t xml:space="preserve"> attitudes</w:t>
            </w:r>
            <w:r w:rsidR="004F098C" w:rsidRPr="00F737AD">
              <w:rPr>
                <w:sz w:val="19"/>
                <w:szCs w:val="19"/>
                <w:lang w:val="en-GB" w:eastAsia="en-GB"/>
              </w:rPr>
              <w:t>) and to collect the info (mentioned above).</w:t>
            </w:r>
          </w:p>
          <w:p w:rsidR="000B4332" w:rsidRPr="00F737AD" w:rsidRDefault="004F098C" w:rsidP="00F737AD">
            <w:pPr>
              <w:jc w:val="left"/>
              <w:rPr>
                <w:sz w:val="19"/>
                <w:szCs w:val="19"/>
                <w:lang w:val="en-GB" w:eastAsia="en-GB"/>
              </w:rPr>
            </w:pPr>
            <w:r w:rsidRPr="00F737AD">
              <w:rPr>
                <w:sz w:val="19"/>
                <w:szCs w:val="19"/>
                <w:lang w:val="en-GB" w:eastAsia="en-GB"/>
              </w:rPr>
              <w:t>The contractor will s</w:t>
            </w:r>
            <w:r w:rsidR="000B4332" w:rsidRPr="00F737AD">
              <w:rPr>
                <w:sz w:val="19"/>
                <w:szCs w:val="19"/>
                <w:lang w:val="en-GB" w:eastAsia="en-GB"/>
              </w:rPr>
              <w:t xml:space="preserve">upport the development of an info system that will collect, store and present information about the existing stock and imports and sale of lighting products by their type and energy performance, </w:t>
            </w:r>
            <w:proofErr w:type="gramStart"/>
            <w:r w:rsidR="000B4332" w:rsidRPr="00F737AD">
              <w:rPr>
                <w:sz w:val="19"/>
                <w:szCs w:val="19"/>
                <w:lang w:val="en-GB" w:eastAsia="en-GB"/>
              </w:rPr>
              <w:t>taking into account</w:t>
            </w:r>
            <w:proofErr w:type="gramEnd"/>
            <w:r w:rsidR="000B4332" w:rsidRPr="00F737AD">
              <w:rPr>
                <w:sz w:val="19"/>
                <w:szCs w:val="19"/>
                <w:lang w:val="en-GB" w:eastAsia="en-GB"/>
              </w:rPr>
              <w:t xml:space="preserve"> the energy data needed to define the energy categories in the </w:t>
            </w:r>
            <w:r w:rsidR="000B4332" w:rsidRPr="00F737AD">
              <w:rPr>
                <w:noProof/>
                <w:sz w:val="19"/>
                <w:szCs w:val="19"/>
                <w:lang w:val="en-GB" w:eastAsia="en-GB"/>
              </w:rPr>
              <w:t>labelling</w:t>
            </w:r>
            <w:r w:rsidR="000B4332" w:rsidRPr="00F737AD">
              <w:rPr>
                <w:sz w:val="19"/>
                <w:szCs w:val="19"/>
                <w:lang w:val="en-GB" w:eastAsia="en-GB"/>
              </w:rPr>
              <w:t xml:space="preserve"> system A-G and MEPs</w:t>
            </w:r>
            <w:r w:rsidRPr="00F737AD">
              <w:rPr>
                <w:sz w:val="19"/>
                <w:szCs w:val="19"/>
                <w:lang w:val="en-GB" w:eastAsia="en-GB"/>
              </w:rPr>
              <w:t xml:space="preserve">. The contractor will </w:t>
            </w:r>
            <w:r w:rsidRPr="00F737AD">
              <w:rPr>
                <w:noProof/>
                <w:sz w:val="19"/>
                <w:szCs w:val="19"/>
                <w:lang w:val="en-GB" w:eastAsia="en-GB"/>
              </w:rPr>
              <w:t>a</w:t>
            </w:r>
            <w:r w:rsidR="000B4332" w:rsidRPr="00F737AD">
              <w:rPr>
                <w:noProof/>
                <w:sz w:val="19"/>
                <w:szCs w:val="19"/>
                <w:lang w:val="en-GB" w:eastAsia="en-GB"/>
              </w:rPr>
              <w:t>nalyse</w:t>
            </w:r>
            <w:r w:rsidR="000B4332" w:rsidRPr="00F737AD">
              <w:rPr>
                <w:sz w:val="19"/>
                <w:szCs w:val="19"/>
                <w:lang w:val="en-GB" w:eastAsia="en-GB"/>
              </w:rPr>
              <w:t xml:space="preserve"> the received information and make </w:t>
            </w:r>
            <w:r w:rsidR="00C45283" w:rsidRPr="00F737AD">
              <w:rPr>
                <w:sz w:val="19"/>
                <w:szCs w:val="19"/>
                <w:lang w:val="en-GB" w:eastAsia="en-GB"/>
              </w:rPr>
              <w:t xml:space="preserve">an </w:t>
            </w:r>
            <w:r w:rsidR="000B4332" w:rsidRPr="00F737AD">
              <w:rPr>
                <w:noProof/>
                <w:sz w:val="19"/>
                <w:szCs w:val="19"/>
                <w:lang w:val="en-GB" w:eastAsia="en-GB"/>
              </w:rPr>
              <w:t>economic</w:t>
            </w:r>
            <w:r w:rsidR="000B4332" w:rsidRPr="00F737AD">
              <w:rPr>
                <w:sz w:val="19"/>
                <w:szCs w:val="19"/>
                <w:lang w:val="en-GB" w:eastAsia="en-GB"/>
              </w:rPr>
              <w:t xml:space="preserve"> analysis (least-cost, statistical analysis of market data) to advise on MEPS and recommend energy consumption categories for the labels A-G.</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Market assessment distributor transformers</w:t>
            </w:r>
          </w:p>
        </w:tc>
        <w:tc>
          <w:tcPr>
            <w:tcW w:w="1923" w:type="dxa"/>
            <w:gridSpan w:val="2"/>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Subcontracts</w:t>
            </w:r>
          </w:p>
          <w:p w:rsidR="000B4332" w:rsidRPr="00F737AD" w:rsidRDefault="000B4332" w:rsidP="00F737AD">
            <w:pPr>
              <w:jc w:val="center"/>
              <w:rPr>
                <w:sz w:val="19"/>
                <w:szCs w:val="19"/>
                <w:lang w:val="en-GB" w:eastAsia="en-GB"/>
              </w:rPr>
            </w:pPr>
            <w:r w:rsidRPr="00F737AD">
              <w:rPr>
                <w:sz w:val="19"/>
                <w:szCs w:val="19"/>
                <w:lang w:val="en-GB" w:eastAsia="en-GB"/>
              </w:rPr>
              <w:t>(USD 100,000)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The contracted party will carry out a market study on distribution transformers will be carried out (installed transformers technology, type, size</w:t>
            </w:r>
            <w:r w:rsidR="00C45283" w:rsidRPr="00F737AD">
              <w:rPr>
                <w:sz w:val="19"/>
                <w:szCs w:val="19"/>
                <w:lang w:val="en-GB" w:eastAsia="en-GB"/>
              </w:rPr>
              <w:t>,</w:t>
            </w:r>
            <w:r w:rsidRPr="00F737AD">
              <w:rPr>
                <w:sz w:val="19"/>
                <w:szCs w:val="19"/>
                <w:lang w:val="en-GB" w:eastAsia="en-GB"/>
              </w:rPr>
              <w:t xml:space="preserve"> </w:t>
            </w:r>
            <w:r w:rsidRPr="00F737AD">
              <w:rPr>
                <w:noProof/>
                <w:sz w:val="19"/>
                <w:szCs w:val="19"/>
                <w:lang w:val="en-GB" w:eastAsia="en-GB"/>
              </w:rPr>
              <w:t>and</w:t>
            </w:r>
            <w:r w:rsidRPr="00F737AD">
              <w:rPr>
                <w:sz w:val="19"/>
                <w:szCs w:val="19"/>
                <w:lang w:val="en-GB" w:eastAsia="en-GB"/>
              </w:rPr>
              <w:t xml:space="preserve"> losses; costs) at Eskom and municipalities, including sales by suppliers per type and characteristics.</w:t>
            </w:r>
          </w:p>
          <w:p w:rsidR="000B4332" w:rsidRPr="00F737AD" w:rsidRDefault="000B4332" w:rsidP="00F737AD">
            <w:pPr>
              <w:jc w:val="left"/>
              <w:rPr>
                <w:sz w:val="19"/>
                <w:szCs w:val="19"/>
                <w:lang w:val="en-GB" w:eastAsia="en-GB"/>
              </w:rPr>
            </w:pPr>
            <w:r w:rsidRPr="00F737AD">
              <w:rPr>
                <w:sz w:val="19"/>
                <w:szCs w:val="19"/>
                <w:lang w:val="en-GB" w:eastAsia="en-GB"/>
              </w:rPr>
              <w:t xml:space="preserve">Support the development of an info system that will collect, store and present information about the existing stock and imports and sale of lighting products by their type and energy performance, </w:t>
            </w:r>
            <w:proofErr w:type="gramStart"/>
            <w:r w:rsidRPr="00F737AD">
              <w:rPr>
                <w:sz w:val="19"/>
                <w:szCs w:val="19"/>
                <w:lang w:val="en-GB" w:eastAsia="en-GB"/>
              </w:rPr>
              <w:t>taking into account</w:t>
            </w:r>
            <w:proofErr w:type="gramEnd"/>
            <w:r w:rsidRPr="00F737AD">
              <w:rPr>
                <w:sz w:val="19"/>
                <w:szCs w:val="19"/>
                <w:lang w:val="en-GB" w:eastAsia="en-GB"/>
              </w:rPr>
              <w:t xml:space="preserve"> the energy data needed to MEPs and define procurement guidelines (for Eskom and municipalities).</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Technical support municipalities and public buildings</w:t>
            </w:r>
          </w:p>
        </w:tc>
        <w:tc>
          <w:tcPr>
            <w:tcW w:w="1923" w:type="dxa"/>
            <w:gridSpan w:val="2"/>
            <w:shd w:val="clear" w:color="auto" w:fill="auto"/>
          </w:tcPr>
          <w:p w:rsidR="000B4332" w:rsidRPr="00F737AD" w:rsidRDefault="003D5F07" w:rsidP="00F737AD">
            <w:pPr>
              <w:jc w:val="center"/>
              <w:rPr>
                <w:sz w:val="19"/>
                <w:szCs w:val="19"/>
                <w:lang w:val="en-GB" w:eastAsia="en-GB"/>
              </w:rPr>
            </w:pPr>
            <w:r w:rsidRPr="00F737AD">
              <w:rPr>
                <w:sz w:val="19"/>
                <w:szCs w:val="19"/>
                <w:lang w:val="en-GB" w:eastAsia="en-GB"/>
              </w:rPr>
              <w:t>Subcontracts</w:t>
            </w:r>
          </w:p>
          <w:p w:rsidR="003D5F07" w:rsidRPr="00F737AD" w:rsidRDefault="003D5F07" w:rsidP="00F737AD">
            <w:pPr>
              <w:jc w:val="center"/>
              <w:rPr>
                <w:sz w:val="19"/>
                <w:szCs w:val="19"/>
                <w:lang w:val="en-GB" w:eastAsia="en-GB"/>
              </w:rPr>
            </w:pPr>
            <w:r w:rsidRPr="00F737AD">
              <w:rPr>
                <w:sz w:val="19"/>
                <w:szCs w:val="19"/>
                <w:lang w:val="en-GB" w:eastAsia="en-GB"/>
              </w:rPr>
              <w:t>(USD 440,000)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Companies will be contracted to identify and carry out technical feasibility assessment of energy efficiency options in low-resource municipalities (incl. lighting in buildings, street lighting, lamp and e-waste, distribution transformers</w:t>
            </w:r>
            <w:r w:rsidR="003D5F07" w:rsidRPr="00F737AD">
              <w:rPr>
                <w:sz w:val="19"/>
                <w:szCs w:val="19"/>
                <w:lang w:val="en-GB" w:eastAsia="en-GB"/>
              </w:rPr>
              <w:t>)</w:t>
            </w:r>
            <w:r w:rsidR="00B70163" w:rsidRPr="00F737AD">
              <w:rPr>
                <w:sz w:val="19"/>
                <w:szCs w:val="19"/>
                <w:lang w:val="en-GB" w:eastAsia="en-GB"/>
              </w:rPr>
              <w:t xml:space="preserve">. Staff may be seconded to one or more municipalities for </w:t>
            </w:r>
            <w:proofErr w:type="gramStart"/>
            <w:r w:rsidR="00B70163" w:rsidRPr="00F737AD">
              <w:rPr>
                <w:sz w:val="19"/>
                <w:szCs w:val="19"/>
                <w:lang w:val="en-GB" w:eastAsia="en-GB"/>
              </w:rPr>
              <w:t>a period of time</w:t>
            </w:r>
            <w:proofErr w:type="gramEnd"/>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lastRenderedPageBreak/>
              <w:t xml:space="preserve">TA support for </w:t>
            </w:r>
            <w:r w:rsidRPr="00F737AD">
              <w:rPr>
                <w:noProof/>
                <w:sz w:val="19"/>
                <w:szCs w:val="19"/>
                <w:lang w:val="en-GB" w:eastAsia="en-GB"/>
              </w:rPr>
              <w:t>production</w:t>
            </w:r>
            <w:r w:rsidRPr="00F737AD">
              <w:rPr>
                <w:sz w:val="19"/>
                <w:szCs w:val="19"/>
                <w:lang w:val="en-GB" w:eastAsia="en-GB"/>
              </w:rPr>
              <w:t xml:space="preserve"> of vegetable oil-based transformers</w:t>
            </w:r>
          </w:p>
        </w:tc>
        <w:tc>
          <w:tcPr>
            <w:tcW w:w="1923" w:type="dxa"/>
            <w:gridSpan w:val="2"/>
            <w:shd w:val="clear" w:color="auto" w:fill="auto"/>
          </w:tcPr>
          <w:p w:rsidR="000B4332" w:rsidRPr="00F737AD" w:rsidRDefault="003D5F07" w:rsidP="00F737AD">
            <w:pPr>
              <w:jc w:val="center"/>
              <w:rPr>
                <w:sz w:val="19"/>
                <w:szCs w:val="19"/>
                <w:lang w:val="en-GB" w:eastAsia="en-GB"/>
              </w:rPr>
            </w:pPr>
            <w:r w:rsidRPr="00F737AD">
              <w:rPr>
                <w:sz w:val="19"/>
                <w:szCs w:val="19"/>
                <w:lang w:val="en-GB" w:eastAsia="en-GB"/>
              </w:rPr>
              <w:t xml:space="preserve">Subcontract </w:t>
            </w:r>
          </w:p>
          <w:p w:rsidR="003D5F07" w:rsidRPr="00F737AD" w:rsidRDefault="003D5F07" w:rsidP="00F737AD">
            <w:pPr>
              <w:jc w:val="center"/>
              <w:rPr>
                <w:sz w:val="19"/>
                <w:szCs w:val="19"/>
                <w:lang w:val="en-GB" w:eastAsia="en-GB"/>
              </w:rPr>
            </w:pPr>
            <w:r w:rsidRPr="00F737AD">
              <w:rPr>
                <w:sz w:val="19"/>
                <w:szCs w:val="19"/>
                <w:lang w:val="en-GB" w:eastAsia="en-GB"/>
              </w:rPr>
              <w:t>(USD 250,000)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The contracted party will provide </w:t>
            </w:r>
            <w:r w:rsidR="004F098C" w:rsidRPr="00F737AD">
              <w:rPr>
                <w:sz w:val="19"/>
                <w:szCs w:val="19"/>
                <w:lang w:val="en-GB" w:eastAsia="en-GB"/>
              </w:rPr>
              <w:t>support</w:t>
            </w:r>
            <w:r w:rsidRPr="00F737AD">
              <w:rPr>
                <w:sz w:val="19"/>
                <w:szCs w:val="19"/>
                <w:lang w:val="en-GB" w:eastAsia="en-GB"/>
              </w:rPr>
              <w:t xml:space="preserve"> to prepare a bankable proposal on the production of HE transformers and/or the use of vegetable oil in transformers and subsequent technical assistance to one or more manufacturers of transformers to use vegetable oil and assist in technology transfer to introduce suitable technologies (Component 3, Component 2).</w:t>
            </w:r>
            <w:r w:rsidR="004F098C" w:rsidRPr="00F737AD">
              <w:rPr>
                <w:sz w:val="19"/>
                <w:szCs w:val="19"/>
                <w:lang w:val="en-GB" w:eastAsia="en-GB"/>
              </w:rPr>
              <w:t xml:space="preserve"> Staff may be seconded to one or more municipalities for </w:t>
            </w:r>
            <w:proofErr w:type="gramStart"/>
            <w:r w:rsidR="004F098C" w:rsidRPr="00F737AD">
              <w:rPr>
                <w:sz w:val="19"/>
                <w:szCs w:val="19"/>
                <w:lang w:val="en-GB" w:eastAsia="en-GB"/>
              </w:rPr>
              <w:t>a period of time</w:t>
            </w:r>
            <w:proofErr w:type="gramEnd"/>
            <w:r w:rsidR="004F098C" w:rsidRPr="00F737AD">
              <w:rPr>
                <w:sz w:val="19"/>
                <w:szCs w:val="19"/>
                <w:lang w:val="en-GB" w:eastAsia="en-GB"/>
              </w:rPr>
              <w:t>.</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TA support for CFL (and </w:t>
            </w:r>
            <w:r w:rsidRPr="00F737AD">
              <w:rPr>
                <w:noProof/>
                <w:sz w:val="19"/>
                <w:szCs w:val="19"/>
                <w:lang w:val="en-GB" w:eastAsia="en-GB"/>
              </w:rPr>
              <w:t>other lamp</w:t>
            </w:r>
            <w:r w:rsidRPr="00F737AD">
              <w:rPr>
                <w:sz w:val="19"/>
                <w:szCs w:val="19"/>
                <w:lang w:val="en-GB" w:eastAsia="en-GB"/>
              </w:rPr>
              <w:t xml:space="preserve">) recycling and processing facility </w:t>
            </w:r>
          </w:p>
        </w:tc>
        <w:tc>
          <w:tcPr>
            <w:tcW w:w="1923" w:type="dxa"/>
            <w:gridSpan w:val="2"/>
            <w:shd w:val="clear" w:color="auto" w:fill="auto"/>
          </w:tcPr>
          <w:p w:rsidR="000B4332" w:rsidRPr="00F737AD" w:rsidRDefault="003D5F07" w:rsidP="00F737AD">
            <w:pPr>
              <w:jc w:val="center"/>
              <w:rPr>
                <w:sz w:val="19"/>
                <w:szCs w:val="19"/>
                <w:lang w:val="en-GB" w:eastAsia="en-GB"/>
              </w:rPr>
            </w:pPr>
            <w:r w:rsidRPr="00F737AD">
              <w:rPr>
                <w:sz w:val="19"/>
                <w:szCs w:val="19"/>
                <w:lang w:val="en-GB" w:eastAsia="en-GB"/>
              </w:rPr>
              <w:t>Subcontract</w:t>
            </w:r>
          </w:p>
          <w:p w:rsidR="000B4332" w:rsidRPr="00F737AD" w:rsidRDefault="000B4332" w:rsidP="00F737AD">
            <w:pPr>
              <w:jc w:val="center"/>
              <w:rPr>
                <w:sz w:val="19"/>
                <w:szCs w:val="19"/>
                <w:lang w:val="en-GB" w:eastAsia="en-GB"/>
              </w:rPr>
            </w:pPr>
            <w:r w:rsidRPr="00F737AD">
              <w:rPr>
                <w:sz w:val="19"/>
                <w:szCs w:val="19"/>
                <w:lang w:val="en-GB" w:eastAsia="en-GB"/>
              </w:rPr>
              <w:t xml:space="preserve">(USD </w:t>
            </w:r>
            <w:r w:rsidR="003D5F07" w:rsidRPr="00F737AD">
              <w:rPr>
                <w:sz w:val="19"/>
                <w:szCs w:val="19"/>
                <w:lang w:val="en-GB" w:eastAsia="en-GB"/>
              </w:rPr>
              <w:t>150</w:t>
            </w:r>
            <w:r w:rsidRPr="00F737AD">
              <w:rPr>
                <w:sz w:val="19"/>
                <w:szCs w:val="19"/>
                <w:lang w:val="en-GB" w:eastAsia="en-GB"/>
              </w:rPr>
              <w:t>,000)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The contracted party will provide</w:t>
            </w:r>
            <w:r w:rsidR="004F098C" w:rsidRPr="00F737AD">
              <w:rPr>
                <w:sz w:val="19"/>
                <w:szCs w:val="19"/>
                <w:lang w:val="en-GB" w:eastAsia="en-GB"/>
              </w:rPr>
              <w:t xml:space="preserve"> support</w:t>
            </w:r>
            <w:r w:rsidRPr="00F737AD">
              <w:rPr>
                <w:sz w:val="19"/>
                <w:szCs w:val="19"/>
                <w:lang w:val="en-GB" w:eastAsia="en-GB"/>
              </w:rPr>
              <w:t xml:space="preserve"> (to a selected municipality and/or waste handling company) on management and handling of the mercury content in discarded CFLs and their processing in selected facilities and assist in project preparation and technology transfer to introduce suitable technologies (Component 3)</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TA testing labs</w:t>
            </w:r>
          </w:p>
        </w:tc>
        <w:tc>
          <w:tcPr>
            <w:tcW w:w="1923" w:type="dxa"/>
            <w:gridSpan w:val="2"/>
            <w:shd w:val="clear" w:color="auto" w:fill="auto"/>
          </w:tcPr>
          <w:p w:rsidR="000B4332" w:rsidRPr="00F737AD" w:rsidRDefault="003D5F07" w:rsidP="00F737AD">
            <w:pPr>
              <w:jc w:val="center"/>
              <w:rPr>
                <w:sz w:val="19"/>
                <w:szCs w:val="19"/>
                <w:lang w:val="en-GB" w:eastAsia="en-GB"/>
              </w:rPr>
            </w:pPr>
            <w:r w:rsidRPr="00F737AD">
              <w:rPr>
                <w:sz w:val="19"/>
                <w:szCs w:val="19"/>
                <w:lang w:val="en-GB" w:eastAsia="en-GB"/>
              </w:rPr>
              <w:t>Subcontract</w:t>
            </w:r>
          </w:p>
          <w:p w:rsidR="003D5F07" w:rsidRPr="00F737AD" w:rsidRDefault="003D5F07" w:rsidP="00F737AD">
            <w:pPr>
              <w:jc w:val="center"/>
              <w:rPr>
                <w:sz w:val="19"/>
                <w:szCs w:val="19"/>
                <w:lang w:val="en-GB" w:eastAsia="en-GB"/>
              </w:rPr>
            </w:pPr>
            <w:r w:rsidRPr="00F737AD">
              <w:rPr>
                <w:sz w:val="19"/>
                <w:szCs w:val="19"/>
                <w:lang w:val="en-GB" w:eastAsia="en-GB"/>
              </w:rPr>
              <w:t>(USD 240,000)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The contracted party will provide, based on </w:t>
            </w:r>
            <w:r w:rsidR="00C45283" w:rsidRPr="00F737AD">
              <w:rPr>
                <w:sz w:val="19"/>
                <w:szCs w:val="19"/>
                <w:lang w:val="en-GB" w:eastAsia="en-GB"/>
              </w:rPr>
              <w:t xml:space="preserve">the </w:t>
            </w:r>
            <w:r w:rsidRPr="00F737AD">
              <w:rPr>
                <w:noProof/>
                <w:sz w:val="19"/>
                <w:szCs w:val="19"/>
                <w:lang w:val="en-GB" w:eastAsia="en-GB"/>
              </w:rPr>
              <w:t>assessment</w:t>
            </w:r>
            <w:r w:rsidRPr="00F737AD">
              <w:rPr>
                <w:sz w:val="19"/>
                <w:szCs w:val="19"/>
                <w:lang w:val="en-GB" w:eastAsia="en-GB"/>
              </w:rPr>
              <w:t xml:space="preserve"> of the Testing Lab Experts, provide as-needed technical assistance and advice to equip labs and acquire accreditation.</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Audit</w:t>
            </w:r>
          </w:p>
        </w:tc>
        <w:tc>
          <w:tcPr>
            <w:tcW w:w="1923" w:type="dxa"/>
            <w:gridSpan w:val="2"/>
            <w:shd w:val="clear" w:color="auto" w:fill="auto"/>
          </w:tcPr>
          <w:p w:rsidR="000B4332" w:rsidRPr="00F737AD" w:rsidRDefault="000B4332" w:rsidP="00F737AD">
            <w:pPr>
              <w:jc w:val="center"/>
              <w:rPr>
                <w:sz w:val="19"/>
                <w:szCs w:val="19"/>
                <w:lang w:val="en-GB" w:eastAsia="en-GB"/>
              </w:rPr>
            </w:pPr>
            <w:r w:rsidRPr="00F737AD">
              <w:rPr>
                <w:sz w:val="19"/>
                <w:szCs w:val="19"/>
                <w:lang w:val="en-GB" w:eastAsia="en-GB"/>
              </w:rPr>
              <w:t>Subcontract</w:t>
            </w:r>
          </w:p>
          <w:p w:rsidR="000B4332" w:rsidRPr="00F737AD" w:rsidRDefault="000B4332" w:rsidP="00F737AD">
            <w:pPr>
              <w:jc w:val="center"/>
              <w:rPr>
                <w:sz w:val="19"/>
                <w:szCs w:val="19"/>
                <w:lang w:val="en-GB" w:eastAsia="en-GB"/>
              </w:rPr>
            </w:pPr>
            <w:r w:rsidRPr="00F737AD">
              <w:rPr>
                <w:sz w:val="19"/>
                <w:szCs w:val="19"/>
                <w:lang w:val="en-GB" w:eastAsia="en-GB"/>
              </w:rPr>
              <w:t>(USD 15,000)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As part of the mandatory M&amp;E, the contracted party will undertake project audits as per UNDP procedure and annual audit plan</w:t>
            </w:r>
            <w:r w:rsidR="004F098C" w:rsidRPr="00F737AD">
              <w:rPr>
                <w:sz w:val="19"/>
                <w:szCs w:val="19"/>
                <w:lang w:val="en-GB" w:eastAsia="en-GB"/>
              </w:rPr>
              <w:t xml:space="preserve"> and p</w:t>
            </w:r>
            <w:r w:rsidRPr="00F737AD">
              <w:rPr>
                <w:sz w:val="19"/>
                <w:szCs w:val="19"/>
                <w:lang w:val="en-GB" w:eastAsia="en-GB"/>
              </w:rPr>
              <w:t>repare final audit report as per UNDP instructions.</w:t>
            </w:r>
          </w:p>
        </w:tc>
      </w:tr>
      <w:tr w:rsidR="000B4332" w:rsidRPr="0057545E" w:rsidTr="00F737AD">
        <w:tc>
          <w:tcPr>
            <w:tcW w:w="1836"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Communication, awareness and knowledge dissemination</w:t>
            </w:r>
          </w:p>
        </w:tc>
        <w:tc>
          <w:tcPr>
            <w:tcW w:w="1923" w:type="dxa"/>
            <w:gridSpan w:val="2"/>
            <w:shd w:val="clear" w:color="auto" w:fill="auto"/>
          </w:tcPr>
          <w:p w:rsidR="000B4332" w:rsidRPr="00F737AD" w:rsidRDefault="003D5F07" w:rsidP="00F737AD">
            <w:pPr>
              <w:jc w:val="center"/>
              <w:rPr>
                <w:sz w:val="19"/>
                <w:szCs w:val="19"/>
                <w:lang w:val="en-GB" w:eastAsia="en-GB"/>
              </w:rPr>
            </w:pPr>
            <w:r w:rsidRPr="00F737AD">
              <w:rPr>
                <w:sz w:val="19"/>
                <w:szCs w:val="19"/>
                <w:lang w:val="en-GB" w:eastAsia="en-GB"/>
              </w:rPr>
              <w:t>Subcontract</w:t>
            </w:r>
          </w:p>
          <w:p w:rsidR="003D5F07" w:rsidRPr="00F737AD" w:rsidRDefault="003D5F07" w:rsidP="00F737AD">
            <w:pPr>
              <w:jc w:val="center"/>
              <w:rPr>
                <w:sz w:val="19"/>
                <w:szCs w:val="19"/>
                <w:lang w:val="en-GB" w:eastAsia="en-GB"/>
              </w:rPr>
            </w:pPr>
            <w:r w:rsidRPr="00F737AD">
              <w:rPr>
                <w:sz w:val="19"/>
                <w:szCs w:val="19"/>
                <w:lang w:val="en-GB" w:eastAsia="en-GB"/>
              </w:rPr>
              <w:t>(USD 280,000)</w:t>
            </w:r>
          </w:p>
        </w:tc>
        <w:tc>
          <w:tcPr>
            <w:tcW w:w="6203" w:type="dxa"/>
            <w:shd w:val="clear" w:color="auto" w:fill="auto"/>
          </w:tcPr>
          <w:p w:rsidR="000B4332" w:rsidRPr="00F737AD" w:rsidRDefault="000B4332" w:rsidP="00F737AD">
            <w:pPr>
              <w:jc w:val="left"/>
              <w:rPr>
                <w:sz w:val="19"/>
                <w:szCs w:val="19"/>
                <w:lang w:val="en-GB" w:eastAsia="en-GB"/>
              </w:rPr>
            </w:pPr>
            <w:r w:rsidRPr="00F737AD">
              <w:rPr>
                <w:sz w:val="19"/>
                <w:szCs w:val="19"/>
                <w:lang w:val="en-GB" w:eastAsia="en-GB"/>
              </w:rPr>
              <w:t xml:space="preserve">The contracted company will design and deliver a publicity and awareness campaign (broadcasting, newspapers, TV/radio). In addition, the contracted party will help </w:t>
            </w:r>
            <w:r w:rsidRPr="00F737AD">
              <w:rPr>
                <w:noProof/>
                <w:sz w:val="19"/>
                <w:szCs w:val="19"/>
                <w:lang w:val="en-GB" w:eastAsia="en-GB"/>
              </w:rPr>
              <w:t>design materials</w:t>
            </w:r>
            <w:r w:rsidRPr="00F737AD">
              <w:rPr>
                <w:sz w:val="19"/>
                <w:szCs w:val="19"/>
                <w:lang w:val="en-GB" w:eastAsia="en-GB"/>
              </w:rPr>
              <w:t xml:space="preserve"> (TV, radio, newspapers, magazines, Internet) on awareness and knowledge on EE lighting for consumers, and on lighting and efficient power distribution for municipality staff. The company will support ST experts in developing case studies, best practices</w:t>
            </w:r>
            <w:r w:rsidR="004F098C" w:rsidRPr="00F737AD">
              <w:rPr>
                <w:sz w:val="19"/>
                <w:szCs w:val="19"/>
                <w:lang w:val="en-GB" w:eastAsia="en-GB"/>
              </w:rPr>
              <w:t xml:space="preserve">, and lessons </w:t>
            </w:r>
            <w:r w:rsidR="004F098C" w:rsidRPr="00F737AD">
              <w:rPr>
                <w:noProof/>
                <w:sz w:val="19"/>
                <w:szCs w:val="19"/>
                <w:lang w:val="en-GB" w:eastAsia="en-GB"/>
              </w:rPr>
              <w:t>learn</w:t>
            </w:r>
            <w:r w:rsidR="00C45283" w:rsidRPr="00F737AD">
              <w:rPr>
                <w:noProof/>
                <w:sz w:val="19"/>
                <w:szCs w:val="19"/>
                <w:lang w:val="en-GB" w:eastAsia="en-GB"/>
              </w:rPr>
              <w:t>ed</w:t>
            </w:r>
            <w:r w:rsidRPr="00F737AD">
              <w:rPr>
                <w:sz w:val="19"/>
                <w:szCs w:val="19"/>
                <w:lang w:val="en-GB" w:eastAsia="en-GB"/>
              </w:rPr>
              <w:t xml:space="preserve"> (Component 2 and M&amp;E).</w:t>
            </w:r>
          </w:p>
        </w:tc>
      </w:tr>
      <w:bookmarkEnd w:id="186"/>
    </w:tbl>
    <w:p w:rsidR="000B4332" w:rsidRPr="0057545E" w:rsidRDefault="000B4332" w:rsidP="003018AE">
      <w:pPr>
        <w:spacing w:after="0"/>
        <w:jc w:val="left"/>
        <w:rPr>
          <w:szCs w:val="20"/>
          <w:lang w:val="en-GB"/>
        </w:rPr>
      </w:pPr>
    </w:p>
    <w:p w:rsidR="00757CA1" w:rsidRDefault="00757CA1" w:rsidP="000B4332">
      <w:pPr>
        <w:spacing w:after="0"/>
        <w:jc w:val="left"/>
        <w:rPr>
          <w:szCs w:val="20"/>
          <w:lang w:val="en-GB"/>
        </w:rPr>
      </w:pPr>
      <w:r>
        <w:rPr>
          <w:i/>
          <w:szCs w:val="20"/>
          <w:lang w:val="en-GB"/>
        </w:rPr>
        <w:t>Component 3</w:t>
      </w:r>
    </w:p>
    <w:p w:rsidR="00757CA1" w:rsidRDefault="00757CA1" w:rsidP="000B4332">
      <w:pPr>
        <w:spacing w:after="0"/>
        <w:jc w:val="left"/>
        <w:rPr>
          <w:szCs w:val="20"/>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27"/>
        <w:gridCol w:w="1023"/>
        <w:gridCol w:w="12"/>
        <w:gridCol w:w="961"/>
        <w:gridCol w:w="6095"/>
        <w:gridCol w:w="44"/>
      </w:tblGrid>
      <w:tr w:rsidR="00D80416" w:rsidRPr="00916118" w:rsidTr="00F737AD">
        <w:trPr>
          <w:tblHeader/>
        </w:trPr>
        <w:tc>
          <w:tcPr>
            <w:tcW w:w="1827" w:type="dxa"/>
            <w:shd w:val="clear" w:color="auto" w:fill="D9E2F3"/>
          </w:tcPr>
          <w:p w:rsidR="00757CA1" w:rsidRPr="00F737AD" w:rsidRDefault="00757CA1" w:rsidP="00F737AD">
            <w:pPr>
              <w:jc w:val="left"/>
              <w:rPr>
                <w:b/>
                <w:sz w:val="19"/>
                <w:szCs w:val="19"/>
                <w:lang w:val="en-GB" w:eastAsia="en-GB"/>
              </w:rPr>
            </w:pPr>
            <w:r w:rsidRPr="00F737AD">
              <w:rPr>
                <w:b/>
                <w:sz w:val="19"/>
                <w:szCs w:val="19"/>
                <w:lang w:val="en-GB" w:eastAsia="en-GB"/>
              </w:rPr>
              <w:t>Expertise</w:t>
            </w:r>
          </w:p>
          <w:p w:rsidR="00757CA1" w:rsidRPr="00F737AD" w:rsidRDefault="00757CA1" w:rsidP="00F737AD">
            <w:pPr>
              <w:jc w:val="left"/>
              <w:rPr>
                <w:b/>
                <w:sz w:val="19"/>
                <w:szCs w:val="19"/>
                <w:lang w:val="en-GB" w:eastAsia="en-GB"/>
              </w:rPr>
            </w:pPr>
          </w:p>
        </w:tc>
        <w:tc>
          <w:tcPr>
            <w:tcW w:w="1023" w:type="dxa"/>
            <w:shd w:val="clear" w:color="auto" w:fill="D9E2F3"/>
          </w:tcPr>
          <w:p w:rsidR="00757CA1" w:rsidRPr="00F737AD" w:rsidRDefault="00757CA1" w:rsidP="00F737AD">
            <w:pPr>
              <w:jc w:val="center"/>
              <w:rPr>
                <w:b/>
                <w:sz w:val="19"/>
                <w:szCs w:val="19"/>
                <w:lang w:val="en-GB" w:eastAsia="en-GB"/>
              </w:rPr>
            </w:pPr>
            <w:r w:rsidRPr="00F737AD">
              <w:rPr>
                <w:b/>
                <w:sz w:val="19"/>
                <w:szCs w:val="19"/>
                <w:lang w:val="en-GB" w:eastAsia="en-GB"/>
              </w:rPr>
              <w:t>Inter-national</w:t>
            </w:r>
          </w:p>
        </w:tc>
        <w:tc>
          <w:tcPr>
            <w:tcW w:w="973" w:type="dxa"/>
            <w:gridSpan w:val="2"/>
            <w:shd w:val="clear" w:color="auto" w:fill="D9E2F3"/>
          </w:tcPr>
          <w:p w:rsidR="00757CA1" w:rsidRPr="00F737AD" w:rsidRDefault="00757CA1" w:rsidP="00F737AD">
            <w:pPr>
              <w:jc w:val="center"/>
              <w:rPr>
                <w:b/>
                <w:sz w:val="19"/>
                <w:szCs w:val="19"/>
                <w:lang w:val="en-GB" w:eastAsia="en-GB"/>
              </w:rPr>
            </w:pPr>
            <w:r w:rsidRPr="00F737AD">
              <w:rPr>
                <w:b/>
                <w:sz w:val="19"/>
                <w:szCs w:val="19"/>
                <w:lang w:val="en-GB" w:eastAsia="en-GB"/>
              </w:rPr>
              <w:t>National</w:t>
            </w:r>
          </w:p>
        </w:tc>
        <w:tc>
          <w:tcPr>
            <w:tcW w:w="6139" w:type="dxa"/>
            <w:gridSpan w:val="2"/>
            <w:shd w:val="clear" w:color="auto" w:fill="D9E2F3"/>
          </w:tcPr>
          <w:p w:rsidR="00757CA1" w:rsidRPr="00F737AD" w:rsidRDefault="00757CA1" w:rsidP="00F737AD">
            <w:pPr>
              <w:jc w:val="left"/>
              <w:rPr>
                <w:b/>
                <w:sz w:val="19"/>
                <w:szCs w:val="19"/>
                <w:lang w:val="en-GB" w:eastAsia="en-GB"/>
              </w:rPr>
            </w:pPr>
            <w:r w:rsidRPr="00F737AD">
              <w:rPr>
                <w:b/>
                <w:sz w:val="19"/>
                <w:szCs w:val="19"/>
                <w:lang w:val="en-GB" w:eastAsia="en-GB"/>
              </w:rPr>
              <w:t>Description</w:t>
            </w:r>
          </w:p>
        </w:tc>
      </w:tr>
      <w:tr w:rsidR="00757CA1" w:rsidRPr="00916118" w:rsidTr="00F737AD">
        <w:trPr>
          <w:gridAfter w:val="1"/>
          <w:wAfter w:w="44" w:type="dxa"/>
        </w:trPr>
        <w:tc>
          <w:tcPr>
            <w:tcW w:w="1827" w:type="dxa"/>
            <w:shd w:val="clear" w:color="auto" w:fill="auto"/>
          </w:tcPr>
          <w:p w:rsidR="00757CA1" w:rsidRPr="00F737AD" w:rsidRDefault="00757CA1" w:rsidP="00F737AD">
            <w:pPr>
              <w:jc w:val="left"/>
              <w:rPr>
                <w:sz w:val="19"/>
                <w:szCs w:val="19"/>
                <w:lang w:val="en-GB" w:eastAsia="en-GB"/>
              </w:rPr>
            </w:pPr>
            <w:r w:rsidRPr="00F737AD">
              <w:rPr>
                <w:sz w:val="19"/>
                <w:szCs w:val="19"/>
                <w:lang w:val="en-GB" w:eastAsia="en-GB"/>
              </w:rPr>
              <w:t>EEFI short-term experts</w:t>
            </w:r>
          </w:p>
        </w:tc>
        <w:tc>
          <w:tcPr>
            <w:tcW w:w="1035" w:type="dxa"/>
            <w:gridSpan w:val="2"/>
            <w:shd w:val="clear" w:color="auto" w:fill="auto"/>
          </w:tcPr>
          <w:p w:rsidR="00757CA1" w:rsidRPr="00F737AD" w:rsidRDefault="00757CA1" w:rsidP="00F737AD">
            <w:pPr>
              <w:jc w:val="center"/>
              <w:rPr>
                <w:sz w:val="19"/>
                <w:szCs w:val="19"/>
                <w:lang w:val="en-GB" w:eastAsia="en-GB"/>
              </w:rPr>
            </w:pPr>
            <w:r w:rsidRPr="00F737AD">
              <w:rPr>
                <w:sz w:val="19"/>
                <w:szCs w:val="19"/>
                <w:lang w:val="en-GB" w:eastAsia="en-GB"/>
              </w:rPr>
              <w:t>15</w:t>
            </w:r>
          </w:p>
        </w:tc>
        <w:tc>
          <w:tcPr>
            <w:tcW w:w="961" w:type="dxa"/>
            <w:shd w:val="clear" w:color="auto" w:fill="auto"/>
          </w:tcPr>
          <w:p w:rsidR="00757CA1" w:rsidRPr="00F737AD" w:rsidRDefault="00757CA1" w:rsidP="00F737AD">
            <w:pPr>
              <w:jc w:val="center"/>
              <w:rPr>
                <w:sz w:val="19"/>
                <w:szCs w:val="19"/>
                <w:lang w:val="en-GB" w:eastAsia="en-GB"/>
              </w:rPr>
            </w:pPr>
            <w:r w:rsidRPr="00F737AD">
              <w:rPr>
                <w:sz w:val="19"/>
                <w:szCs w:val="19"/>
                <w:lang w:val="en-GB" w:eastAsia="en-GB"/>
              </w:rPr>
              <w:t>36</w:t>
            </w:r>
          </w:p>
        </w:tc>
        <w:tc>
          <w:tcPr>
            <w:tcW w:w="6095" w:type="dxa"/>
            <w:shd w:val="clear" w:color="auto" w:fill="auto"/>
          </w:tcPr>
          <w:p w:rsidR="00757CA1" w:rsidRPr="00F737AD" w:rsidRDefault="00757CA1" w:rsidP="00F737AD">
            <w:pPr>
              <w:jc w:val="left"/>
              <w:rPr>
                <w:sz w:val="19"/>
                <w:szCs w:val="19"/>
                <w:lang w:val="en-GB" w:eastAsia="en-GB"/>
              </w:rPr>
            </w:pPr>
            <w:r w:rsidRPr="00F737AD">
              <w:rPr>
                <w:sz w:val="19"/>
                <w:szCs w:val="19"/>
                <w:lang w:val="en-GB" w:eastAsia="en-GB"/>
              </w:rPr>
              <w:t>On an as-needed basis, short term, experts will be hired to provide consultancy on legal, financial and technical issues surrounding performance contracting and ESCO-based financing modalities. Experts will be involved in training (both in-house at DBSA) as well as beneficiaries (municipalities, ESCOs, building owners, etc.) and help in the evaluation of EEPI loan/grant applications. In providing support to municipalities, the experts will coordinate with the technical experts (lighting &amp;LED; transformers) and consultants of the Contract “Technical support municipalities and public buildings”</w:t>
            </w:r>
          </w:p>
        </w:tc>
      </w:tr>
      <w:tr w:rsidR="00757CA1" w:rsidRPr="00916118" w:rsidTr="00F737AD">
        <w:trPr>
          <w:gridAfter w:val="1"/>
          <w:wAfter w:w="44" w:type="dxa"/>
        </w:trPr>
        <w:tc>
          <w:tcPr>
            <w:tcW w:w="1827" w:type="dxa"/>
            <w:shd w:val="clear" w:color="auto" w:fill="auto"/>
          </w:tcPr>
          <w:p w:rsidR="00757CA1" w:rsidRPr="00F737AD" w:rsidRDefault="00757CA1" w:rsidP="00F737AD">
            <w:pPr>
              <w:jc w:val="left"/>
              <w:rPr>
                <w:sz w:val="19"/>
                <w:szCs w:val="19"/>
                <w:lang w:val="en-GB" w:eastAsia="en-GB"/>
              </w:rPr>
            </w:pPr>
            <w:r w:rsidRPr="00F737AD">
              <w:rPr>
                <w:sz w:val="19"/>
                <w:szCs w:val="19"/>
                <w:lang w:val="en-GB" w:eastAsia="en-GB"/>
              </w:rPr>
              <w:t>Financial assistant</w:t>
            </w:r>
          </w:p>
        </w:tc>
        <w:tc>
          <w:tcPr>
            <w:tcW w:w="1035" w:type="dxa"/>
            <w:gridSpan w:val="2"/>
            <w:shd w:val="clear" w:color="auto" w:fill="auto"/>
          </w:tcPr>
          <w:p w:rsidR="00757CA1" w:rsidRPr="00F737AD" w:rsidRDefault="00757CA1" w:rsidP="00F737AD">
            <w:pPr>
              <w:jc w:val="center"/>
              <w:rPr>
                <w:sz w:val="19"/>
                <w:szCs w:val="19"/>
                <w:lang w:val="en-GB" w:eastAsia="en-GB"/>
              </w:rPr>
            </w:pPr>
          </w:p>
        </w:tc>
        <w:tc>
          <w:tcPr>
            <w:tcW w:w="961" w:type="dxa"/>
            <w:shd w:val="clear" w:color="auto" w:fill="auto"/>
          </w:tcPr>
          <w:p w:rsidR="00757CA1" w:rsidRPr="00F737AD" w:rsidRDefault="00757CA1" w:rsidP="00F737AD">
            <w:pPr>
              <w:jc w:val="center"/>
              <w:rPr>
                <w:sz w:val="19"/>
                <w:szCs w:val="19"/>
                <w:lang w:val="en-GB" w:eastAsia="en-GB"/>
              </w:rPr>
            </w:pPr>
            <w:r w:rsidRPr="00F737AD">
              <w:rPr>
                <w:sz w:val="19"/>
                <w:szCs w:val="19"/>
                <w:lang w:val="en-GB" w:eastAsia="en-GB"/>
              </w:rPr>
              <w:t>208</w:t>
            </w:r>
          </w:p>
        </w:tc>
        <w:tc>
          <w:tcPr>
            <w:tcW w:w="6095" w:type="dxa"/>
            <w:shd w:val="clear" w:color="auto" w:fill="auto"/>
          </w:tcPr>
          <w:p w:rsidR="00757CA1" w:rsidRPr="00F737AD" w:rsidRDefault="00757CA1" w:rsidP="00F737AD">
            <w:pPr>
              <w:jc w:val="left"/>
              <w:rPr>
                <w:sz w:val="19"/>
                <w:szCs w:val="19"/>
                <w:lang w:val="en-GB" w:eastAsia="en-GB"/>
              </w:rPr>
            </w:pPr>
            <w:r w:rsidRPr="00F737AD">
              <w:rPr>
                <w:sz w:val="19"/>
                <w:szCs w:val="19"/>
                <w:lang w:val="en-GB" w:eastAsia="en-GB"/>
              </w:rPr>
              <w:t xml:space="preserve">S/he will support DBSA management of EEFI (under supervision of the Financial Advisor) </w:t>
            </w:r>
            <w:r w:rsidRPr="00F737AD">
              <w:rPr>
                <w:sz w:val="19"/>
                <w:szCs w:val="19"/>
              </w:rPr>
              <w:t>on</w:t>
            </w:r>
            <w:r w:rsidRPr="00F737AD">
              <w:rPr>
                <w:sz w:val="19"/>
                <w:szCs w:val="19"/>
                <w:lang w:val="en-GB" w:eastAsia="en-GB"/>
              </w:rPr>
              <w:t xml:space="preserve"> administrative and financial matters of EEFI (incl. regular reporting, filing and record keeping; control replenishment and outflows, provide info loans and disbursement, furnish</w:t>
            </w:r>
            <w:r w:rsidRPr="00F737AD">
              <w:rPr>
                <w:sz w:val="19"/>
                <w:szCs w:val="19"/>
              </w:rPr>
              <w:t xml:space="preserve"> </w:t>
            </w:r>
            <w:r w:rsidRPr="00F737AD">
              <w:rPr>
                <w:sz w:val="19"/>
                <w:szCs w:val="19"/>
                <w:lang w:val="en-GB" w:eastAsia="en-GB"/>
              </w:rPr>
              <w:t xml:space="preserve">financial and administrative information for audits and evaluations. In addition, the Assistant will support the organisation of in-country training activities, ensuring logistical arrangements, prepare internal and external travel arrangements for EEFI short-term experts and staff. </w:t>
            </w:r>
          </w:p>
        </w:tc>
      </w:tr>
    </w:tbl>
    <w:p w:rsidR="00757CA1" w:rsidRPr="00CC6AD9" w:rsidRDefault="00757CA1" w:rsidP="000B4332">
      <w:pPr>
        <w:spacing w:after="0"/>
        <w:jc w:val="left"/>
        <w:rPr>
          <w:szCs w:val="20"/>
        </w:rPr>
      </w:pPr>
    </w:p>
    <w:p w:rsidR="000B4332" w:rsidRPr="00666B27" w:rsidRDefault="000B4332" w:rsidP="003018AE">
      <w:pPr>
        <w:spacing w:after="0"/>
        <w:jc w:val="left"/>
        <w:rPr>
          <w:szCs w:val="20"/>
          <w:lang w:val="en-GB"/>
        </w:rPr>
        <w:sectPr w:rsidR="000B4332" w:rsidRPr="00666B27" w:rsidSect="00346DFA">
          <w:pgSz w:w="12240" w:h="15840" w:code="1"/>
          <w:pgMar w:top="1440" w:right="1134" w:bottom="1440" w:left="1134" w:header="720" w:footer="720" w:gutter="0"/>
          <w:cols w:space="720"/>
          <w:docGrid w:linePitch="360"/>
        </w:sectPr>
      </w:pPr>
    </w:p>
    <w:p w:rsidR="00911D16" w:rsidRPr="00666B27" w:rsidRDefault="00856ADC" w:rsidP="00503021">
      <w:pPr>
        <w:pStyle w:val="HeadingA"/>
        <w:ind w:left="1701" w:hanging="1701"/>
      </w:pPr>
      <w:bookmarkStart w:id="187" w:name="_Toc340778"/>
      <w:r w:rsidRPr="00666B27">
        <w:lastRenderedPageBreak/>
        <w:t>terms of reference</w:t>
      </w:r>
      <w:r w:rsidR="00346DFA" w:rsidRPr="00666B27">
        <w:t xml:space="preserve"> of </w:t>
      </w:r>
      <w:r w:rsidR="001B1F1C" w:rsidRPr="00666B27">
        <w:t>PSC</w:t>
      </w:r>
      <w:r w:rsidR="00346DFA" w:rsidRPr="00666B27">
        <w:t xml:space="preserve"> and project staff</w:t>
      </w:r>
      <w:bookmarkEnd w:id="187"/>
    </w:p>
    <w:p w:rsidR="00680091" w:rsidRPr="00666B27" w:rsidRDefault="00680091" w:rsidP="00680091">
      <w:pPr>
        <w:rPr>
          <w:lang w:val="en-GB" w:eastAsia="en-GB"/>
        </w:rPr>
      </w:pPr>
    </w:p>
    <w:p w:rsidR="007259BD" w:rsidRPr="00666B27" w:rsidRDefault="007259BD" w:rsidP="00D56C07">
      <w:pPr>
        <w:spacing w:after="0"/>
        <w:rPr>
          <w:iCs/>
          <w:szCs w:val="20"/>
          <w:lang w:val="en-GB"/>
        </w:rPr>
      </w:pPr>
    </w:p>
    <w:p w:rsidR="00D56C07" w:rsidRPr="00666B27" w:rsidRDefault="00D56C07" w:rsidP="007031B3">
      <w:pPr>
        <w:spacing w:after="0"/>
        <w:rPr>
          <w:rFonts w:cs="Arial"/>
          <w:b/>
          <w:iCs/>
          <w:noProof/>
          <w:szCs w:val="20"/>
          <w:lang w:val="en-GB" w:eastAsia="zh-CN"/>
        </w:rPr>
      </w:pPr>
      <w:r w:rsidRPr="00666B27">
        <w:rPr>
          <w:rFonts w:cs="Arial"/>
          <w:b/>
          <w:iCs/>
          <w:noProof/>
          <w:szCs w:val="20"/>
          <w:lang w:val="en-GB" w:eastAsia="zh-CN"/>
        </w:rPr>
        <w:t>Terms of</w:t>
      </w:r>
      <w:r w:rsidR="00856ADC" w:rsidRPr="00666B27">
        <w:rPr>
          <w:rFonts w:cs="Arial"/>
          <w:b/>
          <w:iCs/>
          <w:noProof/>
          <w:szCs w:val="20"/>
          <w:lang w:val="en-GB" w:eastAsia="zh-CN"/>
        </w:rPr>
        <w:t xml:space="preserve"> Reference for the P</w:t>
      </w:r>
      <w:r w:rsidR="006C64A7" w:rsidRPr="00666B27">
        <w:rPr>
          <w:rFonts w:cs="Arial"/>
          <w:b/>
          <w:iCs/>
          <w:noProof/>
          <w:szCs w:val="20"/>
          <w:lang w:val="en-GB" w:eastAsia="zh-CN"/>
        </w:rPr>
        <w:t>ROJECT STEERING COMMITTEE</w:t>
      </w:r>
    </w:p>
    <w:p w:rsidR="00D56C07" w:rsidRPr="00666B27" w:rsidRDefault="00D56C07">
      <w:pPr>
        <w:spacing w:after="0"/>
        <w:rPr>
          <w:rFonts w:cs="Arial"/>
          <w:iCs/>
          <w:noProof/>
          <w:szCs w:val="20"/>
          <w:lang w:val="en-GB" w:eastAsia="zh-CN"/>
        </w:rPr>
      </w:pPr>
    </w:p>
    <w:p w:rsidR="003B46BA" w:rsidRDefault="00D56C07">
      <w:pPr>
        <w:spacing w:after="0"/>
        <w:rPr>
          <w:rFonts w:cs="Arial"/>
          <w:iCs/>
          <w:noProof/>
          <w:szCs w:val="20"/>
          <w:lang w:val="en-GB" w:eastAsia="zh-CN"/>
        </w:rPr>
      </w:pPr>
      <w:r w:rsidRPr="00666B27">
        <w:rPr>
          <w:rFonts w:cs="Arial"/>
          <w:iCs/>
          <w:noProof/>
          <w:szCs w:val="20"/>
          <w:lang w:val="en-GB" w:eastAsia="zh-CN"/>
        </w:rPr>
        <w:t xml:space="preserve">The Project </w:t>
      </w:r>
      <w:r w:rsidR="00856ADC" w:rsidRPr="00666B27">
        <w:rPr>
          <w:rFonts w:cs="Arial"/>
          <w:iCs/>
          <w:noProof/>
          <w:szCs w:val="20"/>
          <w:lang w:val="en-GB" w:eastAsia="zh-CN"/>
        </w:rPr>
        <w:t>Steering Committee (PSC)</w:t>
      </w:r>
      <w:r w:rsidRPr="00666B27">
        <w:rPr>
          <w:rFonts w:cs="Arial"/>
          <w:iCs/>
          <w:noProof/>
          <w:szCs w:val="20"/>
          <w:lang w:val="en-GB" w:eastAsia="zh-CN"/>
        </w:rPr>
        <w:t xml:space="preserve"> will serve as the project’s decision-making body. It will meet according to necessity, at least twice each year, to review project progress, approve project work </w:t>
      </w:r>
      <w:r w:rsidR="00856ADC" w:rsidRPr="00666B27">
        <w:rPr>
          <w:rFonts w:cs="Arial"/>
          <w:iCs/>
          <w:noProof/>
          <w:szCs w:val="20"/>
          <w:lang w:val="en-GB" w:eastAsia="zh-CN"/>
        </w:rPr>
        <w:t>plans</w:t>
      </w:r>
      <w:r w:rsidR="00C45283" w:rsidRPr="00666B27">
        <w:rPr>
          <w:rFonts w:cs="Arial"/>
          <w:iCs/>
          <w:noProof/>
          <w:szCs w:val="20"/>
          <w:lang w:val="en-GB" w:eastAsia="zh-CN"/>
        </w:rPr>
        <w:t>, and activities under specific Outcomes</w:t>
      </w:r>
      <w:r w:rsidR="00856ADC" w:rsidRPr="00666B27">
        <w:rPr>
          <w:rFonts w:cs="Arial"/>
          <w:iCs/>
          <w:noProof/>
          <w:szCs w:val="20"/>
          <w:lang w:val="en-GB" w:eastAsia="zh-CN"/>
        </w:rPr>
        <w:t>. The PSC</w:t>
      </w:r>
      <w:r w:rsidRPr="00666B27">
        <w:rPr>
          <w:rFonts w:cs="Arial"/>
          <w:iCs/>
          <w:noProof/>
          <w:szCs w:val="20"/>
          <w:lang w:val="en-GB" w:eastAsia="zh-CN"/>
        </w:rPr>
        <w:t xml:space="preserve"> is responsible for providing the strategic guidance and oversight to proje</w:t>
      </w:r>
    </w:p>
    <w:p w:rsidR="00D56C07" w:rsidRPr="00666B27" w:rsidRDefault="00D56C07">
      <w:pPr>
        <w:spacing w:after="0"/>
        <w:rPr>
          <w:rFonts w:cs="Arial"/>
          <w:iCs/>
          <w:noProof/>
          <w:szCs w:val="20"/>
          <w:lang w:val="en-GB" w:eastAsia="zh-CN"/>
        </w:rPr>
      </w:pPr>
      <w:r w:rsidRPr="00666B27">
        <w:rPr>
          <w:rFonts w:cs="Arial"/>
          <w:iCs/>
          <w:noProof/>
          <w:szCs w:val="20"/>
          <w:lang w:val="en-GB" w:eastAsia="zh-CN"/>
        </w:rPr>
        <w:t>ct implementation to ensure that it meets the requirements of the approved Project Document and achiev</w:t>
      </w:r>
      <w:r w:rsidR="00856ADC" w:rsidRPr="00666B27">
        <w:rPr>
          <w:rFonts w:cs="Arial"/>
          <w:iCs/>
          <w:noProof/>
          <w:szCs w:val="20"/>
          <w:lang w:val="en-GB" w:eastAsia="zh-CN"/>
        </w:rPr>
        <w:t xml:space="preserve">es the stated outcomes. </w:t>
      </w:r>
      <w:r w:rsidR="00845C9E" w:rsidRPr="00666B27">
        <w:rPr>
          <w:rFonts w:cs="Arial"/>
          <w:iCs/>
          <w:noProof/>
          <w:szCs w:val="20"/>
          <w:lang w:val="en-GB" w:eastAsia="zh-CN"/>
        </w:rPr>
        <w:t xml:space="preserve">These </w:t>
      </w:r>
      <w:r w:rsidR="005A2639" w:rsidRPr="00666B27">
        <w:rPr>
          <w:rFonts w:cs="Arial"/>
          <w:iCs/>
          <w:noProof/>
          <w:szCs w:val="20"/>
          <w:lang w:val="en-GB" w:eastAsia="zh-CN"/>
        </w:rPr>
        <w:t>T</w:t>
      </w:r>
      <w:r w:rsidR="00845C9E" w:rsidRPr="00666B27">
        <w:rPr>
          <w:rFonts w:cs="Arial"/>
          <w:iCs/>
          <w:noProof/>
          <w:szCs w:val="20"/>
          <w:lang w:val="en-GB" w:eastAsia="zh-CN"/>
        </w:rPr>
        <w:t xml:space="preserve">erms of </w:t>
      </w:r>
      <w:r w:rsidR="005A2639" w:rsidRPr="00666B27">
        <w:rPr>
          <w:rFonts w:cs="Arial"/>
          <w:iCs/>
          <w:noProof/>
          <w:szCs w:val="20"/>
          <w:lang w:val="en-GB" w:eastAsia="zh-CN"/>
        </w:rPr>
        <w:t>R</w:t>
      </w:r>
      <w:r w:rsidR="00845C9E" w:rsidRPr="00666B27">
        <w:rPr>
          <w:rFonts w:cs="Arial"/>
          <w:iCs/>
          <w:noProof/>
          <w:szCs w:val="20"/>
          <w:lang w:val="en-GB" w:eastAsia="zh-CN"/>
        </w:rPr>
        <w:t xml:space="preserve">eference will be detailed and finalized during the Project Inception Workshop, including the list of members of the PSC. </w:t>
      </w:r>
      <w:r w:rsidR="00856ADC" w:rsidRPr="00666B27">
        <w:rPr>
          <w:rFonts w:cs="Arial"/>
          <w:iCs/>
          <w:noProof/>
          <w:szCs w:val="20"/>
          <w:lang w:val="en-GB" w:eastAsia="zh-CN"/>
        </w:rPr>
        <w:t>The PSC’s</w:t>
      </w:r>
      <w:r w:rsidRPr="00666B27">
        <w:rPr>
          <w:rFonts w:cs="Arial"/>
          <w:iCs/>
          <w:noProof/>
          <w:szCs w:val="20"/>
          <w:lang w:val="en-GB" w:eastAsia="zh-CN"/>
        </w:rPr>
        <w:t xml:space="preserve"> role will include: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P</w:t>
      </w:r>
      <w:r w:rsidR="00D56C07" w:rsidRPr="00666B27">
        <w:rPr>
          <w:rFonts w:ascii="Calibri" w:hAnsi="Calibri" w:cs="Arial"/>
          <w:iCs/>
          <w:noProof/>
          <w:sz w:val="20"/>
          <w:szCs w:val="20"/>
          <w:lang w:val="en-GB" w:eastAsia="zh-CN"/>
        </w:rPr>
        <w:t>rovid</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strategic guidance to project implementation;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Ensure</w:t>
      </w:r>
      <w:r w:rsidR="00D56C07" w:rsidRPr="00666B27">
        <w:rPr>
          <w:rFonts w:ascii="Calibri" w:hAnsi="Calibri" w:cs="Arial"/>
          <w:iCs/>
          <w:noProof/>
          <w:sz w:val="20"/>
          <w:szCs w:val="20"/>
          <w:lang w:val="en-GB" w:eastAsia="zh-CN"/>
        </w:rPr>
        <w:t xml:space="preserve"> coordination between various donor</w:t>
      </w:r>
      <w:r w:rsidR="00C45283" w:rsidRPr="00666B27">
        <w:rPr>
          <w:rFonts w:ascii="Calibri" w:hAnsi="Calibri" w:cs="Arial"/>
          <w:iCs/>
          <w:noProof/>
          <w:sz w:val="20"/>
          <w:szCs w:val="20"/>
          <w:lang w:val="en-GB" w:eastAsia="zh-CN"/>
        </w:rPr>
        <w:t>-</w:t>
      </w:r>
      <w:r w:rsidR="00D56C07" w:rsidRPr="00666B27">
        <w:rPr>
          <w:rFonts w:ascii="Calibri" w:hAnsi="Calibri" w:cs="Arial"/>
          <w:iCs/>
          <w:noProof/>
          <w:sz w:val="20"/>
          <w:szCs w:val="20"/>
          <w:lang w:val="en-GB" w:eastAsia="zh-CN"/>
        </w:rPr>
        <w:t>funded and government</w:t>
      </w:r>
      <w:r w:rsidR="00C45283" w:rsidRPr="00666B27">
        <w:rPr>
          <w:rFonts w:ascii="Calibri" w:hAnsi="Calibri" w:cs="Arial"/>
          <w:iCs/>
          <w:noProof/>
          <w:sz w:val="20"/>
          <w:szCs w:val="20"/>
          <w:lang w:val="en-GB" w:eastAsia="zh-CN"/>
        </w:rPr>
        <w:t>-</w:t>
      </w:r>
      <w:r w:rsidR="00D56C07" w:rsidRPr="00666B27">
        <w:rPr>
          <w:rFonts w:ascii="Calibri" w:hAnsi="Calibri" w:cs="Arial"/>
          <w:iCs/>
          <w:noProof/>
          <w:sz w:val="20"/>
          <w:szCs w:val="20"/>
          <w:lang w:val="en-GB" w:eastAsia="zh-CN"/>
        </w:rPr>
        <w:t xml:space="preserve">funded projects and programmes;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nsur</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coordination with various government agencies and their participation in project activities;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A</w:t>
      </w:r>
      <w:r w:rsidR="00D56C07" w:rsidRPr="00666B27">
        <w:rPr>
          <w:rFonts w:ascii="Calibri" w:hAnsi="Calibri" w:cs="Arial"/>
          <w:iCs/>
          <w:noProof/>
          <w:sz w:val="20"/>
          <w:szCs w:val="20"/>
          <w:lang w:val="en-GB" w:eastAsia="zh-CN"/>
        </w:rPr>
        <w:t>pprov</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annual project work plans and budgets, at the proposal of the Project Manager;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A</w:t>
      </w:r>
      <w:r w:rsidR="00D56C07" w:rsidRPr="00666B27">
        <w:rPr>
          <w:rFonts w:ascii="Calibri" w:hAnsi="Calibri" w:cs="Arial"/>
          <w:iCs/>
          <w:noProof/>
          <w:sz w:val="20"/>
          <w:szCs w:val="20"/>
          <w:lang w:val="en-GB" w:eastAsia="zh-CN"/>
        </w:rPr>
        <w:t>pprov</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any major changes i</w:t>
      </w:r>
      <w:r w:rsidRPr="00666B27">
        <w:rPr>
          <w:rFonts w:ascii="Calibri" w:hAnsi="Calibri" w:cs="Arial"/>
          <w:iCs/>
          <w:noProof/>
          <w:sz w:val="20"/>
          <w:szCs w:val="20"/>
          <w:lang w:val="en-GB" w:eastAsia="zh-CN"/>
        </w:rPr>
        <w:t>n project plans or programmes;</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O</w:t>
      </w:r>
      <w:r w:rsidR="00D56C07" w:rsidRPr="00666B27">
        <w:rPr>
          <w:rFonts w:ascii="Calibri" w:hAnsi="Calibri" w:cs="Arial"/>
          <w:iCs/>
          <w:noProof/>
          <w:sz w:val="20"/>
          <w:szCs w:val="20"/>
          <w:lang w:val="en-GB" w:eastAsia="zh-CN"/>
        </w:rPr>
        <w:t>versee</w:t>
      </w:r>
      <w:r w:rsidRPr="00666B27">
        <w:rPr>
          <w:rFonts w:ascii="Calibri" w:hAnsi="Calibri" w:cs="Arial"/>
          <w:iCs/>
          <w:noProof/>
          <w:sz w:val="20"/>
          <w:szCs w:val="20"/>
          <w:lang w:val="en-GB" w:eastAsia="zh-CN"/>
        </w:rPr>
        <w:t xml:space="preserve"> monitoring, evaluation</w:t>
      </w:r>
      <w:r w:rsidR="00C45283" w:rsidRPr="00666B27">
        <w:rPr>
          <w:rFonts w:ascii="Calibri" w:hAnsi="Calibri" w:cs="Arial"/>
          <w:iCs/>
          <w:noProof/>
          <w:sz w:val="20"/>
          <w:szCs w:val="20"/>
          <w:lang w:val="en-GB" w:eastAsia="zh-CN"/>
        </w:rPr>
        <w:t>,</w:t>
      </w:r>
      <w:r w:rsidRPr="00666B27">
        <w:rPr>
          <w:rFonts w:ascii="Calibri" w:hAnsi="Calibri" w:cs="Arial"/>
          <w:iCs/>
          <w:noProof/>
          <w:sz w:val="20"/>
          <w:szCs w:val="20"/>
          <w:lang w:val="en-GB" w:eastAsia="zh-CN"/>
        </w:rPr>
        <w:t xml:space="preserve"> and </w:t>
      </w:r>
      <w:r w:rsidR="00D56C07" w:rsidRPr="00666B27">
        <w:rPr>
          <w:rFonts w:ascii="Calibri" w:hAnsi="Calibri" w:cs="Arial"/>
          <w:iCs/>
          <w:noProof/>
          <w:sz w:val="20"/>
          <w:szCs w:val="20"/>
          <w:lang w:val="en-GB" w:eastAsia="zh-CN"/>
        </w:rPr>
        <w:t xml:space="preserve">reporting in line with GEF requirements;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nsur</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commitment of human resources to support project implementation, arbitrating any issues within the project; </w:t>
      </w:r>
    </w:p>
    <w:p w:rsidR="005F42EA"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N</w:t>
      </w:r>
      <w:r w:rsidR="00D56C07" w:rsidRPr="00666B27">
        <w:rPr>
          <w:rFonts w:ascii="Calibri" w:hAnsi="Calibri" w:cs="Arial"/>
          <w:iCs/>
          <w:noProof/>
          <w:sz w:val="20"/>
          <w:szCs w:val="20"/>
          <w:lang w:val="en-GB" w:eastAsia="zh-CN"/>
        </w:rPr>
        <w:t>egotiat</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solutions between the project and any parties beyond the scope of the project; </w:t>
      </w:r>
    </w:p>
    <w:p w:rsidR="00D56C07" w:rsidRPr="00666B27" w:rsidRDefault="005F42EA" w:rsidP="00CC6AD9">
      <w:pPr>
        <w:pStyle w:val="ListParagraph"/>
        <w:numPr>
          <w:ilvl w:val="0"/>
          <w:numId w:val="14"/>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nsur</w:t>
      </w:r>
      <w:r w:rsidRPr="00666B27">
        <w:rPr>
          <w:rFonts w:ascii="Calibri" w:hAnsi="Calibri" w:cs="Arial"/>
          <w:iCs/>
          <w:noProof/>
          <w:sz w:val="20"/>
          <w:szCs w:val="20"/>
          <w:lang w:val="en-GB" w:eastAsia="zh-CN"/>
        </w:rPr>
        <w:t>e</w:t>
      </w:r>
      <w:r w:rsidR="00D56C07" w:rsidRPr="00666B27">
        <w:rPr>
          <w:rFonts w:ascii="Calibri" w:hAnsi="Calibri" w:cs="Arial"/>
          <w:iCs/>
          <w:noProof/>
          <w:sz w:val="20"/>
          <w:szCs w:val="20"/>
          <w:lang w:val="en-GB" w:eastAsia="zh-CN"/>
        </w:rPr>
        <w:t xml:space="preserve"> that UNDP Social and Environmental Safeguards </w:t>
      </w:r>
      <w:r w:rsidRPr="00666B27">
        <w:rPr>
          <w:rFonts w:ascii="Calibri" w:hAnsi="Calibri" w:cs="Arial"/>
          <w:iCs/>
          <w:noProof/>
          <w:sz w:val="20"/>
          <w:szCs w:val="20"/>
          <w:lang w:val="en-GB" w:eastAsia="zh-CN"/>
        </w:rPr>
        <w:t>Policy is</w:t>
      </w:r>
      <w:r w:rsidR="00D56C07" w:rsidRPr="00666B27">
        <w:rPr>
          <w:rFonts w:ascii="Calibri" w:hAnsi="Calibri" w:cs="Arial"/>
          <w:iCs/>
          <w:noProof/>
          <w:sz w:val="20"/>
          <w:szCs w:val="20"/>
          <w:lang w:val="en-GB" w:eastAsia="zh-CN"/>
        </w:rPr>
        <w:t xml:space="preserve"> applied t</w:t>
      </w:r>
      <w:r w:rsidRPr="00666B27">
        <w:rPr>
          <w:rFonts w:ascii="Calibri" w:hAnsi="Calibri" w:cs="Arial"/>
          <w:iCs/>
          <w:noProof/>
          <w:sz w:val="20"/>
          <w:szCs w:val="20"/>
          <w:lang w:val="en-GB" w:eastAsia="zh-CN"/>
        </w:rPr>
        <w:t xml:space="preserve">hroughout </w:t>
      </w:r>
      <w:r w:rsidR="00D56C07" w:rsidRPr="00666B27">
        <w:rPr>
          <w:rFonts w:ascii="Calibri" w:hAnsi="Calibri" w:cs="Arial"/>
          <w:iCs/>
          <w:noProof/>
          <w:sz w:val="20"/>
          <w:szCs w:val="20"/>
          <w:lang w:val="en-GB" w:eastAsia="zh-CN"/>
        </w:rPr>
        <w:t>project implementation</w:t>
      </w:r>
      <w:r w:rsidRPr="00666B27">
        <w:rPr>
          <w:rFonts w:ascii="Calibri" w:hAnsi="Calibri" w:cs="Arial"/>
          <w:iCs/>
          <w:noProof/>
          <w:sz w:val="20"/>
          <w:szCs w:val="20"/>
          <w:lang w:val="en-GB" w:eastAsia="zh-CN"/>
        </w:rPr>
        <w:t>; and, address related grievances as necessary</w:t>
      </w:r>
      <w:r w:rsidR="00D56C07" w:rsidRPr="00666B27">
        <w:rPr>
          <w:rFonts w:ascii="Calibri" w:hAnsi="Calibri" w:cs="Arial"/>
          <w:iCs/>
          <w:noProof/>
          <w:sz w:val="20"/>
          <w:szCs w:val="20"/>
          <w:lang w:val="en-GB" w:eastAsia="zh-CN"/>
        </w:rPr>
        <w:t>.</w:t>
      </w:r>
    </w:p>
    <w:p w:rsidR="00D56C07" w:rsidRPr="00666B27" w:rsidRDefault="00D56C07" w:rsidP="007031B3">
      <w:pPr>
        <w:spacing w:after="0"/>
        <w:rPr>
          <w:rFonts w:cs="Arial"/>
          <w:iCs/>
          <w:noProof/>
          <w:szCs w:val="20"/>
          <w:lang w:val="en-GB" w:eastAsia="zh-CN"/>
        </w:rPr>
      </w:pPr>
    </w:p>
    <w:p w:rsidR="00D56C07" w:rsidRPr="00666B27" w:rsidRDefault="00D56C07">
      <w:pPr>
        <w:spacing w:after="0"/>
        <w:rPr>
          <w:rFonts w:cs="Arial"/>
          <w:b/>
          <w:iCs/>
          <w:noProof/>
          <w:szCs w:val="20"/>
          <w:lang w:val="en-GB" w:eastAsia="zh-CN"/>
        </w:rPr>
      </w:pPr>
      <w:r w:rsidRPr="00666B27">
        <w:rPr>
          <w:b/>
          <w:szCs w:val="20"/>
          <w:lang w:val="en-GB"/>
        </w:rPr>
        <w:t>Terms of Reference for the</w:t>
      </w:r>
      <w:r w:rsidR="00856ADC" w:rsidRPr="00666B27">
        <w:rPr>
          <w:b/>
          <w:szCs w:val="20"/>
          <w:lang w:val="en-GB"/>
        </w:rPr>
        <w:t xml:space="preserve"> W</w:t>
      </w:r>
      <w:r w:rsidR="006C64A7" w:rsidRPr="00666B27">
        <w:rPr>
          <w:b/>
          <w:szCs w:val="20"/>
          <w:lang w:val="en-GB"/>
        </w:rPr>
        <w:t>ORKING GROUPS</w:t>
      </w:r>
    </w:p>
    <w:p w:rsidR="00D56C07" w:rsidRPr="00666B27" w:rsidRDefault="00D56C07">
      <w:pPr>
        <w:spacing w:after="0"/>
        <w:rPr>
          <w:rFonts w:cs="Arial"/>
          <w:b/>
          <w:iCs/>
          <w:noProof/>
          <w:szCs w:val="20"/>
          <w:lang w:val="en-GB" w:eastAsia="zh-CN"/>
        </w:rPr>
      </w:pPr>
    </w:p>
    <w:p w:rsidR="00D56C07" w:rsidRPr="00666B27" w:rsidRDefault="00856ADC">
      <w:pPr>
        <w:spacing w:after="0"/>
        <w:rPr>
          <w:szCs w:val="20"/>
          <w:lang w:val="en-GB"/>
        </w:rPr>
      </w:pPr>
      <w:r w:rsidRPr="00666B27">
        <w:rPr>
          <w:szCs w:val="20"/>
          <w:lang w:val="en-GB"/>
        </w:rPr>
        <w:t>The two Working Groups</w:t>
      </w:r>
      <w:r w:rsidR="00D56C07" w:rsidRPr="00666B27">
        <w:rPr>
          <w:szCs w:val="20"/>
          <w:lang w:val="en-GB"/>
        </w:rPr>
        <w:t xml:space="preserve"> will provide technical advice and inputs relating to project implementation with support from the PM.  The members of the </w:t>
      </w:r>
      <w:r w:rsidR="00C03C12" w:rsidRPr="00666B27">
        <w:rPr>
          <w:szCs w:val="20"/>
          <w:lang w:val="en-GB"/>
        </w:rPr>
        <w:t>Working Groups (o</w:t>
      </w:r>
      <w:r w:rsidR="00211331" w:rsidRPr="00666B27">
        <w:rPr>
          <w:szCs w:val="20"/>
          <w:lang w:val="en-GB"/>
        </w:rPr>
        <w:t>n LED L</w:t>
      </w:r>
      <w:r w:rsidR="00C03C12" w:rsidRPr="00666B27">
        <w:rPr>
          <w:szCs w:val="20"/>
          <w:lang w:val="en-GB"/>
        </w:rPr>
        <w:t xml:space="preserve">ighting, </w:t>
      </w:r>
      <w:r w:rsidR="00211331" w:rsidRPr="00666B27">
        <w:rPr>
          <w:szCs w:val="20"/>
          <w:lang w:val="en-GB"/>
        </w:rPr>
        <w:t>on D</w:t>
      </w:r>
      <w:r w:rsidR="00C03C12" w:rsidRPr="00666B27">
        <w:rPr>
          <w:szCs w:val="20"/>
          <w:lang w:val="en-GB"/>
        </w:rPr>
        <w:t xml:space="preserve">istribution </w:t>
      </w:r>
      <w:r w:rsidR="00C45283" w:rsidRPr="00666B27">
        <w:rPr>
          <w:noProof/>
          <w:szCs w:val="20"/>
          <w:lang w:val="en-GB"/>
        </w:rPr>
        <w:t>T</w:t>
      </w:r>
      <w:r w:rsidR="00C03C12" w:rsidRPr="00666B27">
        <w:rPr>
          <w:noProof/>
          <w:szCs w:val="20"/>
          <w:lang w:val="en-GB"/>
        </w:rPr>
        <w:t>ransformers</w:t>
      </w:r>
      <w:r w:rsidR="00211331" w:rsidRPr="00666B27">
        <w:rPr>
          <w:szCs w:val="20"/>
          <w:lang w:val="en-GB"/>
        </w:rPr>
        <w:t>, and on Financing</w:t>
      </w:r>
      <w:r w:rsidR="00C03C12" w:rsidRPr="00666B27">
        <w:rPr>
          <w:szCs w:val="20"/>
          <w:lang w:val="en-GB"/>
        </w:rPr>
        <w:t xml:space="preserve">) </w:t>
      </w:r>
      <w:r w:rsidR="00D56C07" w:rsidRPr="00666B27">
        <w:rPr>
          <w:szCs w:val="20"/>
          <w:lang w:val="en-GB"/>
        </w:rPr>
        <w:t xml:space="preserve">will consist of representatives from </w:t>
      </w:r>
      <w:r w:rsidR="00C03C12" w:rsidRPr="00666B27">
        <w:rPr>
          <w:szCs w:val="20"/>
          <w:lang w:val="en-GB"/>
        </w:rPr>
        <w:t>DoE, DTI</w:t>
      </w:r>
      <w:r w:rsidR="00D56C07" w:rsidRPr="00666B27">
        <w:rPr>
          <w:szCs w:val="20"/>
          <w:lang w:val="en-GB"/>
        </w:rPr>
        <w:t xml:space="preserve">, UNDP, </w:t>
      </w:r>
      <w:r w:rsidR="00C03C12" w:rsidRPr="00666B27">
        <w:rPr>
          <w:szCs w:val="20"/>
          <w:lang w:val="en-GB"/>
        </w:rPr>
        <w:t xml:space="preserve">DBSA, </w:t>
      </w:r>
      <w:r w:rsidR="00D56C07" w:rsidRPr="00666B27">
        <w:rPr>
          <w:szCs w:val="20"/>
          <w:lang w:val="en-GB"/>
        </w:rPr>
        <w:t>other relevant government agencies</w:t>
      </w:r>
      <w:r w:rsidR="00C03C12" w:rsidRPr="00666B27">
        <w:rPr>
          <w:szCs w:val="20"/>
          <w:lang w:val="en-GB"/>
        </w:rPr>
        <w:t xml:space="preserve"> (represented in the PSC)</w:t>
      </w:r>
      <w:r w:rsidR="00D56C07" w:rsidRPr="00666B27">
        <w:rPr>
          <w:szCs w:val="20"/>
          <w:lang w:val="en-GB"/>
        </w:rPr>
        <w:t xml:space="preserve">, </w:t>
      </w:r>
      <w:r w:rsidR="00C03C12" w:rsidRPr="00666B27">
        <w:rPr>
          <w:szCs w:val="20"/>
          <w:lang w:val="en-GB"/>
        </w:rPr>
        <w:t xml:space="preserve">Eskom, </w:t>
      </w:r>
      <w:r w:rsidR="00D56C07" w:rsidRPr="00666B27">
        <w:rPr>
          <w:szCs w:val="20"/>
          <w:lang w:val="en-GB"/>
        </w:rPr>
        <w:t>research and educational organizations, NGOs</w:t>
      </w:r>
      <w:r w:rsidR="00C03C12" w:rsidRPr="00666B27">
        <w:rPr>
          <w:szCs w:val="20"/>
          <w:lang w:val="en-GB"/>
        </w:rPr>
        <w:t>, lamp suppliers and distributors</w:t>
      </w:r>
      <w:r w:rsidR="00D56C07" w:rsidRPr="00666B27">
        <w:rPr>
          <w:szCs w:val="20"/>
          <w:lang w:val="en-GB"/>
        </w:rPr>
        <w:t xml:space="preserve">, </w:t>
      </w:r>
      <w:r w:rsidR="00C03C12" w:rsidRPr="00666B27">
        <w:rPr>
          <w:szCs w:val="20"/>
          <w:lang w:val="en-GB"/>
        </w:rPr>
        <w:t xml:space="preserve">transformer manufacturers, local government associations, </w:t>
      </w:r>
      <w:r w:rsidR="00D56C07" w:rsidRPr="00666B27">
        <w:rPr>
          <w:szCs w:val="20"/>
          <w:lang w:val="en-GB"/>
        </w:rPr>
        <w:t xml:space="preserve">and other relevant stakeholders to be agreed by the </w:t>
      </w:r>
      <w:r w:rsidR="00845C9E" w:rsidRPr="00666B27">
        <w:rPr>
          <w:szCs w:val="20"/>
          <w:lang w:val="en-GB"/>
        </w:rPr>
        <w:t>Board, t</w:t>
      </w:r>
      <w:r w:rsidR="00D56C07" w:rsidRPr="00666B27">
        <w:rPr>
          <w:szCs w:val="20"/>
          <w:lang w:val="en-GB"/>
        </w:rPr>
        <w:t xml:space="preserve">echnical experts may be invited in to discuss specific issues. Indicative Terms of Reference are as follows. These will be reviewed by the </w:t>
      </w:r>
      <w:r w:rsidR="00C03C12" w:rsidRPr="00666B27">
        <w:rPr>
          <w:szCs w:val="20"/>
          <w:lang w:val="en-GB"/>
        </w:rPr>
        <w:t>PSC</w:t>
      </w:r>
      <w:r w:rsidR="00D56C07" w:rsidRPr="00666B27">
        <w:rPr>
          <w:szCs w:val="20"/>
          <w:lang w:val="en-GB"/>
        </w:rPr>
        <w:t xml:space="preserve"> during project inception and may be extended as necessary.</w:t>
      </w:r>
      <w:r w:rsidR="00845C9E" w:rsidRPr="00666B27">
        <w:rPr>
          <w:szCs w:val="20"/>
          <w:lang w:val="en-GB"/>
        </w:rPr>
        <w:t xml:space="preserve"> Tasks will include:</w:t>
      </w:r>
    </w:p>
    <w:p w:rsidR="00D56C07" w:rsidRPr="00666B27" w:rsidRDefault="00D56C07" w:rsidP="00CC6AD9">
      <w:pPr>
        <w:pStyle w:val="ListParagraph"/>
        <w:numPr>
          <w:ilvl w:val="0"/>
          <w:numId w:val="13"/>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Review planned activities and ensure that they are technically sound and that, wherever possible, there is integration and synergy between the various project components during planning and implementation;</w:t>
      </w:r>
    </w:p>
    <w:p w:rsidR="00D56C07" w:rsidRPr="00666B27" w:rsidRDefault="005F42EA" w:rsidP="00CC6AD9">
      <w:pPr>
        <w:pStyle w:val="ListParagraph"/>
        <w:numPr>
          <w:ilvl w:val="0"/>
          <w:numId w:val="13"/>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P</w:t>
      </w:r>
      <w:r w:rsidR="00D56C07" w:rsidRPr="00666B27">
        <w:rPr>
          <w:rFonts w:ascii="Calibri" w:hAnsi="Calibri" w:cs="Arial"/>
          <w:iCs/>
          <w:noProof/>
          <w:sz w:val="20"/>
          <w:szCs w:val="20"/>
          <w:lang w:val="en-GB" w:eastAsia="zh-CN"/>
        </w:rPr>
        <w:t xml:space="preserve">romote technical coordination between institutions, where such coordination is necessary and where opportunities for synergy and sharing of lessons exist; </w:t>
      </w:r>
    </w:p>
    <w:p w:rsidR="00D56C07" w:rsidRPr="00666B27" w:rsidRDefault="005F42EA" w:rsidP="00CC6AD9">
      <w:pPr>
        <w:pStyle w:val="ListParagraph"/>
        <w:numPr>
          <w:ilvl w:val="0"/>
          <w:numId w:val="13"/>
        </w:numPr>
        <w:contextualSpacing/>
        <w:jc w:val="both"/>
        <w:rPr>
          <w:rFonts w:ascii="Calibri" w:hAnsi="Calibri" w:cs="Arial"/>
          <w:b/>
          <w:iCs/>
          <w:noProof/>
          <w:sz w:val="20"/>
          <w:szCs w:val="20"/>
          <w:lang w:val="en-GB" w:eastAsia="zh-CN"/>
        </w:rPr>
      </w:pPr>
      <w:r w:rsidRPr="00666B27">
        <w:rPr>
          <w:rFonts w:ascii="Calibri" w:hAnsi="Calibri"/>
          <w:sz w:val="20"/>
          <w:szCs w:val="20"/>
          <w:lang w:val="en-GB"/>
        </w:rPr>
        <w:t>P</w:t>
      </w:r>
      <w:r w:rsidR="00D56C07" w:rsidRPr="00666B27">
        <w:rPr>
          <w:rFonts w:ascii="Calibri" w:hAnsi="Calibri"/>
          <w:sz w:val="20"/>
          <w:szCs w:val="20"/>
          <w:lang w:val="en-GB"/>
        </w:rPr>
        <w:t>rovide technical advice and guidance on specific issues concerning</w:t>
      </w:r>
      <w:r w:rsidR="00C03C12" w:rsidRPr="00666B27">
        <w:rPr>
          <w:rFonts w:ascii="Calibri" w:hAnsi="Calibri"/>
          <w:sz w:val="20"/>
          <w:szCs w:val="20"/>
          <w:lang w:val="en-GB"/>
        </w:rPr>
        <w:t xml:space="preserve"> LED and efficient lighting and/or efficient power distribution and transformers, </w:t>
      </w:r>
      <w:proofErr w:type="gramStart"/>
      <w:r w:rsidR="00C03C12" w:rsidRPr="00666B27">
        <w:rPr>
          <w:rFonts w:ascii="Calibri" w:hAnsi="Calibri"/>
          <w:sz w:val="20"/>
          <w:szCs w:val="20"/>
          <w:lang w:val="en-GB"/>
        </w:rPr>
        <w:t>in particular on</w:t>
      </w:r>
      <w:proofErr w:type="gramEnd"/>
      <w:r w:rsidR="00C03C12" w:rsidRPr="00666B27">
        <w:rPr>
          <w:rFonts w:ascii="Calibri" w:hAnsi="Calibri"/>
          <w:sz w:val="20"/>
          <w:szCs w:val="20"/>
          <w:lang w:val="en-GB"/>
        </w:rPr>
        <w:t xml:space="preserve"> the formulation of standards and </w:t>
      </w:r>
      <w:r w:rsidR="00C03C12" w:rsidRPr="00666B27">
        <w:rPr>
          <w:rFonts w:ascii="Calibri" w:hAnsi="Calibri"/>
          <w:noProof/>
          <w:sz w:val="20"/>
          <w:szCs w:val="20"/>
          <w:lang w:val="en-GB"/>
        </w:rPr>
        <w:t>labelling</w:t>
      </w:r>
      <w:r w:rsidR="00C03C12" w:rsidRPr="00666B27">
        <w:rPr>
          <w:rFonts w:ascii="Calibri" w:hAnsi="Calibri"/>
          <w:sz w:val="20"/>
          <w:szCs w:val="20"/>
          <w:lang w:val="en-GB"/>
        </w:rPr>
        <w:t xml:space="preserve"> of these devices, and the monitoring, verification</w:t>
      </w:r>
      <w:r w:rsidR="00C45283" w:rsidRPr="00666B27">
        <w:rPr>
          <w:rFonts w:ascii="Calibri" w:hAnsi="Calibri"/>
          <w:sz w:val="20"/>
          <w:szCs w:val="20"/>
          <w:lang w:val="en-GB"/>
        </w:rPr>
        <w:t>,</w:t>
      </w:r>
      <w:r w:rsidR="00C03C12" w:rsidRPr="00666B27">
        <w:rPr>
          <w:rFonts w:ascii="Calibri" w:hAnsi="Calibri"/>
          <w:sz w:val="20"/>
          <w:szCs w:val="20"/>
          <w:lang w:val="en-GB"/>
        </w:rPr>
        <w:t xml:space="preserve"> </w:t>
      </w:r>
      <w:r w:rsidR="00C03C12" w:rsidRPr="00666B27">
        <w:rPr>
          <w:rFonts w:ascii="Calibri" w:hAnsi="Calibri"/>
          <w:noProof/>
          <w:sz w:val="20"/>
          <w:szCs w:val="20"/>
          <w:lang w:val="en-GB"/>
        </w:rPr>
        <w:t>and</w:t>
      </w:r>
      <w:r w:rsidR="00C03C12" w:rsidRPr="00666B27">
        <w:rPr>
          <w:rFonts w:ascii="Calibri" w:hAnsi="Calibri"/>
          <w:sz w:val="20"/>
          <w:szCs w:val="20"/>
          <w:lang w:val="en-GB"/>
        </w:rPr>
        <w:t xml:space="preserve"> enforcement</w:t>
      </w:r>
      <w:r w:rsidR="00BC2716" w:rsidRPr="00666B27">
        <w:rPr>
          <w:rFonts w:ascii="Calibri" w:hAnsi="Calibri"/>
          <w:sz w:val="20"/>
          <w:szCs w:val="20"/>
          <w:lang w:val="en-GB"/>
        </w:rPr>
        <w:t xml:space="preserve">; </w:t>
      </w:r>
    </w:p>
    <w:p w:rsidR="00845C9E" w:rsidRPr="00666B27" w:rsidRDefault="00845C9E" w:rsidP="00CC6AD9">
      <w:pPr>
        <w:pStyle w:val="ListParagraph"/>
        <w:numPr>
          <w:ilvl w:val="0"/>
          <w:numId w:val="13"/>
        </w:numPr>
        <w:contextualSpacing/>
        <w:jc w:val="both"/>
        <w:rPr>
          <w:rFonts w:ascii="Calibri" w:hAnsi="Calibri" w:cs="Arial"/>
          <w:b/>
          <w:iCs/>
          <w:noProof/>
          <w:sz w:val="20"/>
          <w:szCs w:val="20"/>
          <w:lang w:val="en-GB" w:eastAsia="zh-CN"/>
        </w:rPr>
      </w:pPr>
      <w:r w:rsidRPr="00666B27">
        <w:rPr>
          <w:rFonts w:ascii="Calibri" w:hAnsi="Calibri" w:cs="Arial"/>
          <w:iCs/>
          <w:noProof/>
          <w:sz w:val="20"/>
          <w:szCs w:val="20"/>
          <w:lang w:val="en-GB" w:eastAsia="zh-CN"/>
        </w:rPr>
        <w:t>Support linkage between the DBSA-managed EEFI (Component 3) and othe</w:t>
      </w:r>
      <w:r w:rsidR="00C45283" w:rsidRPr="00666B27">
        <w:rPr>
          <w:rFonts w:ascii="Calibri" w:hAnsi="Calibri" w:cs="Arial"/>
          <w:iCs/>
          <w:noProof/>
          <w:sz w:val="20"/>
          <w:szCs w:val="20"/>
          <w:lang w:val="en-GB" w:eastAsia="zh-CN"/>
        </w:rPr>
        <w:t>r</w:t>
      </w:r>
      <w:r w:rsidRPr="00666B27">
        <w:rPr>
          <w:rFonts w:ascii="Calibri" w:hAnsi="Calibri" w:cs="Arial"/>
          <w:iCs/>
          <w:noProof/>
          <w:sz w:val="20"/>
          <w:szCs w:val="20"/>
          <w:lang w:val="en-GB" w:eastAsia="zh-CN"/>
        </w:rPr>
        <w:t xml:space="preserve"> Project activities</w:t>
      </w:r>
    </w:p>
    <w:p w:rsidR="00BC2716" w:rsidRPr="00666B27" w:rsidRDefault="00BC2716" w:rsidP="00CC6AD9">
      <w:pPr>
        <w:pStyle w:val="ListParagraph"/>
        <w:numPr>
          <w:ilvl w:val="0"/>
          <w:numId w:val="13"/>
        </w:numPr>
        <w:contextualSpacing/>
        <w:jc w:val="both"/>
        <w:rPr>
          <w:rFonts w:ascii="Calibri" w:hAnsi="Calibri" w:cs="Arial"/>
          <w:b/>
          <w:iCs/>
          <w:noProof/>
          <w:sz w:val="20"/>
          <w:szCs w:val="20"/>
          <w:lang w:val="en-GB" w:eastAsia="zh-CN"/>
        </w:rPr>
      </w:pPr>
      <w:r w:rsidRPr="00666B27">
        <w:rPr>
          <w:rFonts w:ascii="Calibri" w:hAnsi="Calibri"/>
          <w:sz w:val="20"/>
          <w:szCs w:val="20"/>
          <w:lang w:val="en-GB"/>
        </w:rPr>
        <w:t>Provide advice and guidance on the Project’s capacity building needs and training, and the implementation of stakeholder outreach (consumer awareness, knowledge</w:t>
      </w:r>
      <w:r w:rsidR="00C45283" w:rsidRPr="00666B27">
        <w:rPr>
          <w:rFonts w:ascii="Calibri" w:hAnsi="Calibri"/>
          <w:sz w:val="20"/>
          <w:szCs w:val="20"/>
          <w:lang w:val="en-GB"/>
        </w:rPr>
        <w:t>,</w:t>
      </w:r>
      <w:r w:rsidRPr="00666B27">
        <w:rPr>
          <w:rFonts w:ascii="Calibri" w:hAnsi="Calibri"/>
          <w:sz w:val="20"/>
          <w:szCs w:val="20"/>
          <w:lang w:val="en-GB"/>
        </w:rPr>
        <w:t xml:space="preserve"> </w:t>
      </w:r>
      <w:r w:rsidRPr="00666B27">
        <w:rPr>
          <w:rFonts w:ascii="Calibri" w:hAnsi="Calibri"/>
          <w:noProof/>
          <w:sz w:val="20"/>
          <w:szCs w:val="20"/>
          <w:lang w:val="en-GB"/>
        </w:rPr>
        <w:t>and</w:t>
      </w:r>
      <w:r w:rsidRPr="00666B27">
        <w:rPr>
          <w:rFonts w:ascii="Calibri" w:hAnsi="Calibri"/>
          <w:sz w:val="20"/>
          <w:szCs w:val="20"/>
          <w:lang w:val="en-GB"/>
        </w:rPr>
        <w:t xml:space="preserve"> information of municipalities);</w:t>
      </w:r>
    </w:p>
    <w:p w:rsidR="00D56C07" w:rsidRPr="00666B27" w:rsidRDefault="005F42EA" w:rsidP="00CC6AD9">
      <w:pPr>
        <w:pStyle w:val="ListParagraph"/>
        <w:numPr>
          <w:ilvl w:val="0"/>
          <w:numId w:val="13"/>
        </w:numPr>
        <w:contextualSpacing/>
        <w:jc w:val="both"/>
        <w:rPr>
          <w:rFonts w:ascii="Calibri" w:hAnsi="Calibri" w:cs="Arial"/>
          <w:b/>
          <w:iCs/>
          <w:noProof/>
          <w:sz w:val="20"/>
          <w:szCs w:val="20"/>
          <w:lang w:val="en-GB" w:eastAsia="zh-CN"/>
        </w:rPr>
      </w:pPr>
      <w:r w:rsidRPr="00666B27">
        <w:rPr>
          <w:rFonts w:ascii="Calibri" w:hAnsi="Calibri"/>
          <w:sz w:val="20"/>
          <w:szCs w:val="20"/>
          <w:lang w:val="en-GB"/>
        </w:rPr>
        <w:t>S</w:t>
      </w:r>
      <w:r w:rsidR="00D56C07" w:rsidRPr="00666B27">
        <w:rPr>
          <w:rFonts w:ascii="Calibri" w:hAnsi="Calibri"/>
          <w:sz w:val="20"/>
          <w:szCs w:val="20"/>
          <w:lang w:val="en-GB"/>
        </w:rPr>
        <w:t>hare information on project progress and lessons learned with related stakeholders at the national level;</w:t>
      </w:r>
    </w:p>
    <w:p w:rsidR="00D56C07" w:rsidRPr="00666B27" w:rsidRDefault="005F42EA" w:rsidP="00CC6AD9">
      <w:pPr>
        <w:pStyle w:val="ListParagraph"/>
        <w:numPr>
          <w:ilvl w:val="0"/>
          <w:numId w:val="13"/>
        </w:numPr>
        <w:contextualSpacing/>
        <w:jc w:val="both"/>
        <w:rPr>
          <w:rFonts w:ascii="Calibri" w:hAnsi="Calibri" w:cs="Arial"/>
          <w:iCs/>
          <w:noProof/>
          <w:sz w:val="20"/>
          <w:szCs w:val="20"/>
          <w:lang w:val="en-GB" w:eastAsia="zh-CN"/>
        </w:rPr>
      </w:pPr>
      <w:r w:rsidRPr="00666B27">
        <w:rPr>
          <w:rFonts w:ascii="Calibri" w:hAnsi="Calibri" w:cs="Arial"/>
          <w:iCs/>
          <w:noProof/>
          <w:sz w:val="20"/>
          <w:szCs w:val="20"/>
          <w:lang w:val="en-GB" w:eastAsia="zh-CN"/>
        </w:rPr>
        <w:t>T</w:t>
      </w:r>
      <w:r w:rsidR="00C03C12" w:rsidRPr="00666B27">
        <w:rPr>
          <w:rFonts w:ascii="Calibri" w:hAnsi="Calibri" w:cs="Arial"/>
          <w:iCs/>
          <w:noProof/>
          <w:sz w:val="20"/>
          <w:szCs w:val="20"/>
          <w:lang w:val="en-GB" w:eastAsia="zh-CN"/>
        </w:rPr>
        <w:t xml:space="preserve">he Working Group </w:t>
      </w:r>
      <w:r w:rsidR="00D56C07" w:rsidRPr="00666B27">
        <w:rPr>
          <w:rFonts w:ascii="Calibri" w:hAnsi="Calibri" w:cs="Arial"/>
          <w:iCs/>
          <w:noProof/>
          <w:sz w:val="20"/>
          <w:szCs w:val="20"/>
          <w:lang w:val="en-GB" w:eastAsia="zh-CN"/>
        </w:rPr>
        <w:t>or a subset of its members may be requested to undertake specific project-related tasks, such as preparing or reviewing analytical reports, strategies and action plans, etc.;</w:t>
      </w:r>
    </w:p>
    <w:p w:rsidR="00BC2716" w:rsidRPr="00666B27" w:rsidRDefault="00BC2716" w:rsidP="007031B3">
      <w:pPr>
        <w:contextualSpacing/>
        <w:rPr>
          <w:rFonts w:cs="Arial"/>
          <w:iCs/>
          <w:noProof/>
          <w:szCs w:val="20"/>
          <w:lang w:val="en-GB" w:eastAsia="zh-CN"/>
        </w:rPr>
      </w:pPr>
    </w:p>
    <w:p w:rsidR="00D56C07" w:rsidRPr="00666B27" w:rsidRDefault="008E049F">
      <w:pPr>
        <w:spacing w:after="0"/>
        <w:rPr>
          <w:rFonts w:cs="Arial"/>
          <w:b/>
          <w:iCs/>
          <w:noProof/>
          <w:szCs w:val="20"/>
          <w:lang w:val="en-GB" w:eastAsia="zh-CN"/>
        </w:rPr>
      </w:pPr>
      <w:bookmarkStart w:id="188" w:name="_Toc404634830"/>
      <w:r w:rsidRPr="00666B27">
        <w:rPr>
          <w:rFonts w:cs="Arial"/>
          <w:b/>
          <w:iCs/>
          <w:noProof/>
          <w:szCs w:val="20"/>
          <w:lang w:val="en-GB" w:eastAsia="zh-CN"/>
        </w:rPr>
        <w:t xml:space="preserve">National </w:t>
      </w:r>
      <w:r w:rsidR="00D56C07" w:rsidRPr="00666B27">
        <w:rPr>
          <w:rFonts w:cs="Arial"/>
          <w:b/>
          <w:iCs/>
          <w:noProof/>
          <w:szCs w:val="20"/>
          <w:lang w:val="en-GB" w:eastAsia="zh-CN"/>
        </w:rPr>
        <w:t>Project Director</w:t>
      </w:r>
      <w:bookmarkEnd w:id="188"/>
      <w:r w:rsidR="00D56C07" w:rsidRPr="00666B27">
        <w:rPr>
          <w:rFonts w:cs="Arial"/>
          <w:b/>
          <w:iCs/>
          <w:noProof/>
          <w:szCs w:val="20"/>
          <w:lang w:val="en-GB" w:eastAsia="zh-CN"/>
        </w:rPr>
        <w:t xml:space="preserve"> </w:t>
      </w:r>
    </w:p>
    <w:p w:rsidR="00E85916" w:rsidRPr="00666B27" w:rsidRDefault="00E85916">
      <w:pPr>
        <w:spacing w:after="0"/>
        <w:rPr>
          <w:rFonts w:cs="Arial"/>
          <w:noProof/>
          <w:szCs w:val="20"/>
          <w:u w:val="single"/>
          <w:lang w:val="en-GB" w:eastAsia="zh-CN"/>
        </w:rPr>
      </w:pPr>
    </w:p>
    <w:p w:rsidR="00D56C07" w:rsidRPr="00666B27" w:rsidRDefault="00D56C07">
      <w:pPr>
        <w:spacing w:after="0"/>
        <w:rPr>
          <w:rFonts w:cs="Arial"/>
          <w:noProof/>
          <w:szCs w:val="20"/>
          <w:u w:val="single"/>
          <w:lang w:val="en-GB" w:eastAsia="zh-CN"/>
        </w:rPr>
      </w:pPr>
      <w:r w:rsidRPr="00666B27">
        <w:rPr>
          <w:rFonts w:cs="Arial"/>
          <w:noProof/>
          <w:szCs w:val="20"/>
          <w:u w:val="single"/>
          <w:lang w:val="en-GB" w:eastAsia="zh-CN"/>
        </w:rPr>
        <w:t>Background</w:t>
      </w:r>
    </w:p>
    <w:p w:rsidR="00D56C07" w:rsidRPr="00666B27" w:rsidRDefault="00D56C07">
      <w:pPr>
        <w:spacing w:after="0"/>
        <w:rPr>
          <w:rFonts w:cs="Arial"/>
          <w:noProof/>
          <w:szCs w:val="20"/>
          <w:lang w:val="en-GB" w:eastAsia="zh-CN"/>
        </w:rPr>
      </w:pPr>
      <w:r w:rsidRPr="00666B27">
        <w:rPr>
          <w:rFonts w:cs="Arial"/>
          <w:noProof/>
          <w:szCs w:val="20"/>
          <w:lang w:val="en-GB" w:eastAsia="zh-CN"/>
        </w:rPr>
        <w:t xml:space="preserve">The </w:t>
      </w:r>
      <w:r w:rsidR="008E049F" w:rsidRPr="00666B27">
        <w:rPr>
          <w:rFonts w:cs="Arial"/>
          <w:noProof/>
          <w:szCs w:val="20"/>
          <w:lang w:val="en-GB" w:eastAsia="zh-CN"/>
        </w:rPr>
        <w:t xml:space="preserve">Director of the Clean Energy Branch, </w:t>
      </w:r>
      <w:r w:rsidR="00E85916" w:rsidRPr="00666B27">
        <w:rPr>
          <w:rFonts w:cs="Arial"/>
          <w:noProof/>
          <w:szCs w:val="20"/>
          <w:lang w:val="en-GB" w:eastAsia="zh-CN"/>
        </w:rPr>
        <w:t>or another senior official from the Department of Energy,</w:t>
      </w:r>
      <w:r w:rsidRPr="00666B27">
        <w:rPr>
          <w:rFonts w:cs="Arial"/>
          <w:noProof/>
          <w:szCs w:val="20"/>
          <w:lang w:val="en-GB" w:eastAsia="zh-CN"/>
        </w:rPr>
        <w:t xml:space="preserve"> </w:t>
      </w:r>
      <w:r w:rsidR="008E049F" w:rsidRPr="00666B27">
        <w:rPr>
          <w:rFonts w:cs="Arial"/>
          <w:noProof/>
          <w:szCs w:val="20"/>
          <w:lang w:val="en-GB" w:eastAsia="zh-CN"/>
        </w:rPr>
        <w:t xml:space="preserve"> will be ap</w:t>
      </w:r>
      <w:r w:rsidR="00E94DDD" w:rsidRPr="00666B27">
        <w:rPr>
          <w:rFonts w:cs="Arial"/>
          <w:noProof/>
          <w:szCs w:val="20"/>
          <w:lang w:val="en-GB" w:eastAsia="zh-CN"/>
        </w:rPr>
        <w:t>pointed as Nati</w:t>
      </w:r>
      <w:r w:rsidR="008E049F" w:rsidRPr="00666B27">
        <w:rPr>
          <w:rFonts w:cs="Arial"/>
          <w:noProof/>
          <w:szCs w:val="20"/>
          <w:lang w:val="en-GB" w:eastAsia="zh-CN"/>
        </w:rPr>
        <w:t xml:space="preserve">onal Project Director (NPD), </w:t>
      </w:r>
      <w:r w:rsidR="00E94DDD" w:rsidRPr="00666B27">
        <w:rPr>
          <w:rFonts w:cs="Arial"/>
          <w:noProof/>
          <w:szCs w:val="20"/>
          <w:lang w:val="en-GB" w:eastAsia="zh-CN"/>
        </w:rPr>
        <w:t>by the Director</w:t>
      </w:r>
      <w:r w:rsidR="00C45283" w:rsidRPr="00666B27">
        <w:rPr>
          <w:rFonts w:cs="Arial"/>
          <w:noProof/>
          <w:szCs w:val="20"/>
          <w:lang w:val="en-GB" w:eastAsia="zh-CN"/>
        </w:rPr>
        <w:t>-</w:t>
      </w:r>
      <w:r w:rsidR="00E94DDD" w:rsidRPr="00666B27">
        <w:rPr>
          <w:rFonts w:cs="Arial"/>
          <w:noProof/>
          <w:szCs w:val="20"/>
          <w:lang w:val="en-GB" w:eastAsia="zh-CN"/>
        </w:rPr>
        <w:t xml:space="preserve">General of the Department of Energy, in consultation with the UNDP </w:t>
      </w:r>
      <w:r w:rsidR="00E94DDD" w:rsidRPr="00666B27">
        <w:rPr>
          <w:rFonts w:cs="Arial"/>
          <w:noProof/>
          <w:szCs w:val="20"/>
          <w:lang w:val="en-GB" w:eastAsia="zh-CN"/>
        </w:rPr>
        <w:lastRenderedPageBreak/>
        <w:t xml:space="preserve">Country Office and DBSA. He/she </w:t>
      </w:r>
      <w:r w:rsidRPr="00666B27">
        <w:rPr>
          <w:rFonts w:cs="Arial"/>
          <w:noProof/>
          <w:szCs w:val="20"/>
          <w:lang w:val="en-GB" w:eastAsia="zh-CN"/>
        </w:rPr>
        <w:t xml:space="preserve">will be accountable to </w:t>
      </w:r>
      <w:r w:rsidR="00E85916" w:rsidRPr="00666B27">
        <w:rPr>
          <w:rFonts w:cs="Arial"/>
          <w:noProof/>
          <w:szCs w:val="20"/>
          <w:lang w:val="en-GB" w:eastAsia="zh-CN"/>
        </w:rPr>
        <w:t xml:space="preserve">the Department of Energy, DBSA </w:t>
      </w:r>
      <w:r w:rsidRPr="00666B27">
        <w:rPr>
          <w:rFonts w:cs="Arial"/>
          <w:noProof/>
          <w:szCs w:val="20"/>
          <w:lang w:val="en-GB" w:eastAsia="zh-CN"/>
        </w:rPr>
        <w:t xml:space="preserve">and UNDP for the achievement of objectives and results in the assigned Project. </w:t>
      </w:r>
      <w:r w:rsidR="00E94DDD" w:rsidRPr="00666B27">
        <w:rPr>
          <w:rFonts w:cs="Arial"/>
          <w:noProof/>
          <w:szCs w:val="20"/>
          <w:lang w:val="en-GB" w:eastAsia="zh-CN"/>
        </w:rPr>
        <w:t>The NPD will be financed through national government funds (co-financing).</w:t>
      </w:r>
    </w:p>
    <w:p w:rsidR="00D56C07" w:rsidRPr="00666B27" w:rsidRDefault="00D56C07">
      <w:pPr>
        <w:spacing w:after="0"/>
        <w:rPr>
          <w:rFonts w:cs="Arial"/>
          <w:noProof/>
          <w:szCs w:val="20"/>
          <w:lang w:val="en-GB" w:eastAsia="zh-CN"/>
        </w:rPr>
      </w:pPr>
    </w:p>
    <w:p w:rsidR="00D56C07" w:rsidRPr="00666B27" w:rsidRDefault="00D56C07">
      <w:pPr>
        <w:spacing w:after="0"/>
        <w:rPr>
          <w:rFonts w:cs="Arial"/>
          <w:noProof/>
          <w:szCs w:val="20"/>
          <w:u w:val="single"/>
          <w:lang w:val="en-GB" w:eastAsia="zh-CN"/>
        </w:rPr>
      </w:pPr>
      <w:r w:rsidRPr="00666B27">
        <w:rPr>
          <w:rFonts w:cs="Arial"/>
          <w:noProof/>
          <w:szCs w:val="20"/>
          <w:u w:val="single"/>
          <w:lang w:val="en-GB" w:eastAsia="zh-CN"/>
        </w:rPr>
        <w:t>Duties and Responsibilities</w:t>
      </w:r>
    </w:p>
    <w:p w:rsidR="00D56C07" w:rsidRPr="00666B27" w:rsidRDefault="00D56C07" w:rsidP="00CC6AD9">
      <w:pPr>
        <w:numPr>
          <w:ilvl w:val="0"/>
          <w:numId w:val="11"/>
        </w:numPr>
        <w:spacing w:after="0"/>
        <w:rPr>
          <w:rFonts w:cs="Arial"/>
          <w:noProof/>
          <w:szCs w:val="20"/>
          <w:lang w:val="en-GB" w:eastAsia="zh-CN"/>
        </w:rPr>
      </w:pPr>
      <w:r w:rsidRPr="00666B27">
        <w:rPr>
          <w:rFonts w:cs="Arial"/>
          <w:noProof/>
          <w:szCs w:val="20"/>
          <w:lang w:val="en-GB" w:eastAsia="zh-CN"/>
        </w:rPr>
        <w:t xml:space="preserve">Serve as </w:t>
      </w:r>
      <w:r w:rsidR="00CA6C73" w:rsidRPr="00666B27">
        <w:rPr>
          <w:rFonts w:cs="Arial"/>
          <w:noProof/>
          <w:szCs w:val="20"/>
          <w:lang w:val="en-GB" w:eastAsia="zh-CN"/>
        </w:rPr>
        <w:t>chairperson and member of the Project Steering Committee.</w:t>
      </w:r>
    </w:p>
    <w:p w:rsidR="00D56C07" w:rsidRPr="00666B27" w:rsidRDefault="00D56C07" w:rsidP="00CC6AD9">
      <w:pPr>
        <w:numPr>
          <w:ilvl w:val="0"/>
          <w:numId w:val="11"/>
        </w:numPr>
        <w:spacing w:after="0"/>
        <w:rPr>
          <w:rFonts w:cs="Arial"/>
          <w:noProof/>
          <w:szCs w:val="20"/>
          <w:lang w:val="en-GB" w:eastAsia="zh-CN"/>
        </w:rPr>
      </w:pPr>
      <w:r w:rsidRPr="00666B27">
        <w:rPr>
          <w:rFonts w:cs="Arial"/>
          <w:noProof/>
          <w:szCs w:val="20"/>
          <w:lang w:val="en-GB" w:eastAsia="zh-CN"/>
        </w:rPr>
        <w:t>Supervise compliance with objectives, activities, results, and all fundamental aspects of project execution as specified in the project document.</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 xml:space="preserve">The National Project Director (NPD) bears the responsibility for coordination of project realization, in the name of the Department of Energy, and supervise compliance of project implementation with Government policies, procedures and ensure consistency with national plans and strategies. </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provides for coordination among project action steps and corresponding steps made in the framework of government programs and relevant incentives.</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will coordinate with national governmental representatives on legal and financial aspects of project activities.</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presents various forms of support for the successful execution of the project and corresponding steps after completion of the project, including the long-term persistence of project results</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may delegate all needed authority to the Project Manager, for the successful implementation of the project.</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provides for delivery of financial information (incl</w:t>
      </w:r>
      <w:r w:rsidR="00C45283" w:rsidRPr="00666B27">
        <w:rPr>
          <w:rFonts w:cs="Arial"/>
          <w:noProof/>
          <w:szCs w:val="20"/>
          <w:lang w:val="en-GB" w:eastAsia="zh-CN"/>
        </w:rPr>
        <w:t>ud</w:t>
      </w:r>
      <w:r w:rsidRPr="00666B27">
        <w:rPr>
          <w:rFonts w:cs="Arial"/>
          <w:noProof/>
          <w:szCs w:val="20"/>
          <w:lang w:val="en-GB" w:eastAsia="zh-CN"/>
        </w:rPr>
        <w:t>ing co-financing inputs)</w:t>
      </w:r>
      <w:r w:rsidR="00387429" w:rsidRPr="00666B27">
        <w:rPr>
          <w:rFonts w:cs="Arial"/>
          <w:noProof/>
          <w:szCs w:val="20"/>
          <w:lang w:val="en-GB" w:eastAsia="zh-CN"/>
        </w:rPr>
        <w:t xml:space="preserve"> and</w:t>
      </w:r>
      <w:r w:rsidRPr="00666B27">
        <w:rPr>
          <w:rFonts w:cs="Arial"/>
          <w:noProof/>
          <w:szCs w:val="20"/>
          <w:lang w:val="en-GB" w:eastAsia="zh-CN"/>
        </w:rPr>
        <w:t xml:space="preserve"> confirms financial and substantive reports on project realization.</w:t>
      </w:r>
      <w:r w:rsidR="008041EB" w:rsidRPr="00666B27">
        <w:rPr>
          <w:rFonts w:cs="Arial"/>
          <w:noProof/>
          <w:szCs w:val="20"/>
          <w:lang w:val="en-GB" w:eastAsia="zh-CN"/>
        </w:rPr>
        <w:t>; t</w:t>
      </w:r>
      <w:r w:rsidRPr="00666B27">
        <w:rPr>
          <w:rFonts w:cs="Arial"/>
          <w:noProof/>
          <w:szCs w:val="20"/>
          <w:lang w:val="en-GB" w:eastAsia="zh-CN"/>
        </w:rPr>
        <w:t>he NPD confirms Annual Work Plans and project budgets.</w:t>
      </w:r>
    </w:p>
    <w:p w:rsidR="00CA6C73"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provides for collaboration with partners and coordination with departments of the National Implementing Agency and will coordinate and supervise government staff inputs to project implementation.</w:t>
      </w:r>
    </w:p>
    <w:p w:rsidR="00D56C07" w:rsidRPr="00666B27" w:rsidRDefault="00CA6C73" w:rsidP="00CC6AD9">
      <w:pPr>
        <w:numPr>
          <w:ilvl w:val="0"/>
          <w:numId w:val="11"/>
        </w:numPr>
        <w:spacing w:after="0"/>
        <w:rPr>
          <w:rFonts w:cs="Arial"/>
          <w:noProof/>
          <w:szCs w:val="20"/>
          <w:lang w:val="en-GB" w:eastAsia="zh-CN"/>
        </w:rPr>
      </w:pPr>
      <w:r w:rsidRPr="00666B27">
        <w:rPr>
          <w:rFonts w:cs="Arial"/>
          <w:noProof/>
          <w:szCs w:val="20"/>
          <w:lang w:val="en-GB" w:eastAsia="zh-CN"/>
        </w:rPr>
        <w:t>The NPD will p</w:t>
      </w:r>
      <w:r w:rsidR="00D56C07" w:rsidRPr="00666B27">
        <w:rPr>
          <w:rFonts w:cs="Arial"/>
          <w:noProof/>
          <w:szCs w:val="20"/>
          <w:lang w:val="en-GB" w:eastAsia="zh-CN"/>
        </w:rPr>
        <w:t>articipate in project evaluation, testing, and monitoring missions.</w:t>
      </w:r>
    </w:p>
    <w:p w:rsidR="00E85916" w:rsidRPr="00666B27" w:rsidRDefault="00E85916" w:rsidP="007031B3">
      <w:pPr>
        <w:spacing w:after="0"/>
        <w:rPr>
          <w:rFonts w:cs="Arial"/>
          <w:b/>
          <w:iCs/>
          <w:noProof/>
          <w:szCs w:val="20"/>
          <w:lang w:val="en-GB" w:eastAsia="zh-CN"/>
        </w:rPr>
      </w:pPr>
    </w:p>
    <w:p w:rsidR="00D56C07" w:rsidRPr="00666B27" w:rsidRDefault="00D56C07">
      <w:pPr>
        <w:spacing w:after="0"/>
        <w:rPr>
          <w:rFonts w:cs="Arial"/>
          <w:b/>
          <w:iCs/>
          <w:noProof/>
          <w:szCs w:val="20"/>
          <w:lang w:val="en-GB" w:eastAsia="zh-CN"/>
        </w:rPr>
      </w:pPr>
      <w:bookmarkStart w:id="189" w:name="_Toc404634831"/>
      <w:r w:rsidRPr="00666B27">
        <w:rPr>
          <w:rFonts w:cs="Arial"/>
          <w:b/>
          <w:iCs/>
          <w:noProof/>
          <w:szCs w:val="20"/>
          <w:lang w:val="en-GB" w:eastAsia="zh-CN"/>
        </w:rPr>
        <w:t>Project Manager</w:t>
      </w:r>
      <w:bookmarkEnd w:id="189"/>
    </w:p>
    <w:p w:rsidR="00E85916" w:rsidRPr="00666B27" w:rsidRDefault="00E85916">
      <w:pPr>
        <w:spacing w:after="0"/>
        <w:rPr>
          <w:rFonts w:cs="Arial"/>
          <w:noProof/>
          <w:szCs w:val="20"/>
          <w:u w:val="single"/>
          <w:lang w:val="en-GB" w:eastAsia="zh-CN"/>
        </w:rPr>
      </w:pPr>
    </w:p>
    <w:p w:rsidR="00D56C07" w:rsidRPr="00666B27" w:rsidRDefault="00D56C07">
      <w:pPr>
        <w:spacing w:after="0"/>
        <w:rPr>
          <w:rFonts w:cs="Arial"/>
          <w:noProof/>
          <w:szCs w:val="20"/>
          <w:u w:val="single"/>
          <w:lang w:val="en-GB" w:eastAsia="zh-CN"/>
        </w:rPr>
      </w:pPr>
      <w:r w:rsidRPr="00666B27">
        <w:rPr>
          <w:rFonts w:cs="Arial"/>
          <w:noProof/>
          <w:szCs w:val="20"/>
          <w:u w:val="single"/>
          <w:lang w:val="en-GB" w:eastAsia="zh-CN"/>
        </w:rPr>
        <w:t>Background</w:t>
      </w:r>
    </w:p>
    <w:p w:rsidR="00E85916" w:rsidRPr="00666B27" w:rsidRDefault="00D56C07">
      <w:pPr>
        <w:spacing w:after="0"/>
        <w:rPr>
          <w:rFonts w:cs="Arial"/>
          <w:noProof/>
          <w:szCs w:val="20"/>
          <w:lang w:val="en-GB" w:eastAsia="zh-CN"/>
        </w:rPr>
      </w:pPr>
      <w:r w:rsidRPr="00666B27">
        <w:rPr>
          <w:rFonts w:cs="Arial"/>
          <w:noProof/>
          <w:szCs w:val="20"/>
          <w:lang w:val="en-GB" w:eastAsia="zh-CN"/>
        </w:rPr>
        <w:t xml:space="preserve">The Project Manager (PM), will be locally recruited following UNDP procedure, with input to the selection process from the Project partners. The position will be appointed by the project implementing agencies and funded entirely from the Project. </w:t>
      </w:r>
      <w:r w:rsidR="00E85916" w:rsidRPr="00666B27">
        <w:rPr>
          <w:rFonts w:cs="Arial"/>
          <w:noProof/>
          <w:szCs w:val="20"/>
          <w:lang w:val="en-GB" w:eastAsia="zh-CN"/>
        </w:rPr>
        <w:t xml:space="preserve">Under the supervision of the UNDP Country Office </w:t>
      </w:r>
      <w:r w:rsidR="00211331" w:rsidRPr="00666B27">
        <w:rPr>
          <w:rFonts w:cs="Arial"/>
          <w:noProof/>
          <w:szCs w:val="20"/>
          <w:lang w:val="en-GB" w:eastAsia="zh-CN"/>
        </w:rPr>
        <w:t>(</w:t>
      </w:r>
      <w:r w:rsidR="00E85916" w:rsidRPr="00666B27">
        <w:rPr>
          <w:rFonts w:cs="Arial"/>
          <w:noProof/>
          <w:szCs w:val="20"/>
          <w:lang w:val="en-GB" w:eastAsia="zh-CN"/>
        </w:rPr>
        <w:t>Environment &amp; Energy Unit) and DSBA</w:t>
      </w:r>
      <w:r w:rsidR="00211331" w:rsidRPr="00666B27">
        <w:rPr>
          <w:rFonts w:cs="Arial"/>
          <w:noProof/>
          <w:szCs w:val="20"/>
          <w:lang w:val="en-GB" w:eastAsia="zh-CN"/>
        </w:rPr>
        <w:t xml:space="preserve"> (Climate Finance Unit), </w:t>
      </w:r>
      <w:r w:rsidR="00E85916" w:rsidRPr="00666B27">
        <w:rPr>
          <w:rFonts w:cs="Arial"/>
          <w:noProof/>
          <w:szCs w:val="20"/>
          <w:lang w:val="en-GB" w:eastAsia="zh-CN"/>
        </w:rPr>
        <w:t>t</w:t>
      </w:r>
      <w:r w:rsidRPr="00666B27">
        <w:rPr>
          <w:rFonts w:cs="Arial"/>
          <w:noProof/>
          <w:szCs w:val="20"/>
          <w:lang w:val="en-GB" w:eastAsia="zh-CN"/>
        </w:rPr>
        <w:t>he PM will be responsible for the overall management of the Project</w:t>
      </w:r>
      <w:r w:rsidR="008507EB" w:rsidRPr="00666B27">
        <w:rPr>
          <w:rFonts w:cs="Arial"/>
          <w:noProof/>
          <w:szCs w:val="20"/>
          <w:lang w:val="en-GB" w:eastAsia="zh-CN"/>
        </w:rPr>
        <w:t xml:space="preserve"> and day-to-day oversight</w:t>
      </w:r>
      <w:r w:rsidRPr="00666B27">
        <w:rPr>
          <w:rFonts w:cs="Arial"/>
          <w:noProof/>
          <w:szCs w:val="20"/>
          <w:lang w:val="en-GB" w:eastAsia="zh-CN"/>
        </w:rPr>
        <w:t xml:space="preserve">, including the mobilisation of all project inputs, supervision over project staff, consultants and sub-contractors. </w:t>
      </w:r>
    </w:p>
    <w:p w:rsidR="00E85916" w:rsidRPr="00666B27" w:rsidRDefault="00E85916">
      <w:pPr>
        <w:spacing w:after="0"/>
        <w:rPr>
          <w:rFonts w:cs="Arial"/>
          <w:noProof/>
          <w:szCs w:val="20"/>
          <w:lang w:val="en-GB" w:eastAsia="zh-CN"/>
        </w:rPr>
      </w:pPr>
    </w:p>
    <w:p w:rsidR="00D56C07" w:rsidRPr="00666B27" w:rsidRDefault="00D56C07">
      <w:pPr>
        <w:spacing w:after="0"/>
        <w:rPr>
          <w:rFonts w:cs="Arial"/>
          <w:noProof/>
          <w:szCs w:val="20"/>
          <w:lang w:val="en-GB" w:eastAsia="zh-CN"/>
        </w:rPr>
      </w:pPr>
      <w:r w:rsidRPr="00666B27">
        <w:rPr>
          <w:rFonts w:cs="Arial"/>
          <w:noProof/>
          <w:szCs w:val="20"/>
          <w:lang w:val="en-GB" w:eastAsia="zh-CN"/>
        </w:rPr>
        <w:t xml:space="preserve">The PM will report to the </w:t>
      </w:r>
      <w:r w:rsidR="008E049F" w:rsidRPr="00666B27">
        <w:rPr>
          <w:rFonts w:cs="Arial"/>
          <w:noProof/>
          <w:szCs w:val="20"/>
          <w:lang w:val="en-GB" w:eastAsia="zh-CN"/>
        </w:rPr>
        <w:t>N</w:t>
      </w:r>
      <w:r w:rsidRPr="00666B27">
        <w:rPr>
          <w:rFonts w:cs="Arial"/>
          <w:noProof/>
          <w:szCs w:val="20"/>
          <w:lang w:val="en-GB" w:eastAsia="zh-CN"/>
        </w:rPr>
        <w:t>PD in close consultation with the assigned UNDP Programme Manager for all of the Project’s substantive and administrative issues. From the strategic point of view of the Project, the PM will report on a periodic basis to the</w:t>
      </w:r>
      <w:r w:rsidR="008041EB" w:rsidRPr="00666B27">
        <w:rPr>
          <w:rFonts w:cs="Arial"/>
          <w:noProof/>
          <w:szCs w:val="20"/>
          <w:lang w:val="en-GB" w:eastAsia="zh-CN"/>
        </w:rPr>
        <w:t xml:space="preserve"> PSC</w:t>
      </w:r>
      <w:r w:rsidRPr="00666B27">
        <w:rPr>
          <w:rFonts w:cs="Arial"/>
          <w:noProof/>
          <w:szCs w:val="20"/>
          <w:lang w:val="en-GB" w:eastAsia="zh-CN"/>
        </w:rPr>
        <w:t>, based on the PD’s instruction</w:t>
      </w:r>
      <w:r w:rsidR="008041EB" w:rsidRPr="00666B27">
        <w:rPr>
          <w:rFonts w:cs="Arial"/>
          <w:noProof/>
          <w:szCs w:val="20"/>
          <w:lang w:val="en-GB" w:eastAsia="zh-CN"/>
        </w:rPr>
        <w:t xml:space="preserve"> and will</w:t>
      </w:r>
      <w:r w:rsidRPr="00666B27">
        <w:rPr>
          <w:rFonts w:cs="Arial"/>
          <w:noProof/>
          <w:szCs w:val="20"/>
          <w:lang w:val="en-GB" w:eastAsia="zh-CN"/>
        </w:rPr>
        <w:t xml:space="preserve"> support the </w:t>
      </w:r>
      <w:r w:rsidR="008041EB" w:rsidRPr="00666B27">
        <w:rPr>
          <w:rFonts w:cs="Arial"/>
          <w:noProof/>
          <w:szCs w:val="20"/>
          <w:lang w:val="en-GB" w:eastAsia="zh-CN"/>
        </w:rPr>
        <w:t>N</w:t>
      </w:r>
      <w:r w:rsidRPr="00666B27">
        <w:rPr>
          <w:rFonts w:cs="Arial"/>
          <w:noProof/>
          <w:szCs w:val="20"/>
          <w:lang w:val="en-GB" w:eastAsia="zh-CN"/>
        </w:rPr>
        <w:t>PD</w:t>
      </w:r>
      <w:r w:rsidR="008041EB" w:rsidRPr="00666B27">
        <w:rPr>
          <w:rFonts w:cs="Arial"/>
          <w:noProof/>
          <w:szCs w:val="20"/>
          <w:lang w:val="en-GB" w:eastAsia="zh-CN"/>
        </w:rPr>
        <w:t>.</w:t>
      </w:r>
      <w:r w:rsidRPr="00666B27">
        <w:rPr>
          <w:rFonts w:cs="Arial"/>
          <w:noProof/>
          <w:szCs w:val="20"/>
          <w:lang w:val="en-GB" w:eastAsia="zh-CN"/>
        </w:rPr>
        <w:t xml:space="preserve"> The PM will perform a liaison role with the government, </w:t>
      </w:r>
      <w:r w:rsidR="008507EB" w:rsidRPr="00666B27">
        <w:rPr>
          <w:rFonts w:cs="Arial"/>
          <w:noProof/>
          <w:szCs w:val="20"/>
          <w:lang w:val="en-GB" w:eastAsia="zh-CN"/>
        </w:rPr>
        <w:t>DBSA, UNDP and other UN Environment</w:t>
      </w:r>
      <w:r w:rsidRPr="00666B27">
        <w:rPr>
          <w:rFonts w:cs="Arial"/>
          <w:noProof/>
          <w:szCs w:val="20"/>
          <w:lang w:val="en-GB" w:eastAsia="zh-CN"/>
        </w:rPr>
        <w:t xml:space="preserve">, CSOs and project partners, and maintain close collaboration with other donor agencies providing co-financing. The PM will work closely with the </w:t>
      </w:r>
      <w:r w:rsidR="00211331" w:rsidRPr="00666B27">
        <w:rPr>
          <w:rFonts w:cs="Arial"/>
          <w:noProof/>
          <w:szCs w:val="20"/>
          <w:lang w:val="en-GB" w:eastAsia="zh-CN"/>
        </w:rPr>
        <w:t xml:space="preserve">three </w:t>
      </w:r>
      <w:r w:rsidR="008507EB" w:rsidRPr="00666B27">
        <w:rPr>
          <w:rFonts w:cs="Arial"/>
          <w:noProof/>
          <w:szCs w:val="20"/>
          <w:lang w:val="en-GB" w:eastAsia="zh-CN"/>
        </w:rPr>
        <w:t>Working Groups.</w:t>
      </w:r>
    </w:p>
    <w:p w:rsidR="00D56C07" w:rsidRPr="00666B27" w:rsidRDefault="00D56C07">
      <w:pPr>
        <w:spacing w:after="0"/>
        <w:rPr>
          <w:rFonts w:cs="Arial"/>
          <w:noProof/>
          <w:szCs w:val="20"/>
          <w:lang w:val="en-GB" w:eastAsia="zh-CN"/>
        </w:rPr>
      </w:pPr>
      <w:r w:rsidRPr="00666B27">
        <w:rPr>
          <w:rFonts w:cs="Arial"/>
          <w:noProof/>
          <w:szCs w:val="20"/>
          <w:lang w:val="en-GB" w:eastAsia="zh-CN"/>
        </w:rPr>
        <w:tab/>
      </w:r>
    </w:p>
    <w:p w:rsidR="00D56C07" w:rsidRPr="00666B27" w:rsidRDefault="00D56C07">
      <w:pPr>
        <w:spacing w:after="0"/>
        <w:rPr>
          <w:rFonts w:cs="Arial"/>
          <w:noProof/>
          <w:szCs w:val="20"/>
          <w:u w:val="single"/>
          <w:lang w:val="en-GB" w:eastAsia="zh-CN"/>
        </w:rPr>
      </w:pPr>
      <w:r w:rsidRPr="00666B27">
        <w:rPr>
          <w:rFonts w:cs="Arial"/>
          <w:noProof/>
          <w:szCs w:val="20"/>
          <w:u w:val="single"/>
          <w:lang w:val="en-GB" w:eastAsia="zh-CN"/>
        </w:rPr>
        <w:t>Duties and Responsibilities</w:t>
      </w:r>
    </w:p>
    <w:p w:rsidR="00D56C07" w:rsidRPr="00666B27" w:rsidRDefault="00D56C07" w:rsidP="00CC6AD9">
      <w:pPr>
        <w:numPr>
          <w:ilvl w:val="0"/>
          <w:numId w:val="12"/>
        </w:numPr>
        <w:spacing w:after="0"/>
        <w:rPr>
          <w:rFonts w:cs="Arial"/>
          <w:noProof/>
          <w:szCs w:val="20"/>
          <w:lang w:val="en-GB" w:eastAsia="zh-CN"/>
        </w:rPr>
      </w:pPr>
      <w:r w:rsidRPr="00666B27">
        <w:rPr>
          <w:rFonts w:cs="Arial"/>
          <w:noProof/>
          <w:szCs w:val="20"/>
          <w:lang w:val="en-GB" w:eastAsia="zh-CN"/>
        </w:rPr>
        <w:t>Plan the activities of the project and monitor progress against the approved work-plan.</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 xml:space="preserve">Supervise and coordinate the production of project outputs, as per the </w:t>
      </w:r>
      <w:r w:rsidR="008041EB" w:rsidRPr="00666B27">
        <w:rPr>
          <w:rFonts w:cs="Arial"/>
          <w:noProof/>
          <w:szCs w:val="20"/>
          <w:lang w:val="en-GB" w:eastAsia="zh-CN"/>
        </w:rPr>
        <w:t xml:space="preserve">ProDoc in a timely and </w:t>
      </w:r>
      <w:r w:rsidRPr="00666B27">
        <w:rPr>
          <w:rFonts w:cs="Arial"/>
          <w:noProof/>
          <w:szCs w:val="20"/>
          <w:lang w:val="en-GB" w:eastAsia="zh-CN"/>
        </w:rPr>
        <w:t>quality fashion.</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 xml:space="preserve">Coordinate all project inputs and ensure that they adhere to UNDP procedures </w:t>
      </w:r>
      <w:r w:rsidR="008507EB" w:rsidRPr="00666B27">
        <w:rPr>
          <w:rFonts w:cs="Arial"/>
          <w:noProof/>
          <w:szCs w:val="20"/>
          <w:lang w:val="en-GB" w:eastAsia="zh-CN"/>
        </w:rPr>
        <w:t>(</w:t>
      </w:r>
      <w:r w:rsidRPr="00666B27">
        <w:rPr>
          <w:rFonts w:cs="Arial"/>
          <w:noProof/>
          <w:szCs w:val="20"/>
          <w:lang w:val="en-GB" w:eastAsia="zh-CN"/>
        </w:rPr>
        <w:t>for nationally executed projects</w:t>
      </w:r>
      <w:r w:rsidR="008507EB" w:rsidRPr="00666B27">
        <w:rPr>
          <w:rFonts w:cs="Arial"/>
          <w:noProof/>
          <w:szCs w:val="20"/>
          <w:lang w:val="en-GB" w:eastAsia="zh-CN"/>
        </w:rPr>
        <w:t>) and in accordance with DBSA procedures.</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Supervise and coordinate the work of all project staff, consultants and sub-contractors</w:t>
      </w:r>
    </w:p>
    <w:p w:rsidR="008507EB"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Coordinate the recruitment and selection of project personnel, consultants and sub-contracts, including drafting terms of reference and work specifications and overseeing all contractors’ work.</w:t>
      </w:r>
    </w:p>
    <w:p w:rsidR="008507EB" w:rsidRPr="00666B27" w:rsidRDefault="008507EB" w:rsidP="00CC6AD9">
      <w:pPr>
        <w:numPr>
          <w:ilvl w:val="0"/>
          <w:numId w:val="9"/>
        </w:numPr>
        <w:spacing w:after="0"/>
        <w:rPr>
          <w:rFonts w:cs="Arial"/>
          <w:noProof/>
          <w:szCs w:val="20"/>
          <w:lang w:val="en-GB" w:eastAsia="zh-CN"/>
        </w:rPr>
      </w:pPr>
      <w:r w:rsidRPr="00666B27">
        <w:rPr>
          <w:rFonts w:cs="Arial"/>
          <w:noProof/>
          <w:szCs w:val="20"/>
          <w:lang w:val="en-GB" w:eastAsia="zh-CN"/>
        </w:rPr>
        <w:t>Facilitate administrative support to subcontractors and training activities supported by the Project.</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Manage requests for the provision</w:t>
      </w:r>
      <w:r w:rsidR="008507EB" w:rsidRPr="00666B27">
        <w:rPr>
          <w:rFonts w:cs="Arial"/>
          <w:noProof/>
          <w:szCs w:val="20"/>
          <w:lang w:val="en-GB" w:eastAsia="zh-CN"/>
        </w:rPr>
        <w:t xml:space="preserve"> of financial resources by UNDP and DBSA</w:t>
      </w:r>
      <w:r w:rsidRPr="00666B27">
        <w:rPr>
          <w:rFonts w:cs="Arial"/>
          <w:noProof/>
          <w:szCs w:val="20"/>
          <w:lang w:val="en-GB" w:eastAsia="zh-CN"/>
        </w:rPr>
        <w:t xml:space="preserve"> through </w:t>
      </w:r>
      <w:r w:rsidR="00C45283" w:rsidRPr="00666B27">
        <w:rPr>
          <w:rFonts w:cs="Arial"/>
          <w:noProof/>
          <w:szCs w:val="20"/>
          <w:lang w:val="en-GB" w:eastAsia="zh-CN"/>
        </w:rPr>
        <w:t xml:space="preserve">the </w:t>
      </w:r>
      <w:r w:rsidRPr="00666B27">
        <w:rPr>
          <w:rFonts w:cs="Arial"/>
          <w:noProof/>
          <w:szCs w:val="20"/>
          <w:lang w:val="en-GB" w:eastAsia="zh-CN"/>
        </w:rPr>
        <w:t>advance of funds, direct payments, or reimbursement using the UNDP</w:t>
      </w:r>
      <w:r w:rsidR="008507EB" w:rsidRPr="00666B27">
        <w:rPr>
          <w:rFonts w:cs="Arial"/>
          <w:noProof/>
          <w:szCs w:val="20"/>
          <w:lang w:val="en-GB" w:eastAsia="zh-CN"/>
        </w:rPr>
        <w:t>/DBSA</w:t>
      </w:r>
      <w:r w:rsidR="00C45283" w:rsidRPr="00666B27">
        <w:rPr>
          <w:rFonts w:cs="Arial"/>
          <w:noProof/>
          <w:szCs w:val="20"/>
          <w:lang w:val="en-GB" w:eastAsia="zh-CN"/>
        </w:rPr>
        <w:t>-</w:t>
      </w:r>
      <w:r w:rsidRPr="00666B27">
        <w:rPr>
          <w:rFonts w:cs="Arial"/>
          <w:noProof/>
          <w:szCs w:val="20"/>
          <w:lang w:val="en-GB" w:eastAsia="zh-CN"/>
        </w:rPr>
        <w:t>provided format.</w:t>
      </w:r>
    </w:p>
    <w:p w:rsidR="00D56C07" w:rsidRPr="00666B27" w:rsidRDefault="008507EB" w:rsidP="00CC6AD9">
      <w:pPr>
        <w:numPr>
          <w:ilvl w:val="0"/>
          <w:numId w:val="9"/>
        </w:numPr>
        <w:spacing w:after="0"/>
        <w:rPr>
          <w:rFonts w:cs="Arial"/>
          <w:noProof/>
          <w:szCs w:val="20"/>
          <w:lang w:val="en-GB" w:eastAsia="zh-CN"/>
        </w:rPr>
      </w:pPr>
      <w:r w:rsidRPr="00666B27">
        <w:rPr>
          <w:rFonts w:cs="Arial"/>
          <w:noProof/>
          <w:szCs w:val="20"/>
          <w:lang w:val="en-GB" w:eastAsia="zh-CN"/>
        </w:rPr>
        <w:t>Oversight of the overall administration of the Project Management Unit; and m</w:t>
      </w:r>
      <w:r w:rsidR="00D56C07" w:rsidRPr="00666B27">
        <w:rPr>
          <w:rFonts w:cs="Arial"/>
          <w:noProof/>
          <w:szCs w:val="20"/>
          <w:lang w:val="en-GB" w:eastAsia="zh-CN"/>
        </w:rPr>
        <w:t>onitor financial resources and accounting to ensure accuracy and reliability of financial reports, submitted on a quarterly basis.</w:t>
      </w:r>
    </w:p>
    <w:p w:rsidR="008507EB" w:rsidRPr="00666B27" w:rsidRDefault="008507EB" w:rsidP="00CC6AD9">
      <w:pPr>
        <w:numPr>
          <w:ilvl w:val="0"/>
          <w:numId w:val="9"/>
        </w:numPr>
        <w:spacing w:after="0"/>
        <w:rPr>
          <w:rFonts w:cs="Arial"/>
          <w:noProof/>
          <w:szCs w:val="20"/>
          <w:lang w:val="en-GB" w:eastAsia="zh-CN"/>
        </w:rPr>
      </w:pPr>
      <w:r w:rsidRPr="00666B27">
        <w:rPr>
          <w:rFonts w:cs="Arial"/>
          <w:noProof/>
          <w:szCs w:val="20"/>
          <w:lang w:val="en-GB" w:eastAsia="zh-CN"/>
        </w:rPr>
        <w:t>Prepare, revise and submit project work and financial plans, as required by the PSC, DBSA</w:t>
      </w:r>
      <w:r w:rsidR="00C45283" w:rsidRPr="00666B27">
        <w:rPr>
          <w:rFonts w:cs="Arial"/>
          <w:noProof/>
          <w:szCs w:val="20"/>
          <w:lang w:val="en-GB" w:eastAsia="zh-CN"/>
        </w:rPr>
        <w:t>,</w:t>
      </w:r>
      <w:r w:rsidRPr="00666B27">
        <w:rPr>
          <w:rFonts w:cs="Arial"/>
          <w:noProof/>
          <w:szCs w:val="20"/>
          <w:lang w:val="en-GB" w:eastAsia="zh-CN"/>
        </w:rPr>
        <w:t xml:space="preserve"> and UNDP. </w:t>
      </w:r>
    </w:p>
    <w:p w:rsidR="00387429" w:rsidRPr="00666B27" w:rsidRDefault="00387429" w:rsidP="00CC6AD9">
      <w:pPr>
        <w:numPr>
          <w:ilvl w:val="0"/>
          <w:numId w:val="9"/>
        </w:numPr>
        <w:spacing w:after="0"/>
        <w:rPr>
          <w:rFonts w:cs="Arial"/>
          <w:noProof/>
          <w:szCs w:val="20"/>
          <w:lang w:val="en-GB" w:eastAsia="zh-CN"/>
        </w:rPr>
      </w:pPr>
      <w:r w:rsidRPr="00666B27">
        <w:rPr>
          <w:rFonts w:cs="Arial"/>
          <w:noProof/>
          <w:szCs w:val="20"/>
          <w:lang w:val="en-GB" w:eastAsia="zh-CN"/>
        </w:rPr>
        <w:lastRenderedPageBreak/>
        <w:t>Oversee and ensure timely submission of the Inception Report, Project Implementation Report, Technical reports, quarterly financial reports, and other reports as may be required by DBSA, UNDP, GEF and other oversight agencies.</w:t>
      </w:r>
    </w:p>
    <w:p w:rsidR="00387429" w:rsidRPr="00666B27" w:rsidRDefault="00387429" w:rsidP="00CC6AD9">
      <w:pPr>
        <w:numPr>
          <w:ilvl w:val="0"/>
          <w:numId w:val="9"/>
        </w:numPr>
        <w:spacing w:after="0"/>
        <w:rPr>
          <w:rFonts w:cs="Arial"/>
          <w:noProof/>
          <w:szCs w:val="20"/>
          <w:lang w:val="en-GB" w:eastAsia="zh-CN"/>
        </w:rPr>
      </w:pPr>
      <w:r w:rsidRPr="00666B27">
        <w:rPr>
          <w:rFonts w:cs="Arial"/>
          <w:noProof/>
          <w:szCs w:val="20"/>
          <w:lang w:val="en-GB" w:eastAsia="zh-CN"/>
        </w:rPr>
        <w:t>Disseminate project reports and respond to queries from concerned stakeholders.</w:t>
      </w:r>
    </w:p>
    <w:p w:rsidR="00387429" w:rsidRPr="00666B27" w:rsidRDefault="00387429" w:rsidP="00CC6AD9">
      <w:pPr>
        <w:numPr>
          <w:ilvl w:val="0"/>
          <w:numId w:val="9"/>
        </w:numPr>
        <w:spacing w:after="0"/>
        <w:rPr>
          <w:rFonts w:cs="Arial"/>
          <w:noProof/>
          <w:szCs w:val="20"/>
          <w:lang w:val="en-GB" w:eastAsia="zh-CN"/>
        </w:rPr>
      </w:pPr>
      <w:r w:rsidRPr="00666B27">
        <w:rPr>
          <w:rFonts w:cs="Arial"/>
          <w:noProof/>
          <w:szCs w:val="20"/>
          <w:lang w:val="en-GB" w:eastAsia="zh-CN"/>
        </w:rPr>
        <w:t xml:space="preserve">Report progress of </w:t>
      </w:r>
      <w:r w:rsidR="00C45283" w:rsidRPr="00666B27">
        <w:rPr>
          <w:rFonts w:cs="Arial"/>
          <w:noProof/>
          <w:szCs w:val="20"/>
          <w:lang w:val="en-GB" w:eastAsia="zh-CN"/>
        </w:rPr>
        <w:t>the Pr</w:t>
      </w:r>
      <w:r w:rsidRPr="00666B27">
        <w:rPr>
          <w:rFonts w:cs="Arial"/>
          <w:noProof/>
          <w:szCs w:val="20"/>
          <w:lang w:val="en-GB" w:eastAsia="zh-CN"/>
        </w:rPr>
        <w:t>oject to the PSC, and ensure the fulfilment of PSC directives.</w:t>
      </w:r>
    </w:p>
    <w:p w:rsidR="003B2F3A" w:rsidRPr="00666B27" w:rsidRDefault="003B2F3A" w:rsidP="00CC6AD9">
      <w:pPr>
        <w:numPr>
          <w:ilvl w:val="0"/>
          <w:numId w:val="9"/>
        </w:numPr>
        <w:spacing w:after="0"/>
        <w:rPr>
          <w:rFonts w:cs="Arial"/>
          <w:noProof/>
          <w:szCs w:val="20"/>
          <w:lang w:val="en-GB" w:eastAsia="zh-CN"/>
        </w:rPr>
      </w:pPr>
      <w:r w:rsidRPr="00666B27">
        <w:rPr>
          <w:rFonts w:cs="Arial"/>
          <w:noProof/>
          <w:szCs w:val="20"/>
          <w:lang w:val="en-GB" w:eastAsia="zh-CN"/>
        </w:rPr>
        <w:t>Ensure</w:t>
      </w:r>
      <w:r w:rsidR="00C45283" w:rsidRPr="00666B27">
        <w:rPr>
          <w:rFonts w:cs="Arial"/>
          <w:noProof/>
          <w:szCs w:val="20"/>
          <w:lang w:val="en-GB" w:eastAsia="zh-CN"/>
        </w:rPr>
        <w:t xml:space="preserve"> the P</w:t>
      </w:r>
      <w:r w:rsidRPr="00666B27">
        <w:rPr>
          <w:rFonts w:cs="Arial"/>
          <w:noProof/>
          <w:szCs w:val="20"/>
          <w:lang w:val="en-GB" w:eastAsia="zh-CN"/>
        </w:rPr>
        <w:t>roject’s M&amp;E meets the requirements of the Government, the UNDP Country Office, and UNDP-GEF; develop project-specific M&amp;E tools as necessary;</w:t>
      </w:r>
    </w:p>
    <w:p w:rsidR="003B2F3A" w:rsidRPr="00666B27" w:rsidRDefault="003B2F3A" w:rsidP="00CC6AD9">
      <w:pPr>
        <w:numPr>
          <w:ilvl w:val="0"/>
          <w:numId w:val="9"/>
        </w:numPr>
        <w:spacing w:after="0"/>
        <w:rPr>
          <w:rFonts w:cs="Arial"/>
          <w:noProof/>
          <w:szCs w:val="20"/>
          <w:lang w:val="en-GB" w:eastAsia="zh-CN"/>
        </w:rPr>
      </w:pPr>
      <w:r w:rsidRPr="00666B27">
        <w:rPr>
          <w:rFonts w:cs="Arial"/>
          <w:noProof/>
          <w:szCs w:val="20"/>
          <w:lang w:val="en-GB" w:eastAsia="zh-CN"/>
        </w:rPr>
        <w:t xml:space="preserve">Oversee and ensure the implementation of the </w:t>
      </w:r>
      <w:r w:rsidR="00C45283" w:rsidRPr="00666B27">
        <w:rPr>
          <w:rFonts w:cs="Arial"/>
          <w:noProof/>
          <w:szCs w:val="20"/>
          <w:lang w:val="en-GB" w:eastAsia="zh-CN"/>
        </w:rPr>
        <w:t>P</w:t>
      </w:r>
      <w:r w:rsidRPr="00666B27">
        <w:rPr>
          <w:rFonts w:cs="Arial"/>
          <w:noProof/>
          <w:szCs w:val="20"/>
          <w:lang w:val="en-GB" w:eastAsia="zh-CN"/>
        </w:rPr>
        <w:t>roject’s M&amp;E plan, including periodic appraisal of the Project’s Theory of Change and Results Framework with reference to actual and potential project progress and results;</w:t>
      </w:r>
    </w:p>
    <w:p w:rsidR="003B2F3A" w:rsidRPr="00666B27" w:rsidRDefault="003B2F3A" w:rsidP="00CC6AD9">
      <w:pPr>
        <w:numPr>
          <w:ilvl w:val="0"/>
          <w:numId w:val="9"/>
        </w:numPr>
        <w:spacing w:after="0"/>
        <w:rPr>
          <w:rFonts w:cs="Arial"/>
          <w:noProof/>
          <w:szCs w:val="20"/>
          <w:lang w:val="en-GB" w:eastAsia="zh-CN"/>
        </w:rPr>
      </w:pPr>
      <w:r w:rsidRPr="00666B27">
        <w:rPr>
          <w:rFonts w:cs="Arial"/>
          <w:noProof/>
          <w:szCs w:val="20"/>
          <w:lang w:val="en-GB" w:eastAsia="zh-CN"/>
        </w:rPr>
        <w:t>Oversee/develop/coordinate the implementation of the stakeholder engagement plan;</w:t>
      </w:r>
    </w:p>
    <w:p w:rsidR="003B2F3A" w:rsidRPr="00666B27" w:rsidRDefault="003B2F3A" w:rsidP="00CC6AD9">
      <w:pPr>
        <w:numPr>
          <w:ilvl w:val="0"/>
          <w:numId w:val="9"/>
        </w:numPr>
        <w:spacing w:after="0"/>
        <w:rPr>
          <w:rFonts w:cs="Arial"/>
          <w:noProof/>
          <w:szCs w:val="20"/>
          <w:lang w:val="en-GB" w:eastAsia="zh-CN"/>
        </w:rPr>
      </w:pPr>
      <w:r w:rsidRPr="00666B27">
        <w:rPr>
          <w:rFonts w:cs="Arial"/>
          <w:noProof/>
          <w:szCs w:val="20"/>
          <w:lang w:val="en-GB" w:eastAsia="zh-CN"/>
        </w:rPr>
        <w:t>Oversee and guide the design of surveys/ assessments commissioned for monitoring and evaluating project results;</w:t>
      </w:r>
    </w:p>
    <w:p w:rsidR="00387429" w:rsidRPr="00666B27" w:rsidRDefault="00387429" w:rsidP="00CC6AD9">
      <w:pPr>
        <w:numPr>
          <w:ilvl w:val="0"/>
          <w:numId w:val="9"/>
        </w:numPr>
        <w:spacing w:after="0"/>
        <w:rPr>
          <w:rFonts w:cs="Arial"/>
          <w:noProof/>
          <w:szCs w:val="20"/>
          <w:lang w:val="en-GB" w:eastAsia="zh-CN"/>
        </w:rPr>
      </w:pPr>
      <w:r w:rsidRPr="00666B27">
        <w:rPr>
          <w:rFonts w:cs="Arial"/>
          <w:noProof/>
          <w:szCs w:val="20"/>
          <w:lang w:val="en-GB" w:eastAsia="zh-CN"/>
        </w:rPr>
        <w:t>Oversee the exchange and sharing of experiences and lessons learned with relevant community based integrated conservation and development projects nationally and internationally.</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Manage and monitor the project risks initially identified and submit new risks to the project board for consideration and decision on possible actions if required; update the status of these risks by maintaining the project risks log.</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 xml:space="preserve">Liaise with </w:t>
      </w:r>
      <w:r w:rsidR="008507EB" w:rsidRPr="00666B27">
        <w:rPr>
          <w:rFonts w:cs="Arial"/>
          <w:noProof/>
          <w:szCs w:val="20"/>
          <w:lang w:val="en-GB" w:eastAsia="zh-CN"/>
        </w:rPr>
        <w:t xml:space="preserve">DBSA, </w:t>
      </w:r>
      <w:r w:rsidRPr="00666B27">
        <w:rPr>
          <w:rFonts w:cs="Arial"/>
          <w:noProof/>
          <w:szCs w:val="20"/>
          <w:lang w:val="en-GB" w:eastAsia="zh-CN"/>
        </w:rPr>
        <w:t>UNDP, P</w:t>
      </w:r>
      <w:r w:rsidR="008507EB" w:rsidRPr="00666B27">
        <w:rPr>
          <w:rFonts w:cs="Arial"/>
          <w:noProof/>
          <w:szCs w:val="20"/>
          <w:lang w:val="en-GB" w:eastAsia="zh-CN"/>
        </w:rPr>
        <w:t>SC</w:t>
      </w:r>
      <w:r w:rsidRPr="00666B27">
        <w:rPr>
          <w:rFonts w:cs="Arial"/>
          <w:noProof/>
          <w:szCs w:val="20"/>
          <w:lang w:val="en-GB" w:eastAsia="zh-CN"/>
        </w:rPr>
        <w:t>,</w:t>
      </w:r>
      <w:r w:rsidR="00387429" w:rsidRPr="00666B27">
        <w:rPr>
          <w:rFonts w:cs="Arial"/>
          <w:noProof/>
          <w:szCs w:val="20"/>
          <w:lang w:val="en-GB" w:eastAsia="zh-CN"/>
        </w:rPr>
        <w:t xml:space="preserve"> Working Groups,</w:t>
      </w:r>
      <w:r w:rsidRPr="00666B27">
        <w:rPr>
          <w:rFonts w:cs="Arial"/>
          <w:noProof/>
          <w:szCs w:val="20"/>
          <w:lang w:val="en-GB" w:eastAsia="zh-CN"/>
        </w:rPr>
        <w:t xml:space="preserve"> relevant government agencies, and all project partners, including donor organisations and CSOs for effective coordination of all project activities.</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 xml:space="preserve">Assist </w:t>
      </w:r>
      <w:r w:rsidR="00387429" w:rsidRPr="00666B27">
        <w:rPr>
          <w:rFonts w:cs="Arial"/>
          <w:noProof/>
          <w:szCs w:val="20"/>
          <w:lang w:val="en-GB" w:eastAsia="zh-CN"/>
        </w:rPr>
        <w:t>company</w:t>
      </w:r>
      <w:r w:rsidRPr="00666B27">
        <w:rPr>
          <w:rFonts w:cs="Arial"/>
          <w:noProof/>
          <w:szCs w:val="20"/>
          <w:lang w:val="en-GB" w:eastAsia="zh-CN"/>
        </w:rPr>
        <w:t>, munici</w:t>
      </w:r>
      <w:r w:rsidR="00387429" w:rsidRPr="00666B27">
        <w:rPr>
          <w:rFonts w:cs="Arial"/>
          <w:noProof/>
          <w:szCs w:val="20"/>
          <w:lang w:val="en-GB" w:eastAsia="zh-CN"/>
        </w:rPr>
        <w:t xml:space="preserve">palities, CSOs, staff, </w:t>
      </w:r>
      <w:r w:rsidRPr="00666B27">
        <w:rPr>
          <w:rFonts w:cs="Arial"/>
          <w:noProof/>
          <w:szCs w:val="20"/>
          <w:lang w:val="en-GB" w:eastAsia="zh-CN"/>
        </w:rPr>
        <w:t xml:space="preserve">and others with </w:t>
      </w:r>
      <w:r w:rsidR="00C45283" w:rsidRPr="00666B27">
        <w:rPr>
          <w:rFonts w:cs="Arial"/>
          <w:noProof/>
          <w:szCs w:val="20"/>
          <w:lang w:val="en-GB" w:eastAsia="zh-CN"/>
        </w:rPr>
        <w:t xml:space="preserve">the </w:t>
      </w:r>
      <w:r w:rsidRPr="00666B27">
        <w:rPr>
          <w:rFonts w:cs="Arial"/>
          <w:noProof/>
          <w:szCs w:val="20"/>
          <w:lang w:val="en-GB" w:eastAsia="zh-CN"/>
        </w:rPr>
        <w:t>development of essential skills through training workshops and on the job training thereby increasing their institutional capabilities.</w:t>
      </w:r>
    </w:p>
    <w:p w:rsidR="00D56C07"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w:t>
      </w:r>
      <w:r w:rsidR="00C45283" w:rsidRPr="00666B27">
        <w:rPr>
          <w:rFonts w:cs="Arial"/>
          <w:noProof/>
          <w:szCs w:val="20"/>
          <w:lang w:val="en-GB" w:eastAsia="zh-CN"/>
        </w:rPr>
        <w:t>,</w:t>
      </w:r>
      <w:r w:rsidRPr="00666B27">
        <w:rPr>
          <w:rFonts w:cs="Arial"/>
          <w:noProof/>
          <w:szCs w:val="20"/>
          <w:lang w:val="en-GB" w:eastAsia="zh-CN"/>
        </w:rPr>
        <w:t xml:space="preserve"> and advocacy, outreach to social organizations, training, participation in meetings; and access to program benefits.</w:t>
      </w:r>
    </w:p>
    <w:p w:rsidR="00387429" w:rsidRPr="00666B27" w:rsidRDefault="00D56C07" w:rsidP="00CC6AD9">
      <w:pPr>
        <w:numPr>
          <w:ilvl w:val="0"/>
          <w:numId w:val="9"/>
        </w:numPr>
        <w:spacing w:after="0"/>
        <w:rPr>
          <w:rFonts w:cs="Arial"/>
          <w:noProof/>
          <w:szCs w:val="20"/>
          <w:lang w:val="en-GB" w:eastAsia="zh-CN"/>
        </w:rPr>
      </w:pPr>
      <w:r w:rsidRPr="00666B27">
        <w:rPr>
          <w:rFonts w:cs="Arial"/>
          <w:noProof/>
          <w:szCs w:val="20"/>
          <w:lang w:val="en-GB" w:eastAsia="zh-CN"/>
        </w:rPr>
        <w:t>Assists and advises the Project Implementation Units responsible for activity implementation in the target sites.</w:t>
      </w:r>
    </w:p>
    <w:p w:rsidR="00387429" w:rsidRPr="00666B27" w:rsidRDefault="00387429" w:rsidP="00CC6AD9">
      <w:pPr>
        <w:numPr>
          <w:ilvl w:val="0"/>
          <w:numId w:val="9"/>
        </w:numPr>
        <w:spacing w:after="0"/>
        <w:rPr>
          <w:rFonts w:cs="Arial"/>
          <w:noProof/>
          <w:szCs w:val="20"/>
          <w:lang w:val="en-GB" w:eastAsia="zh-CN"/>
        </w:rPr>
      </w:pPr>
      <w:r w:rsidRPr="00666B27">
        <w:rPr>
          <w:rFonts w:cs="Arial"/>
          <w:noProof/>
          <w:szCs w:val="20"/>
          <w:lang w:val="en-GB" w:eastAsia="zh-CN"/>
        </w:rPr>
        <w:t>Regular travel within South Africa to organize and monitor project activity; possible travel outside the country for participation in directly relevant international meetings.</w:t>
      </w:r>
    </w:p>
    <w:p w:rsidR="00D56C07" w:rsidRPr="00666B27" w:rsidRDefault="00D56C07" w:rsidP="007031B3">
      <w:pPr>
        <w:spacing w:after="0"/>
        <w:rPr>
          <w:rFonts w:cs="Arial"/>
          <w:noProof/>
          <w:szCs w:val="20"/>
          <w:lang w:val="en-GB" w:eastAsia="zh-CN"/>
        </w:rPr>
      </w:pPr>
    </w:p>
    <w:p w:rsidR="009B2715" w:rsidRPr="00666B27" w:rsidRDefault="009B2715">
      <w:pPr>
        <w:spacing w:after="0"/>
        <w:rPr>
          <w:rFonts w:cs="Arial"/>
          <w:noProof/>
          <w:szCs w:val="20"/>
          <w:lang w:val="en-GB" w:eastAsia="zh-CN"/>
        </w:rPr>
      </w:pPr>
    </w:p>
    <w:p w:rsidR="00D56C07" w:rsidRPr="00666B27" w:rsidRDefault="008041EB">
      <w:pPr>
        <w:spacing w:after="0"/>
        <w:rPr>
          <w:rFonts w:cs="Arial"/>
          <w:noProof/>
          <w:szCs w:val="20"/>
          <w:u w:val="single"/>
          <w:lang w:val="en-GB" w:eastAsia="zh-CN"/>
        </w:rPr>
      </w:pPr>
      <w:r w:rsidRPr="00666B27">
        <w:rPr>
          <w:rFonts w:cs="Arial"/>
          <w:noProof/>
          <w:szCs w:val="20"/>
          <w:u w:val="single"/>
          <w:lang w:val="en-GB" w:eastAsia="zh-CN"/>
        </w:rPr>
        <w:t>Required skills and expertise; Competencies</w:t>
      </w:r>
    </w:p>
    <w:p w:rsidR="00D56C07" w:rsidRPr="00666B27" w:rsidRDefault="00D56C07">
      <w:pPr>
        <w:numPr>
          <w:ilvl w:val="0"/>
          <w:numId w:val="8"/>
        </w:numPr>
        <w:spacing w:after="0"/>
        <w:rPr>
          <w:rFonts w:cs="Arial"/>
          <w:noProof/>
          <w:szCs w:val="20"/>
          <w:lang w:val="en-GB" w:eastAsia="zh-CN"/>
        </w:rPr>
      </w:pPr>
      <w:r w:rsidRPr="00666B27">
        <w:rPr>
          <w:rFonts w:cs="Arial"/>
          <w:noProof/>
          <w:szCs w:val="20"/>
          <w:lang w:val="en-GB" w:eastAsia="zh-CN"/>
        </w:rPr>
        <w:t xml:space="preserve">A university degree (MSc or PhD) in </w:t>
      </w:r>
      <w:r w:rsidR="00387429" w:rsidRPr="00666B27">
        <w:rPr>
          <w:rFonts w:cs="Arial"/>
          <w:noProof/>
          <w:szCs w:val="20"/>
          <w:lang w:val="en-GB" w:eastAsia="zh-CN"/>
        </w:rPr>
        <w:t>management, engineering, energy, economics, marketing, or another field with direct relevance to the project</w:t>
      </w:r>
    </w:p>
    <w:p w:rsidR="00387429" w:rsidRPr="00666B27" w:rsidRDefault="00387429">
      <w:pPr>
        <w:numPr>
          <w:ilvl w:val="0"/>
          <w:numId w:val="8"/>
        </w:numPr>
        <w:spacing w:after="0"/>
        <w:rPr>
          <w:rFonts w:cs="Arial"/>
          <w:noProof/>
          <w:szCs w:val="20"/>
          <w:lang w:val="en-GB" w:eastAsia="zh-CN"/>
        </w:rPr>
      </w:pPr>
      <w:r w:rsidRPr="00666B27">
        <w:rPr>
          <w:rFonts w:cs="Arial"/>
          <w:noProof/>
          <w:szCs w:val="20"/>
          <w:lang w:val="en-GB" w:eastAsia="zh-CN"/>
        </w:rPr>
        <w:t>At least 10 years of experience in managing large-scale projects on climate change mitigation, energy efficiency, and/or and certification labelling of products in South Afri</w:t>
      </w:r>
      <w:r w:rsidR="005A2639" w:rsidRPr="00666B27">
        <w:rPr>
          <w:rFonts w:cs="Arial"/>
          <w:noProof/>
          <w:szCs w:val="20"/>
          <w:lang w:val="en-GB" w:eastAsia="zh-CN"/>
        </w:rPr>
        <w:t>ca</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At least 5 years of demonstrable project/programme management experience.</w:t>
      </w:r>
    </w:p>
    <w:p w:rsidR="00D56C07" w:rsidRPr="00666B27" w:rsidRDefault="00D56C07" w:rsidP="00CC6AD9">
      <w:pPr>
        <w:numPr>
          <w:ilvl w:val="0"/>
          <w:numId w:val="8"/>
        </w:numPr>
        <w:spacing w:after="0"/>
        <w:rPr>
          <w:rFonts w:cs="Arial"/>
          <w:noProof/>
          <w:szCs w:val="20"/>
          <w:u w:val="single"/>
          <w:lang w:val="en-GB" w:eastAsia="zh-CN"/>
        </w:rPr>
      </w:pPr>
      <w:r w:rsidRPr="00666B27">
        <w:rPr>
          <w:rFonts w:cs="Arial"/>
          <w:noProof/>
          <w:szCs w:val="20"/>
          <w:lang w:val="en-GB" w:eastAsia="zh-CN"/>
        </w:rPr>
        <w:t xml:space="preserve">At least 5 years of experience working with ministries, national or provincial institutions </w:t>
      </w:r>
      <w:r w:rsidR="00BC2716" w:rsidRPr="00666B27">
        <w:rPr>
          <w:rFonts w:cs="Arial"/>
          <w:noProof/>
          <w:szCs w:val="20"/>
          <w:lang w:val="en-GB" w:eastAsia="zh-CN"/>
        </w:rPr>
        <w:t>with relevanc</w:t>
      </w:r>
      <w:r w:rsidR="00387429" w:rsidRPr="00666B27">
        <w:rPr>
          <w:rFonts w:cs="Arial"/>
          <w:noProof/>
          <w:szCs w:val="20"/>
          <w:lang w:val="en-GB" w:eastAsia="zh-CN"/>
        </w:rPr>
        <w:t>e to the project</w:t>
      </w:r>
    </w:p>
    <w:p w:rsidR="00D56C07" w:rsidRPr="00666B27" w:rsidRDefault="00D56C07" w:rsidP="00CC6AD9">
      <w:pPr>
        <w:numPr>
          <w:ilvl w:val="0"/>
          <w:numId w:val="10"/>
        </w:numPr>
        <w:spacing w:after="0"/>
        <w:rPr>
          <w:rFonts w:cs="Arial"/>
          <w:noProof/>
          <w:szCs w:val="20"/>
          <w:lang w:val="en-GB" w:eastAsia="zh-CN"/>
        </w:rPr>
      </w:pPr>
      <w:r w:rsidRPr="00666B27">
        <w:rPr>
          <w:rFonts w:cs="Arial"/>
          <w:noProof/>
          <w:szCs w:val="20"/>
          <w:lang w:val="en-GB" w:eastAsia="zh-CN"/>
        </w:rPr>
        <w:t>Strong leadership, managerial and coordination skills, with a demonstrated ability to effectively coordinate the implementation of large multi-stakeholder projects, including financial and technical aspects.</w:t>
      </w:r>
    </w:p>
    <w:p w:rsidR="00D56C07" w:rsidRPr="00666B27" w:rsidRDefault="00D56C07" w:rsidP="00CC6AD9">
      <w:pPr>
        <w:numPr>
          <w:ilvl w:val="0"/>
          <w:numId w:val="10"/>
        </w:numPr>
        <w:spacing w:after="0"/>
        <w:rPr>
          <w:rFonts w:cs="Arial"/>
          <w:noProof/>
          <w:szCs w:val="20"/>
          <w:lang w:val="en-GB" w:eastAsia="zh-CN"/>
        </w:rPr>
      </w:pPr>
      <w:r w:rsidRPr="00666B27">
        <w:rPr>
          <w:rFonts w:cs="Arial"/>
          <w:noProof/>
          <w:szCs w:val="20"/>
          <w:lang w:val="en-GB" w:eastAsia="zh-CN"/>
        </w:rPr>
        <w:t>Ability to effectively manage technical and administrative teams, work with a wide range of stakeholders across various sectors and at all levels, to develop durable partnerships with collaborating agencies.</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Ability to administer budgets, train and work effectively with counterpart staff at all levels and with all groups involved in the project.</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Ability to coordinate and supervise multiple Project Implementation Units in their implementation of technical activities in partnership with a variety of subnational stakeholder groups, including community and government.</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Strong drafting, presentation and reporting skills.</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Strong communication skills, especially in timely and accurate responses to emails.</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Strong computer skills, in particular</w:t>
      </w:r>
      <w:r w:rsidR="00C45283" w:rsidRPr="00666B27">
        <w:rPr>
          <w:rFonts w:cs="Arial"/>
          <w:noProof/>
          <w:szCs w:val="20"/>
          <w:lang w:val="en-GB" w:eastAsia="zh-CN"/>
        </w:rPr>
        <w:t>,</w:t>
      </w:r>
      <w:r w:rsidRPr="00666B27">
        <w:rPr>
          <w:rFonts w:cs="Arial"/>
          <w:noProof/>
          <w:szCs w:val="20"/>
          <w:lang w:val="en-GB" w:eastAsia="zh-CN"/>
        </w:rPr>
        <w:t xml:space="preserve"> mastery of all applications of the MS Office package and internet search.</w:t>
      </w:r>
    </w:p>
    <w:p w:rsidR="00D56C07" w:rsidRPr="00666B27" w:rsidRDefault="00D56C07" w:rsidP="00CC6AD9">
      <w:pPr>
        <w:numPr>
          <w:ilvl w:val="0"/>
          <w:numId w:val="8"/>
        </w:numPr>
        <w:spacing w:after="0"/>
        <w:rPr>
          <w:rFonts w:cs="Arial"/>
          <w:noProof/>
          <w:szCs w:val="20"/>
          <w:lang w:val="en-GB" w:eastAsia="zh-CN"/>
        </w:rPr>
      </w:pPr>
      <w:r w:rsidRPr="00666B27">
        <w:rPr>
          <w:rFonts w:cs="Arial"/>
          <w:noProof/>
          <w:szCs w:val="20"/>
          <w:lang w:val="en-GB" w:eastAsia="zh-CN"/>
        </w:rPr>
        <w:t>Excellent command of English</w:t>
      </w:r>
      <w:r w:rsidR="00387429" w:rsidRPr="00666B27">
        <w:rPr>
          <w:rFonts w:cs="Arial"/>
          <w:noProof/>
          <w:szCs w:val="20"/>
          <w:lang w:val="en-GB" w:eastAsia="zh-CN"/>
        </w:rPr>
        <w:t>. Knowle</w:t>
      </w:r>
      <w:r w:rsidR="00C45283" w:rsidRPr="00666B27">
        <w:rPr>
          <w:rFonts w:cs="Arial"/>
          <w:noProof/>
          <w:szCs w:val="20"/>
          <w:lang w:val="en-GB" w:eastAsia="zh-CN"/>
        </w:rPr>
        <w:t>dg</w:t>
      </w:r>
      <w:r w:rsidR="00387429" w:rsidRPr="00666B27">
        <w:rPr>
          <w:rFonts w:cs="Arial"/>
          <w:noProof/>
          <w:szCs w:val="20"/>
          <w:lang w:val="en-GB" w:eastAsia="zh-CN"/>
        </w:rPr>
        <w:t>e of other South African languages an advantage.</w:t>
      </w:r>
    </w:p>
    <w:p w:rsidR="00387429" w:rsidRPr="00666B27" w:rsidRDefault="00387429" w:rsidP="007031B3">
      <w:pPr>
        <w:spacing w:after="0"/>
        <w:rPr>
          <w:b/>
          <w:szCs w:val="20"/>
          <w:lang w:val="en-GB"/>
        </w:rPr>
      </w:pPr>
    </w:p>
    <w:p w:rsidR="00D521DF" w:rsidRPr="00666B27" w:rsidRDefault="00D521DF" w:rsidP="00C03C12">
      <w:pPr>
        <w:spacing w:after="0"/>
        <w:rPr>
          <w:b/>
          <w:bCs/>
          <w:szCs w:val="20"/>
          <w:lang w:val="en-GB"/>
        </w:rPr>
      </w:pPr>
    </w:p>
    <w:p w:rsidR="00D521DF" w:rsidRPr="00666B27" w:rsidRDefault="00D521DF" w:rsidP="00C03C12">
      <w:pPr>
        <w:spacing w:after="0"/>
        <w:rPr>
          <w:b/>
          <w:bCs/>
          <w:szCs w:val="20"/>
          <w:lang w:val="en-GB"/>
        </w:rPr>
      </w:pPr>
    </w:p>
    <w:p w:rsidR="006C64A7" w:rsidRPr="00666B27" w:rsidRDefault="006C64A7" w:rsidP="00C03C12">
      <w:pPr>
        <w:spacing w:after="0"/>
        <w:ind w:left="360"/>
        <w:jc w:val="left"/>
        <w:rPr>
          <w:b/>
          <w:i/>
          <w:szCs w:val="20"/>
          <w:lang w:val="en-GB"/>
        </w:rPr>
      </w:pPr>
    </w:p>
    <w:p w:rsidR="00154A8D" w:rsidRPr="00666B27" w:rsidRDefault="00154A8D" w:rsidP="00C03C12">
      <w:pPr>
        <w:spacing w:after="0"/>
        <w:ind w:left="284"/>
        <w:jc w:val="left"/>
        <w:rPr>
          <w:szCs w:val="20"/>
          <w:lang w:val="en-GB"/>
        </w:rPr>
      </w:pPr>
    </w:p>
    <w:p w:rsidR="00CA2834" w:rsidRPr="00666B27" w:rsidRDefault="00AF23A9" w:rsidP="007031B3">
      <w:pPr>
        <w:spacing w:after="0"/>
        <w:rPr>
          <w:b/>
          <w:szCs w:val="20"/>
          <w:lang w:val="en-GB"/>
        </w:rPr>
      </w:pPr>
      <w:r>
        <w:rPr>
          <w:b/>
          <w:szCs w:val="20"/>
          <w:lang w:val="en-GB"/>
        </w:rPr>
        <w:lastRenderedPageBreak/>
        <w:t>Administrative</w:t>
      </w:r>
      <w:r w:rsidRPr="00666B27">
        <w:rPr>
          <w:b/>
          <w:szCs w:val="20"/>
          <w:lang w:val="en-GB"/>
        </w:rPr>
        <w:t xml:space="preserve"> </w:t>
      </w:r>
      <w:r w:rsidR="00CA2834" w:rsidRPr="00666B27">
        <w:rPr>
          <w:b/>
          <w:szCs w:val="20"/>
          <w:lang w:val="en-GB"/>
        </w:rPr>
        <w:t>Assistant</w:t>
      </w:r>
    </w:p>
    <w:p w:rsidR="006C64A7" w:rsidRPr="00666B27" w:rsidRDefault="006C64A7">
      <w:pPr>
        <w:spacing w:after="0"/>
        <w:rPr>
          <w:b/>
          <w:szCs w:val="20"/>
          <w:lang w:val="en-GB"/>
        </w:rPr>
      </w:pPr>
    </w:p>
    <w:p w:rsidR="00CA2834" w:rsidRPr="00666B27" w:rsidRDefault="00CA2834">
      <w:pPr>
        <w:spacing w:after="0"/>
        <w:rPr>
          <w:szCs w:val="20"/>
          <w:lang w:val="en-GB"/>
        </w:rPr>
      </w:pPr>
      <w:r w:rsidRPr="00666B27">
        <w:rPr>
          <w:szCs w:val="20"/>
          <w:lang w:val="en-GB"/>
        </w:rPr>
        <w:t>Under the guidance and supervision of the Project Manager, the Project Assistant will carry out the following</w:t>
      </w:r>
      <w:r w:rsidRPr="00666B27">
        <w:rPr>
          <w:szCs w:val="20"/>
          <w:u w:val="single"/>
          <w:lang w:val="en-GB"/>
        </w:rPr>
        <w:t xml:space="preserve"> tasks:</w:t>
      </w:r>
    </w:p>
    <w:p w:rsidR="00CA2834" w:rsidRPr="00666B27" w:rsidRDefault="00CA2834" w:rsidP="00CC6AD9">
      <w:pPr>
        <w:numPr>
          <w:ilvl w:val="0"/>
          <w:numId w:val="16"/>
        </w:numPr>
        <w:spacing w:after="0"/>
        <w:rPr>
          <w:szCs w:val="20"/>
          <w:lang w:val="en-GB"/>
        </w:rPr>
      </w:pPr>
      <w:r w:rsidRPr="00666B27">
        <w:rPr>
          <w:szCs w:val="20"/>
          <w:lang w:val="en-GB"/>
        </w:rPr>
        <w:t>Assist the Project Manager in day-to-day management and oversight of project activities;</w:t>
      </w:r>
    </w:p>
    <w:p w:rsidR="00CA2834" w:rsidRPr="00666B27" w:rsidRDefault="00CA2834" w:rsidP="00CC6AD9">
      <w:pPr>
        <w:numPr>
          <w:ilvl w:val="0"/>
          <w:numId w:val="16"/>
        </w:numPr>
        <w:spacing w:after="0"/>
        <w:rPr>
          <w:szCs w:val="20"/>
          <w:lang w:val="en-GB"/>
        </w:rPr>
      </w:pPr>
      <w:r w:rsidRPr="00666B27">
        <w:rPr>
          <w:szCs w:val="20"/>
          <w:lang w:val="en-GB"/>
        </w:rPr>
        <w:t>Assist the M&amp;E officer in matters related to M&amp;E and knowledge resources management;</w:t>
      </w:r>
    </w:p>
    <w:p w:rsidR="00CA2834" w:rsidRPr="00666B27" w:rsidRDefault="00CA2834" w:rsidP="00CC6AD9">
      <w:pPr>
        <w:numPr>
          <w:ilvl w:val="0"/>
          <w:numId w:val="16"/>
        </w:numPr>
        <w:spacing w:after="0"/>
        <w:rPr>
          <w:szCs w:val="20"/>
          <w:lang w:val="en-GB"/>
        </w:rPr>
      </w:pPr>
      <w:r w:rsidRPr="00666B27">
        <w:rPr>
          <w:szCs w:val="20"/>
          <w:lang w:val="en-GB"/>
        </w:rPr>
        <w:t>Ensure all project documentation (progress reports, consulting and other technical reports, minutes of meetings, etc.) are properly maintained in hard and electronic copies in an efficient and readily accessible filing syste</w:t>
      </w:r>
      <w:r w:rsidR="006C64A7" w:rsidRPr="00666B27">
        <w:rPr>
          <w:szCs w:val="20"/>
          <w:lang w:val="en-GB"/>
        </w:rPr>
        <w:t>m, for when required by the PSC, DBSA,</w:t>
      </w:r>
      <w:r w:rsidRPr="00666B27">
        <w:rPr>
          <w:szCs w:val="20"/>
          <w:lang w:val="en-GB"/>
        </w:rPr>
        <w:t xml:space="preserve"> UNDP, project consultants and other PMU staff;</w:t>
      </w:r>
    </w:p>
    <w:p w:rsidR="00CA2834" w:rsidRPr="00666B27" w:rsidRDefault="00CA2834" w:rsidP="00CC6AD9">
      <w:pPr>
        <w:numPr>
          <w:ilvl w:val="0"/>
          <w:numId w:val="16"/>
        </w:numPr>
        <w:spacing w:after="0"/>
        <w:rPr>
          <w:szCs w:val="20"/>
          <w:lang w:val="en-GB"/>
        </w:rPr>
      </w:pPr>
      <w:r w:rsidRPr="00666B27">
        <w:rPr>
          <w:szCs w:val="20"/>
          <w:lang w:val="en-GB"/>
        </w:rPr>
        <w:t>Provide PMU-related administrative and logistical assistance.</w:t>
      </w:r>
    </w:p>
    <w:p w:rsidR="00CA2834" w:rsidRPr="00666B27" w:rsidRDefault="00CA2834" w:rsidP="007031B3">
      <w:pPr>
        <w:spacing w:after="0"/>
        <w:rPr>
          <w:szCs w:val="20"/>
          <w:lang w:val="en-GB"/>
        </w:rPr>
      </w:pPr>
    </w:p>
    <w:p w:rsidR="00CA2834" w:rsidRPr="00666B27" w:rsidRDefault="00CA2834">
      <w:pPr>
        <w:spacing w:after="0"/>
        <w:rPr>
          <w:szCs w:val="20"/>
          <w:lang w:val="en-GB"/>
        </w:rPr>
      </w:pPr>
      <w:r w:rsidRPr="00666B27">
        <w:rPr>
          <w:szCs w:val="20"/>
          <w:lang w:val="en-GB"/>
        </w:rPr>
        <w:t>The Project Assistant will be recruited based on the following</w:t>
      </w:r>
      <w:r w:rsidRPr="00F4042B">
        <w:rPr>
          <w:szCs w:val="20"/>
          <w:lang w:val="en-GB"/>
        </w:rPr>
        <w:t xml:space="preserve"> </w:t>
      </w:r>
      <w:r w:rsidRPr="00666B27">
        <w:rPr>
          <w:szCs w:val="20"/>
          <w:u w:val="single"/>
          <w:lang w:val="en-GB"/>
        </w:rPr>
        <w:t>qualifications</w:t>
      </w:r>
      <w:r w:rsidRPr="00666B27">
        <w:rPr>
          <w:szCs w:val="20"/>
          <w:lang w:val="en-GB"/>
        </w:rPr>
        <w:t>:</w:t>
      </w:r>
    </w:p>
    <w:p w:rsidR="00CA2834" w:rsidRPr="00666B27" w:rsidRDefault="00CA2834" w:rsidP="00CC6AD9">
      <w:pPr>
        <w:numPr>
          <w:ilvl w:val="0"/>
          <w:numId w:val="17"/>
        </w:numPr>
        <w:spacing w:after="0"/>
        <w:rPr>
          <w:szCs w:val="20"/>
          <w:lang w:val="en-GB"/>
        </w:rPr>
      </w:pPr>
      <w:r w:rsidRPr="00666B27">
        <w:rPr>
          <w:szCs w:val="20"/>
          <w:lang w:val="en-GB"/>
        </w:rPr>
        <w:t xml:space="preserve">A </w:t>
      </w:r>
      <w:r w:rsidR="006C64A7" w:rsidRPr="00666B27">
        <w:rPr>
          <w:szCs w:val="20"/>
          <w:lang w:val="en-GB"/>
        </w:rPr>
        <w:t>Bachelor’s</w:t>
      </w:r>
      <w:r w:rsidRPr="00666B27">
        <w:rPr>
          <w:szCs w:val="20"/>
          <w:lang w:val="en-GB"/>
        </w:rPr>
        <w:t xml:space="preserve"> degree or an equivalent qualification;</w:t>
      </w:r>
    </w:p>
    <w:p w:rsidR="00CA2834" w:rsidRPr="00F737AD" w:rsidRDefault="00CA2834" w:rsidP="00CC6AD9">
      <w:pPr>
        <w:numPr>
          <w:ilvl w:val="0"/>
          <w:numId w:val="17"/>
        </w:numPr>
        <w:spacing w:after="0"/>
        <w:rPr>
          <w:rFonts w:cs="Calibri"/>
          <w:szCs w:val="20"/>
          <w:lang w:val="en-GB"/>
        </w:rPr>
      </w:pPr>
      <w:r w:rsidRPr="00666B27">
        <w:rPr>
          <w:szCs w:val="20"/>
          <w:lang w:val="en-GB"/>
        </w:rPr>
        <w:t>At least three years of work experience preferably in a project involving biodiversity conservation, natural resource management and/</w:t>
      </w:r>
      <w:r w:rsidRPr="00F737AD">
        <w:rPr>
          <w:rFonts w:cs="Calibri"/>
          <w:szCs w:val="20"/>
          <w:lang w:val="en-GB"/>
        </w:rPr>
        <w:t xml:space="preserve">or sustainable livelihoods. Previous experience with UN </w:t>
      </w:r>
      <w:r w:rsidR="006C64A7" w:rsidRPr="00F737AD">
        <w:rPr>
          <w:rFonts w:cs="Calibri"/>
          <w:szCs w:val="20"/>
          <w:lang w:val="en-GB"/>
        </w:rPr>
        <w:t xml:space="preserve">or DBSA </w:t>
      </w:r>
      <w:r w:rsidRPr="00F737AD">
        <w:rPr>
          <w:rFonts w:cs="Calibri"/>
          <w:szCs w:val="20"/>
          <w:lang w:val="en-GB"/>
        </w:rPr>
        <w:t>project</w:t>
      </w:r>
      <w:r w:rsidR="006C64A7" w:rsidRPr="00F737AD">
        <w:rPr>
          <w:rFonts w:cs="Calibri"/>
          <w:szCs w:val="20"/>
          <w:lang w:val="en-GB"/>
        </w:rPr>
        <w:t>s</w:t>
      </w:r>
      <w:r w:rsidRPr="00F737AD">
        <w:rPr>
          <w:rFonts w:cs="Calibri"/>
          <w:szCs w:val="20"/>
          <w:lang w:val="en-GB"/>
        </w:rPr>
        <w:t xml:space="preserve"> will be a definite asset;</w:t>
      </w:r>
    </w:p>
    <w:p w:rsidR="00CA2834" w:rsidRPr="00F737AD" w:rsidRDefault="00CA2834" w:rsidP="00CC6AD9">
      <w:pPr>
        <w:numPr>
          <w:ilvl w:val="0"/>
          <w:numId w:val="17"/>
        </w:numPr>
        <w:spacing w:after="0"/>
        <w:rPr>
          <w:rFonts w:cs="Calibri"/>
          <w:szCs w:val="20"/>
          <w:lang w:val="en-GB"/>
        </w:rPr>
      </w:pPr>
      <w:r w:rsidRPr="00F737AD">
        <w:rPr>
          <w:rFonts w:cs="Calibri"/>
          <w:szCs w:val="20"/>
          <w:lang w:val="en-GB"/>
        </w:rPr>
        <w:t xml:space="preserve">Very good </w:t>
      </w:r>
      <w:r w:rsidRPr="00F737AD">
        <w:rPr>
          <w:rFonts w:cs="Calibri"/>
          <w:noProof/>
          <w:szCs w:val="20"/>
          <w:lang w:val="en-GB"/>
        </w:rPr>
        <w:t>inter-personal</w:t>
      </w:r>
      <w:r w:rsidRPr="00F737AD">
        <w:rPr>
          <w:rFonts w:cs="Calibri"/>
          <w:szCs w:val="20"/>
          <w:lang w:val="en-GB"/>
        </w:rPr>
        <w:t xml:space="preserve"> skills;</w:t>
      </w:r>
    </w:p>
    <w:p w:rsidR="00CA2834" w:rsidRPr="00F737AD" w:rsidRDefault="00CA2834" w:rsidP="00CC6AD9">
      <w:pPr>
        <w:numPr>
          <w:ilvl w:val="0"/>
          <w:numId w:val="17"/>
        </w:numPr>
        <w:spacing w:after="0"/>
        <w:rPr>
          <w:rFonts w:cs="Calibri"/>
          <w:szCs w:val="20"/>
          <w:lang w:val="en-GB"/>
        </w:rPr>
      </w:pPr>
      <w:r w:rsidRPr="00F737AD">
        <w:rPr>
          <w:rFonts w:cs="Calibri"/>
          <w:szCs w:val="20"/>
          <w:lang w:val="en-GB"/>
        </w:rPr>
        <w:t>Proficiency in the use of computer software applications especially MS Word and MS Excel.</w:t>
      </w:r>
    </w:p>
    <w:p w:rsidR="00CA2834" w:rsidRPr="00F737AD" w:rsidRDefault="00CA2834" w:rsidP="00CC6AD9">
      <w:pPr>
        <w:numPr>
          <w:ilvl w:val="0"/>
          <w:numId w:val="17"/>
        </w:numPr>
        <w:spacing w:after="0"/>
        <w:rPr>
          <w:rFonts w:cs="Calibri"/>
          <w:szCs w:val="20"/>
          <w:lang w:val="en-GB"/>
        </w:rPr>
      </w:pPr>
      <w:r w:rsidRPr="00F737AD">
        <w:rPr>
          <w:rFonts w:cs="Calibri"/>
          <w:szCs w:val="20"/>
          <w:lang w:val="en-GB"/>
        </w:rPr>
        <w:t xml:space="preserve">Excellent language skills in English (writing, speaking </w:t>
      </w:r>
      <w:r w:rsidRPr="00F737AD">
        <w:rPr>
          <w:rFonts w:cs="Calibri"/>
          <w:noProof/>
          <w:szCs w:val="20"/>
          <w:lang w:val="en-GB"/>
        </w:rPr>
        <w:t>and</w:t>
      </w:r>
      <w:r w:rsidRPr="00F737AD">
        <w:rPr>
          <w:rFonts w:cs="Calibri"/>
          <w:szCs w:val="20"/>
          <w:lang w:val="en-GB"/>
        </w:rPr>
        <w:t xml:space="preserve"> reading) and in </w:t>
      </w:r>
      <w:r w:rsidR="004F3AFC" w:rsidRPr="00F737AD">
        <w:rPr>
          <w:rFonts w:cs="Calibri"/>
          <w:szCs w:val="20"/>
          <w:lang w:val="en-GB"/>
        </w:rPr>
        <w:t>local languages</w:t>
      </w:r>
      <w:r w:rsidRPr="00F737AD">
        <w:rPr>
          <w:rFonts w:cs="Calibri"/>
          <w:szCs w:val="20"/>
          <w:lang w:val="en-GB"/>
        </w:rPr>
        <w:t xml:space="preserve"> </w:t>
      </w:r>
    </w:p>
    <w:p w:rsidR="00C2413A" w:rsidRPr="00F737AD" w:rsidRDefault="00C2413A" w:rsidP="00CC6AD9">
      <w:pPr>
        <w:spacing w:after="0"/>
        <w:rPr>
          <w:rFonts w:cs="Calibri"/>
          <w:szCs w:val="20"/>
          <w:lang w:val="en-GB"/>
        </w:rPr>
      </w:pPr>
    </w:p>
    <w:p w:rsidR="00AF23A9" w:rsidRPr="00F737AD" w:rsidRDefault="00AF23A9" w:rsidP="007031B3">
      <w:pPr>
        <w:spacing w:after="0"/>
        <w:rPr>
          <w:rFonts w:cs="Calibri"/>
          <w:b/>
          <w:bCs/>
          <w:szCs w:val="20"/>
          <w:lang w:val="en-GB"/>
        </w:rPr>
      </w:pPr>
    </w:p>
    <w:p w:rsidR="00AF23A9" w:rsidRPr="00F737AD" w:rsidRDefault="00AF23A9">
      <w:pPr>
        <w:spacing w:after="0"/>
        <w:rPr>
          <w:rFonts w:cs="Calibri"/>
          <w:b/>
          <w:bCs/>
          <w:szCs w:val="20"/>
          <w:lang w:val="en-GB"/>
        </w:rPr>
      </w:pPr>
      <w:r w:rsidRPr="00F737AD">
        <w:rPr>
          <w:rFonts w:cs="Calibri"/>
          <w:b/>
          <w:bCs/>
          <w:szCs w:val="20"/>
          <w:lang w:val="en-GB"/>
        </w:rPr>
        <w:t>Financial Advisor</w:t>
      </w:r>
    </w:p>
    <w:p w:rsidR="00AF23A9" w:rsidRPr="00F737AD" w:rsidRDefault="00AF23A9">
      <w:pPr>
        <w:spacing w:after="0"/>
        <w:rPr>
          <w:rFonts w:cs="Calibri"/>
          <w:b/>
          <w:bCs/>
          <w:szCs w:val="20"/>
          <w:lang w:val="en-GB"/>
        </w:rPr>
      </w:pPr>
    </w:p>
    <w:p w:rsidR="005A3EDD" w:rsidRPr="00F737AD" w:rsidRDefault="00AF23A9">
      <w:pPr>
        <w:spacing w:after="0"/>
        <w:rPr>
          <w:rFonts w:cs="Calibri"/>
          <w:szCs w:val="20"/>
          <w:lang w:val="en-GB" w:eastAsia="en-GB"/>
        </w:rPr>
      </w:pPr>
      <w:r w:rsidRPr="00F737AD">
        <w:rPr>
          <w:rFonts w:cs="Calibri"/>
          <w:szCs w:val="20"/>
          <w:lang w:val="en-GB" w:eastAsia="en-GB"/>
        </w:rPr>
        <w:t xml:space="preserve">The Financial Advisor will coordinate activities of the DBSA-managed EEFI and will </w:t>
      </w:r>
      <w:proofErr w:type="gramStart"/>
      <w:r w:rsidRPr="00F737AD">
        <w:rPr>
          <w:rFonts w:cs="Calibri"/>
          <w:szCs w:val="20"/>
          <w:lang w:val="en-GB" w:eastAsia="en-GB"/>
        </w:rPr>
        <w:t>be in charge of</w:t>
      </w:r>
      <w:proofErr w:type="gramEnd"/>
      <w:r w:rsidRPr="00F737AD">
        <w:rPr>
          <w:rFonts w:cs="Calibri"/>
          <w:szCs w:val="20"/>
          <w:lang w:val="en-GB" w:eastAsia="en-GB"/>
        </w:rPr>
        <w:t xml:space="preserve"> ensuring that the EEFI is delivered according to legal, commercial and financial criteria. S/he will</w:t>
      </w:r>
      <w:r w:rsidR="005A3EDD" w:rsidRPr="00F737AD">
        <w:rPr>
          <w:rFonts w:cs="Calibri"/>
          <w:szCs w:val="20"/>
          <w:lang w:val="en-GB" w:eastAsia="en-GB"/>
        </w:rPr>
        <w:t>:</w:t>
      </w:r>
    </w:p>
    <w:p w:rsidR="00020B19" w:rsidRPr="00F737AD" w:rsidRDefault="005A3EDD" w:rsidP="00CC6AD9">
      <w:pPr>
        <w:pStyle w:val="ListParagraph"/>
        <w:numPr>
          <w:ilvl w:val="0"/>
          <w:numId w:val="69"/>
        </w:numPr>
        <w:ind w:left="426" w:hanging="426"/>
        <w:jc w:val="both"/>
        <w:rPr>
          <w:rFonts w:ascii="Calibri" w:hAnsi="Calibri" w:cs="Calibri"/>
          <w:b/>
          <w:bCs/>
          <w:sz w:val="20"/>
          <w:szCs w:val="20"/>
          <w:lang w:val="en-GB"/>
        </w:rPr>
      </w:pPr>
      <w:r w:rsidRPr="00F737AD">
        <w:rPr>
          <w:rFonts w:ascii="Calibri" w:hAnsi="Calibri" w:cs="Calibri"/>
          <w:sz w:val="20"/>
          <w:szCs w:val="20"/>
          <w:lang w:val="en-GB" w:eastAsia="en-GB"/>
        </w:rPr>
        <w:t>M</w:t>
      </w:r>
      <w:r w:rsidR="00AF23A9" w:rsidRPr="00F737AD">
        <w:rPr>
          <w:rFonts w:ascii="Calibri" w:hAnsi="Calibri" w:cs="Calibri"/>
          <w:sz w:val="20"/>
          <w:szCs w:val="20"/>
          <w:lang w:val="en-GB" w:eastAsia="en-GB"/>
        </w:rPr>
        <w:t>onitor the exposure of the portfolio and responsible for regular reporting to DBSA management and the Project Working Group on EEFI (and Project Board meetings)</w:t>
      </w:r>
      <w:r w:rsidR="00020B19" w:rsidRPr="00F737AD">
        <w:rPr>
          <w:rFonts w:ascii="Calibri" w:hAnsi="Calibri" w:cs="Calibri"/>
          <w:sz w:val="20"/>
          <w:szCs w:val="20"/>
          <w:lang w:val="en-GB" w:eastAsia="en-GB"/>
        </w:rPr>
        <w:t>;</w:t>
      </w:r>
    </w:p>
    <w:p w:rsidR="00020B19" w:rsidRPr="00F737AD" w:rsidRDefault="00020B19" w:rsidP="00CC6AD9">
      <w:pPr>
        <w:pStyle w:val="ListParagraph"/>
        <w:numPr>
          <w:ilvl w:val="0"/>
          <w:numId w:val="69"/>
        </w:numPr>
        <w:ind w:left="426" w:hanging="426"/>
        <w:jc w:val="both"/>
        <w:rPr>
          <w:rFonts w:ascii="Calibri" w:hAnsi="Calibri" w:cs="Calibri"/>
          <w:b/>
          <w:bCs/>
          <w:sz w:val="20"/>
          <w:szCs w:val="20"/>
          <w:lang w:val="en-GB"/>
        </w:rPr>
      </w:pPr>
      <w:r w:rsidRPr="00F737AD">
        <w:rPr>
          <w:rFonts w:ascii="Calibri" w:hAnsi="Calibri" w:cs="Calibri"/>
          <w:bCs/>
          <w:sz w:val="20"/>
          <w:szCs w:val="20"/>
          <w:lang w:val="en-GB"/>
        </w:rPr>
        <w:t>Oversee financial and administrative performance (financial plan, allocation and transfer of funds</w:t>
      </w:r>
    </w:p>
    <w:p w:rsidR="00020B19" w:rsidRPr="00F737AD" w:rsidRDefault="00020B19" w:rsidP="00CC6AD9">
      <w:pPr>
        <w:pStyle w:val="ListParagraph"/>
        <w:numPr>
          <w:ilvl w:val="0"/>
          <w:numId w:val="69"/>
        </w:numPr>
        <w:ind w:left="426" w:hanging="426"/>
        <w:jc w:val="both"/>
        <w:rPr>
          <w:rFonts w:ascii="Calibri" w:hAnsi="Calibri" w:cs="Calibri"/>
          <w:b/>
          <w:bCs/>
          <w:sz w:val="20"/>
          <w:szCs w:val="20"/>
          <w:lang w:val="en-GB"/>
        </w:rPr>
      </w:pPr>
      <w:r w:rsidRPr="00F737AD">
        <w:rPr>
          <w:rFonts w:ascii="Calibri" w:hAnsi="Calibri" w:cs="Calibri"/>
          <w:sz w:val="20"/>
          <w:szCs w:val="20"/>
          <w:lang w:val="en-GB" w:eastAsia="en-GB"/>
        </w:rPr>
        <w:t xml:space="preserve">Provide </w:t>
      </w:r>
      <w:r w:rsidR="00AF23A9" w:rsidRPr="00F737AD">
        <w:rPr>
          <w:rFonts w:ascii="Calibri" w:hAnsi="Calibri" w:cs="Calibri"/>
          <w:sz w:val="20"/>
          <w:szCs w:val="20"/>
          <w:lang w:val="en-GB" w:eastAsia="en-GB"/>
        </w:rPr>
        <w:t>advice on market engagement and research, development of loan products and modalities</w:t>
      </w:r>
      <w:r w:rsidRPr="00F737AD">
        <w:rPr>
          <w:rFonts w:ascii="Calibri" w:hAnsi="Calibri" w:cs="Calibri"/>
          <w:sz w:val="20"/>
          <w:szCs w:val="20"/>
          <w:lang w:val="en-GB" w:eastAsia="en-GB"/>
        </w:rPr>
        <w:t>;</w:t>
      </w:r>
    </w:p>
    <w:p w:rsidR="00020B19" w:rsidRPr="00F737AD" w:rsidRDefault="00020B19" w:rsidP="00CC6AD9">
      <w:pPr>
        <w:pStyle w:val="ListParagraph"/>
        <w:numPr>
          <w:ilvl w:val="0"/>
          <w:numId w:val="69"/>
        </w:numPr>
        <w:ind w:left="426" w:hanging="426"/>
        <w:jc w:val="both"/>
        <w:rPr>
          <w:rFonts w:ascii="Calibri" w:hAnsi="Calibri" w:cs="Calibri"/>
          <w:b/>
          <w:bCs/>
          <w:sz w:val="20"/>
          <w:szCs w:val="20"/>
          <w:lang w:val="en-GB"/>
        </w:rPr>
      </w:pPr>
      <w:r w:rsidRPr="00F737AD">
        <w:rPr>
          <w:rFonts w:ascii="Calibri" w:hAnsi="Calibri" w:cs="Calibri"/>
          <w:sz w:val="20"/>
          <w:szCs w:val="20"/>
          <w:lang w:val="en-GB" w:eastAsia="en-GB"/>
        </w:rPr>
        <w:t>A</w:t>
      </w:r>
      <w:r w:rsidR="00AF23A9" w:rsidRPr="00F737AD">
        <w:rPr>
          <w:rFonts w:ascii="Calibri" w:hAnsi="Calibri" w:cs="Calibri"/>
          <w:sz w:val="20"/>
          <w:szCs w:val="20"/>
          <w:lang w:val="en-GB" w:eastAsia="en-GB"/>
        </w:rPr>
        <w:t>ssist in finalising the institutional arrangements</w:t>
      </w:r>
      <w:r w:rsidRPr="00F737AD">
        <w:rPr>
          <w:rFonts w:ascii="Calibri" w:hAnsi="Calibri" w:cs="Calibri"/>
          <w:sz w:val="20"/>
          <w:szCs w:val="20"/>
          <w:lang w:val="en-GB" w:eastAsia="en-GB"/>
        </w:rPr>
        <w:t>;</w:t>
      </w:r>
    </w:p>
    <w:p w:rsidR="00AF23A9" w:rsidRPr="00F737AD" w:rsidRDefault="00AF23A9" w:rsidP="00CC6AD9">
      <w:pPr>
        <w:pStyle w:val="ListParagraph"/>
        <w:numPr>
          <w:ilvl w:val="0"/>
          <w:numId w:val="69"/>
        </w:numPr>
        <w:ind w:left="426" w:hanging="426"/>
        <w:jc w:val="both"/>
        <w:rPr>
          <w:rFonts w:ascii="Calibri" w:hAnsi="Calibri" w:cs="Calibri"/>
          <w:b/>
          <w:bCs/>
          <w:sz w:val="20"/>
          <w:szCs w:val="20"/>
          <w:lang w:val="en-GB"/>
        </w:rPr>
      </w:pPr>
      <w:r w:rsidRPr="00F737AD">
        <w:rPr>
          <w:rFonts w:ascii="Calibri" w:hAnsi="Calibri" w:cs="Calibri"/>
          <w:sz w:val="20"/>
          <w:szCs w:val="20"/>
          <w:lang w:val="en-GB" w:eastAsia="en-GB"/>
        </w:rPr>
        <w:t xml:space="preserve">Supported by </w:t>
      </w:r>
      <w:r w:rsidR="00020B19" w:rsidRPr="00F737AD">
        <w:rPr>
          <w:rFonts w:ascii="Calibri" w:hAnsi="Calibri" w:cs="Calibri"/>
          <w:sz w:val="20"/>
          <w:szCs w:val="20"/>
          <w:lang w:val="en-GB" w:eastAsia="en-GB"/>
        </w:rPr>
        <w:t>DBSA,</w:t>
      </w:r>
      <w:r w:rsidRPr="00F737AD">
        <w:rPr>
          <w:rFonts w:ascii="Calibri" w:hAnsi="Calibri" w:cs="Calibri"/>
          <w:sz w:val="20"/>
          <w:szCs w:val="20"/>
          <w:lang w:val="en-GB" w:eastAsia="en-GB"/>
        </w:rPr>
        <w:t xml:space="preserve"> the Advisor will perform technical evaluation and due diligence of loan requests</w:t>
      </w:r>
      <w:r w:rsidR="00020B19" w:rsidRPr="00F737AD">
        <w:rPr>
          <w:rFonts w:ascii="Calibri" w:hAnsi="Calibri" w:cs="Calibri"/>
          <w:sz w:val="20"/>
          <w:szCs w:val="20"/>
          <w:lang w:val="en-GB" w:eastAsia="en-GB"/>
        </w:rPr>
        <w:t>;</w:t>
      </w:r>
    </w:p>
    <w:p w:rsidR="00020B19" w:rsidRPr="00F737AD" w:rsidRDefault="00020B19" w:rsidP="00CC6AD9">
      <w:pPr>
        <w:pStyle w:val="ListParagraph"/>
        <w:numPr>
          <w:ilvl w:val="0"/>
          <w:numId w:val="69"/>
        </w:numPr>
        <w:ind w:left="426" w:hanging="426"/>
        <w:jc w:val="both"/>
        <w:rPr>
          <w:rFonts w:ascii="Calibri" w:hAnsi="Calibri" w:cs="Calibri"/>
          <w:bCs/>
          <w:sz w:val="20"/>
          <w:szCs w:val="20"/>
          <w:lang w:val="en-GB"/>
        </w:rPr>
      </w:pPr>
      <w:r w:rsidRPr="00F737AD">
        <w:rPr>
          <w:rFonts w:ascii="Calibri" w:hAnsi="Calibri" w:cs="Calibri"/>
          <w:bCs/>
          <w:sz w:val="20"/>
          <w:szCs w:val="20"/>
          <w:lang w:val="en-GB"/>
        </w:rPr>
        <w:t>Ensure cooperation between the non-financial implementing agencies and partners of the project;</w:t>
      </w:r>
    </w:p>
    <w:p w:rsidR="00020B19" w:rsidRPr="00F737AD" w:rsidRDefault="00020B19" w:rsidP="00CC6AD9">
      <w:pPr>
        <w:pStyle w:val="ListParagraph"/>
        <w:numPr>
          <w:ilvl w:val="0"/>
          <w:numId w:val="69"/>
        </w:numPr>
        <w:ind w:left="426" w:hanging="426"/>
        <w:jc w:val="both"/>
        <w:rPr>
          <w:rFonts w:ascii="Calibri" w:hAnsi="Calibri" w:cs="Calibri"/>
          <w:bCs/>
          <w:sz w:val="20"/>
          <w:szCs w:val="20"/>
          <w:lang w:val="en-GB"/>
        </w:rPr>
      </w:pPr>
      <w:r w:rsidRPr="00F737AD">
        <w:rPr>
          <w:rFonts w:ascii="Calibri" w:hAnsi="Calibri" w:cs="Calibri"/>
          <w:bCs/>
          <w:sz w:val="20"/>
          <w:szCs w:val="20"/>
          <w:lang w:val="en-GB"/>
        </w:rPr>
        <w:t xml:space="preserve">Network with stakeholders </w:t>
      </w:r>
    </w:p>
    <w:p w:rsidR="00020B19" w:rsidRPr="00F737AD" w:rsidRDefault="00020B19" w:rsidP="00CC6AD9">
      <w:pPr>
        <w:pStyle w:val="ListParagraph"/>
        <w:numPr>
          <w:ilvl w:val="0"/>
          <w:numId w:val="69"/>
        </w:numPr>
        <w:ind w:left="426" w:hanging="426"/>
        <w:jc w:val="both"/>
        <w:rPr>
          <w:rFonts w:ascii="Calibri" w:hAnsi="Calibri" w:cs="Calibri"/>
          <w:bCs/>
          <w:sz w:val="20"/>
          <w:szCs w:val="20"/>
          <w:lang w:val="en-GB"/>
        </w:rPr>
      </w:pPr>
      <w:r w:rsidRPr="00F737AD">
        <w:rPr>
          <w:rFonts w:ascii="Calibri" w:hAnsi="Calibri" w:cs="Calibri"/>
          <w:bCs/>
          <w:sz w:val="20"/>
          <w:szCs w:val="20"/>
          <w:lang w:val="en-GB"/>
        </w:rPr>
        <w:t>Ensure timely preparation of annual project reports, work plans and other relevant project documents.</w:t>
      </w:r>
    </w:p>
    <w:p w:rsidR="00020B19" w:rsidRPr="00F737AD" w:rsidRDefault="00020B19" w:rsidP="00CC6AD9">
      <w:pPr>
        <w:pStyle w:val="ListParagraph"/>
        <w:numPr>
          <w:ilvl w:val="0"/>
          <w:numId w:val="69"/>
        </w:numPr>
        <w:ind w:left="426" w:hanging="426"/>
        <w:jc w:val="both"/>
        <w:rPr>
          <w:rFonts w:ascii="Calibri" w:hAnsi="Calibri" w:cs="Calibri"/>
          <w:bCs/>
          <w:sz w:val="20"/>
          <w:szCs w:val="20"/>
          <w:lang w:val="en-GB"/>
        </w:rPr>
      </w:pPr>
      <w:r w:rsidRPr="00F737AD">
        <w:rPr>
          <w:rFonts w:ascii="Calibri" w:hAnsi="Calibri" w:cs="Calibri"/>
          <w:bCs/>
          <w:sz w:val="20"/>
          <w:szCs w:val="20"/>
          <w:lang w:val="en-GB"/>
        </w:rPr>
        <w:t>Oversee financial and administrative performance (financial plan, allocation and transfer of funds, oversee finance and administration officer</w:t>
      </w:r>
    </w:p>
    <w:p w:rsidR="00020B19" w:rsidRPr="00F737AD" w:rsidRDefault="00020B19" w:rsidP="00CC6AD9">
      <w:pPr>
        <w:pStyle w:val="ListParagraph"/>
        <w:numPr>
          <w:ilvl w:val="0"/>
          <w:numId w:val="69"/>
        </w:numPr>
        <w:ind w:left="426" w:hanging="426"/>
        <w:jc w:val="both"/>
        <w:rPr>
          <w:rFonts w:ascii="Calibri" w:hAnsi="Calibri" w:cs="Calibri"/>
          <w:bCs/>
          <w:sz w:val="20"/>
          <w:szCs w:val="20"/>
          <w:lang w:val="en-GB"/>
        </w:rPr>
      </w:pPr>
      <w:r w:rsidRPr="00F737AD">
        <w:rPr>
          <w:rFonts w:ascii="Calibri" w:hAnsi="Calibri" w:cs="Calibri"/>
          <w:bCs/>
          <w:sz w:val="20"/>
          <w:szCs w:val="20"/>
          <w:lang w:val="en-GB"/>
        </w:rPr>
        <w:t>Prepare Terms of Reference for short-term staff and subcontracts under Component 3</w:t>
      </w:r>
    </w:p>
    <w:p w:rsidR="00020B19" w:rsidRPr="00F737AD" w:rsidRDefault="00020B19" w:rsidP="007031B3">
      <w:pPr>
        <w:rPr>
          <w:rFonts w:cs="Calibri"/>
          <w:bCs/>
          <w:szCs w:val="20"/>
          <w:lang w:val="en-GB"/>
        </w:rPr>
      </w:pPr>
    </w:p>
    <w:p w:rsidR="00020B19" w:rsidRPr="00F737AD" w:rsidRDefault="00020B19">
      <w:pPr>
        <w:rPr>
          <w:rFonts w:cs="Calibri"/>
          <w:bCs/>
          <w:szCs w:val="20"/>
          <w:lang w:val="en-GB"/>
        </w:rPr>
      </w:pPr>
      <w:r w:rsidRPr="00F737AD">
        <w:rPr>
          <w:rFonts w:cs="Calibri"/>
          <w:bCs/>
          <w:szCs w:val="20"/>
          <w:lang w:val="en-GB"/>
        </w:rPr>
        <w:t xml:space="preserve">S/he will be recruited based on the following </w:t>
      </w:r>
      <w:r w:rsidRPr="00F737AD">
        <w:rPr>
          <w:rFonts w:cs="Calibri"/>
          <w:bCs/>
          <w:szCs w:val="20"/>
          <w:u w:val="single"/>
          <w:lang w:val="en-GB"/>
        </w:rPr>
        <w:t>qualifications</w:t>
      </w:r>
      <w:r w:rsidRPr="00F737AD">
        <w:rPr>
          <w:rFonts w:cs="Calibri"/>
          <w:bCs/>
          <w:szCs w:val="20"/>
          <w:lang w:val="en-GB"/>
        </w:rPr>
        <w:t>:</w:t>
      </w:r>
    </w:p>
    <w:p w:rsidR="00020B19" w:rsidRPr="00F737AD" w:rsidRDefault="00020B19" w:rsidP="00CC6AD9">
      <w:pPr>
        <w:pStyle w:val="ListParagraph"/>
        <w:numPr>
          <w:ilvl w:val="0"/>
          <w:numId w:val="70"/>
        </w:numPr>
        <w:ind w:left="426" w:hanging="426"/>
        <w:jc w:val="both"/>
        <w:rPr>
          <w:rFonts w:ascii="Calibri" w:hAnsi="Calibri" w:cs="Calibri"/>
          <w:bCs/>
          <w:sz w:val="20"/>
          <w:szCs w:val="20"/>
          <w:lang w:val="en-GB"/>
        </w:rPr>
      </w:pPr>
      <w:r w:rsidRPr="00F737AD">
        <w:rPr>
          <w:rFonts w:ascii="Calibri" w:hAnsi="Calibri" w:cs="Calibri"/>
          <w:bCs/>
          <w:sz w:val="20"/>
          <w:szCs w:val="20"/>
          <w:lang w:val="en-GB"/>
        </w:rPr>
        <w:t xml:space="preserve">At least 8 years work experience in financial (project) management. </w:t>
      </w:r>
    </w:p>
    <w:p w:rsidR="00020B19" w:rsidRPr="00F737AD" w:rsidRDefault="00020B19" w:rsidP="00CC6AD9">
      <w:pPr>
        <w:pStyle w:val="ListParagraph"/>
        <w:numPr>
          <w:ilvl w:val="0"/>
          <w:numId w:val="70"/>
        </w:numPr>
        <w:ind w:left="426" w:hanging="426"/>
        <w:jc w:val="both"/>
        <w:rPr>
          <w:rFonts w:ascii="Calibri" w:hAnsi="Calibri" w:cs="Calibri"/>
          <w:bCs/>
          <w:sz w:val="20"/>
          <w:szCs w:val="20"/>
          <w:lang w:val="en-GB"/>
        </w:rPr>
      </w:pPr>
      <w:r w:rsidRPr="00F737AD">
        <w:rPr>
          <w:rFonts w:ascii="Calibri" w:hAnsi="Calibri" w:cs="Calibri"/>
          <w:bCs/>
          <w:sz w:val="20"/>
          <w:szCs w:val="20"/>
          <w:lang w:val="en-GB"/>
        </w:rPr>
        <w:t>University education in Financing and/or Business management</w:t>
      </w:r>
    </w:p>
    <w:p w:rsidR="00020B19" w:rsidRPr="00F737AD" w:rsidRDefault="00020B19" w:rsidP="00CC6AD9">
      <w:pPr>
        <w:pStyle w:val="ListParagraph"/>
        <w:numPr>
          <w:ilvl w:val="0"/>
          <w:numId w:val="70"/>
        </w:numPr>
        <w:ind w:left="426" w:hanging="426"/>
        <w:jc w:val="both"/>
        <w:rPr>
          <w:rFonts w:ascii="Calibri" w:hAnsi="Calibri" w:cs="Calibri"/>
          <w:bCs/>
          <w:sz w:val="20"/>
          <w:szCs w:val="20"/>
          <w:lang w:val="en-GB"/>
        </w:rPr>
      </w:pPr>
      <w:r w:rsidRPr="00F737AD">
        <w:rPr>
          <w:rFonts w:ascii="Calibri" w:hAnsi="Calibri" w:cs="Calibri"/>
          <w:bCs/>
          <w:sz w:val="20"/>
          <w:szCs w:val="20"/>
          <w:lang w:val="en-GB"/>
        </w:rPr>
        <w:t>Strong interpersonal and communication skills</w:t>
      </w:r>
    </w:p>
    <w:p w:rsidR="00020B19" w:rsidRPr="00F737AD" w:rsidRDefault="00020B19" w:rsidP="00CC6AD9">
      <w:pPr>
        <w:pStyle w:val="ListParagraph"/>
        <w:numPr>
          <w:ilvl w:val="0"/>
          <w:numId w:val="70"/>
        </w:numPr>
        <w:ind w:left="426" w:hanging="426"/>
        <w:jc w:val="both"/>
        <w:rPr>
          <w:rFonts w:ascii="Calibri" w:hAnsi="Calibri" w:cs="Calibri"/>
          <w:bCs/>
          <w:sz w:val="20"/>
          <w:szCs w:val="20"/>
          <w:lang w:val="en-GB"/>
        </w:rPr>
      </w:pPr>
      <w:r w:rsidRPr="00F737AD">
        <w:rPr>
          <w:rFonts w:ascii="Calibri" w:hAnsi="Calibri" w:cs="Calibri"/>
          <w:bCs/>
          <w:sz w:val="20"/>
          <w:szCs w:val="20"/>
          <w:lang w:val="en-GB"/>
        </w:rPr>
        <w:t>Ability to take decisions</w:t>
      </w:r>
    </w:p>
    <w:p w:rsidR="00020B19" w:rsidRPr="00F737AD" w:rsidRDefault="00020B19" w:rsidP="00CC6AD9">
      <w:pPr>
        <w:pStyle w:val="ListParagraph"/>
        <w:numPr>
          <w:ilvl w:val="0"/>
          <w:numId w:val="70"/>
        </w:numPr>
        <w:ind w:left="426" w:hanging="426"/>
        <w:jc w:val="both"/>
        <w:rPr>
          <w:rFonts w:ascii="Calibri" w:hAnsi="Calibri" w:cs="Calibri"/>
          <w:bCs/>
          <w:sz w:val="20"/>
          <w:szCs w:val="20"/>
          <w:lang w:val="en-GB"/>
        </w:rPr>
      </w:pPr>
      <w:r w:rsidRPr="00F737AD">
        <w:rPr>
          <w:rFonts w:ascii="Calibri" w:hAnsi="Calibri" w:cs="Calibri"/>
          <w:bCs/>
          <w:sz w:val="20"/>
          <w:szCs w:val="20"/>
          <w:lang w:val="en-GB"/>
        </w:rPr>
        <w:t>Excellent working knowledge of English</w:t>
      </w:r>
    </w:p>
    <w:p w:rsidR="00020B19" w:rsidRPr="00F737AD" w:rsidRDefault="00020B19" w:rsidP="00CC6AD9">
      <w:pPr>
        <w:pStyle w:val="ListParagraph"/>
        <w:numPr>
          <w:ilvl w:val="0"/>
          <w:numId w:val="70"/>
        </w:numPr>
        <w:ind w:left="426" w:hanging="426"/>
        <w:jc w:val="both"/>
        <w:rPr>
          <w:rFonts w:ascii="Calibri" w:hAnsi="Calibri" w:cs="Calibri"/>
          <w:bCs/>
          <w:szCs w:val="20"/>
          <w:lang w:val="en-GB"/>
        </w:rPr>
      </w:pPr>
      <w:r w:rsidRPr="00F737AD">
        <w:rPr>
          <w:rFonts w:ascii="Calibri" w:hAnsi="Calibri" w:cs="Calibri"/>
          <w:bCs/>
          <w:sz w:val="20"/>
          <w:szCs w:val="20"/>
          <w:lang w:val="en-GB"/>
        </w:rPr>
        <w:t>Strong computer skills (Microsoft Office, Internet, e-mail)</w:t>
      </w:r>
    </w:p>
    <w:p w:rsidR="00AF23A9" w:rsidRPr="00F737AD" w:rsidRDefault="00AF23A9" w:rsidP="007031B3">
      <w:pPr>
        <w:spacing w:after="0"/>
        <w:rPr>
          <w:rFonts w:cs="Calibri"/>
          <w:b/>
          <w:bCs/>
          <w:szCs w:val="20"/>
          <w:lang w:val="en-GB"/>
        </w:rPr>
      </w:pPr>
    </w:p>
    <w:p w:rsidR="00AF23A9" w:rsidRPr="00F737AD" w:rsidRDefault="00AF23A9">
      <w:pPr>
        <w:spacing w:after="0"/>
        <w:rPr>
          <w:rFonts w:cs="Calibri"/>
          <w:b/>
          <w:bCs/>
          <w:szCs w:val="20"/>
          <w:lang w:val="en-GB"/>
        </w:rPr>
      </w:pPr>
    </w:p>
    <w:p w:rsidR="00AF23A9" w:rsidRDefault="00AF23A9" w:rsidP="00AF23A9">
      <w:pPr>
        <w:spacing w:after="0"/>
        <w:rPr>
          <w:b/>
          <w:bCs/>
          <w:szCs w:val="20"/>
          <w:lang w:val="en-GB"/>
        </w:rPr>
      </w:pPr>
    </w:p>
    <w:p w:rsidR="00AF23A9" w:rsidRDefault="00AF23A9" w:rsidP="00AF23A9">
      <w:pPr>
        <w:spacing w:after="0"/>
        <w:rPr>
          <w:b/>
          <w:bCs/>
          <w:szCs w:val="20"/>
          <w:lang w:val="en-GB"/>
        </w:rPr>
      </w:pPr>
    </w:p>
    <w:p w:rsidR="00AF23A9" w:rsidRDefault="00AF23A9" w:rsidP="00AF23A9">
      <w:pPr>
        <w:spacing w:after="0"/>
        <w:rPr>
          <w:b/>
          <w:bCs/>
          <w:szCs w:val="20"/>
          <w:lang w:val="en-GB"/>
        </w:rPr>
      </w:pPr>
    </w:p>
    <w:p w:rsidR="00AF23A9" w:rsidRDefault="00AF23A9" w:rsidP="00AF23A9">
      <w:pPr>
        <w:spacing w:after="0"/>
        <w:rPr>
          <w:b/>
          <w:bCs/>
          <w:szCs w:val="20"/>
          <w:lang w:val="en-GB"/>
        </w:rPr>
      </w:pPr>
    </w:p>
    <w:p w:rsidR="00AF23A9" w:rsidRDefault="00AF23A9" w:rsidP="00AF23A9">
      <w:pPr>
        <w:spacing w:after="0"/>
        <w:rPr>
          <w:b/>
          <w:bCs/>
          <w:szCs w:val="20"/>
          <w:lang w:val="en-GB"/>
        </w:rPr>
      </w:pPr>
    </w:p>
    <w:p w:rsidR="00AF23A9" w:rsidRDefault="00AF23A9" w:rsidP="00AF23A9">
      <w:pPr>
        <w:spacing w:after="0"/>
        <w:rPr>
          <w:b/>
          <w:bCs/>
          <w:szCs w:val="20"/>
          <w:lang w:val="en-GB"/>
        </w:rPr>
      </w:pPr>
    </w:p>
    <w:p w:rsidR="00AF23A9" w:rsidRPr="00666B27" w:rsidRDefault="00AF23A9" w:rsidP="007031B3">
      <w:pPr>
        <w:spacing w:after="0"/>
        <w:rPr>
          <w:szCs w:val="20"/>
          <w:lang w:val="en-GB"/>
        </w:rPr>
      </w:pPr>
      <w:r w:rsidRPr="00666B27">
        <w:rPr>
          <w:b/>
          <w:bCs/>
          <w:szCs w:val="20"/>
          <w:lang w:val="en-GB"/>
        </w:rPr>
        <w:t xml:space="preserve">Technical Advisor </w:t>
      </w:r>
    </w:p>
    <w:p w:rsidR="00AF23A9" w:rsidRPr="00666B27" w:rsidRDefault="00AF23A9">
      <w:pPr>
        <w:spacing w:after="0"/>
        <w:rPr>
          <w:szCs w:val="20"/>
          <w:lang w:val="en-GB"/>
        </w:rPr>
      </w:pPr>
    </w:p>
    <w:p w:rsidR="00AF23A9" w:rsidRPr="00666B27" w:rsidRDefault="00AF23A9">
      <w:pPr>
        <w:spacing w:after="0"/>
        <w:rPr>
          <w:szCs w:val="20"/>
          <w:lang w:val="en-GB"/>
        </w:rPr>
      </w:pPr>
      <w:r w:rsidRPr="00666B27">
        <w:rPr>
          <w:szCs w:val="20"/>
          <w:lang w:val="en-GB"/>
        </w:rPr>
        <w:t xml:space="preserve">This is a </w:t>
      </w:r>
      <w:r w:rsidRPr="00666B27">
        <w:rPr>
          <w:noProof/>
          <w:szCs w:val="20"/>
          <w:lang w:val="en-GB"/>
        </w:rPr>
        <w:t>part-time</w:t>
      </w:r>
      <w:r w:rsidRPr="00666B27">
        <w:rPr>
          <w:szCs w:val="20"/>
          <w:lang w:val="en-GB"/>
        </w:rPr>
        <w:t xml:space="preserve"> appointment over the duration of the project. </w:t>
      </w:r>
    </w:p>
    <w:p w:rsidR="00AF23A9" w:rsidRPr="00666B27" w:rsidRDefault="00AF23A9">
      <w:pPr>
        <w:spacing w:after="0"/>
        <w:rPr>
          <w:bCs/>
          <w:szCs w:val="20"/>
          <w:lang w:val="en-GB"/>
        </w:rPr>
      </w:pPr>
    </w:p>
    <w:p w:rsidR="00AF23A9" w:rsidRPr="00666B27" w:rsidRDefault="00AF23A9">
      <w:pPr>
        <w:spacing w:after="0"/>
        <w:rPr>
          <w:szCs w:val="20"/>
          <w:u w:val="single"/>
          <w:lang w:val="en-GB"/>
        </w:rPr>
      </w:pPr>
      <w:r w:rsidRPr="00666B27">
        <w:rPr>
          <w:bCs/>
          <w:szCs w:val="20"/>
          <w:u w:val="single"/>
          <w:lang w:val="en-GB"/>
        </w:rPr>
        <w:t xml:space="preserve">Job content </w:t>
      </w:r>
    </w:p>
    <w:p w:rsidR="00AF23A9" w:rsidRPr="00666B27" w:rsidRDefault="00AF23A9">
      <w:pPr>
        <w:numPr>
          <w:ilvl w:val="0"/>
          <w:numId w:val="8"/>
        </w:numPr>
        <w:spacing w:after="0"/>
        <w:rPr>
          <w:szCs w:val="20"/>
          <w:lang w:val="en-GB"/>
        </w:rPr>
      </w:pPr>
      <w:r w:rsidRPr="00666B27">
        <w:rPr>
          <w:szCs w:val="20"/>
          <w:lang w:val="en-GB"/>
        </w:rPr>
        <w:t xml:space="preserve">Provides overall technical guidance, advice, </w:t>
      </w:r>
      <w:r w:rsidRPr="00666B27">
        <w:rPr>
          <w:noProof/>
          <w:szCs w:val="20"/>
          <w:lang w:val="en-GB"/>
        </w:rPr>
        <w:t>and</w:t>
      </w:r>
      <w:r w:rsidRPr="00666B27">
        <w:rPr>
          <w:szCs w:val="20"/>
          <w:lang w:val="en-GB"/>
        </w:rPr>
        <w:t xml:space="preserve"> support to local Project Manager and project team; </w:t>
      </w:r>
    </w:p>
    <w:p w:rsidR="00AF23A9" w:rsidRPr="00666B27" w:rsidRDefault="00AF23A9">
      <w:pPr>
        <w:numPr>
          <w:ilvl w:val="0"/>
          <w:numId w:val="8"/>
        </w:numPr>
        <w:spacing w:after="0"/>
        <w:rPr>
          <w:szCs w:val="20"/>
          <w:lang w:val="en-GB"/>
        </w:rPr>
      </w:pPr>
      <w:r w:rsidRPr="00666B27">
        <w:rPr>
          <w:szCs w:val="20"/>
          <w:lang w:val="en-GB"/>
        </w:rPr>
        <w:t xml:space="preserve">Assists the Project Coordinator and project team to prepare a detailed Annual Work Plan of all project activities in line with the programming and approved </w:t>
      </w:r>
      <w:r w:rsidRPr="00666B27">
        <w:rPr>
          <w:noProof/>
          <w:szCs w:val="20"/>
          <w:lang w:val="en-GB"/>
        </w:rPr>
        <w:t>budget</w:t>
      </w:r>
      <w:r w:rsidRPr="00666B27">
        <w:rPr>
          <w:szCs w:val="20"/>
          <w:lang w:val="en-GB"/>
        </w:rPr>
        <w:t xml:space="preserve"> - starting and concluding them accordingly; </w:t>
      </w:r>
    </w:p>
    <w:p w:rsidR="00AF23A9" w:rsidRPr="00666B27" w:rsidRDefault="00AF23A9">
      <w:pPr>
        <w:numPr>
          <w:ilvl w:val="0"/>
          <w:numId w:val="8"/>
        </w:numPr>
        <w:spacing w:after="0"/>
        <w:rPr>
          <w:szCs w:val="20"/>
          <w:lang w:val="en-GB"/>
        </w:rPr>
      </w:pPr>
      <w:r w:rsidRPr="00666B27">
        <w:rPr>
          <w:szCs w:val="20"/>
          <w:lang w:val="en-GB"/>
        </w:rPr>
        <w:t>Advises the Project Coordinator and project team on the project strategy and implementation methodology;</w:t>
      </w:r>
    </w:p>
    <w:p w:rsidR="00AF23A9" w:rsidRPr="00666B27" w:rsidRDefault="00AF23A9">
      <w:pPr>
        <w:numPr>
          <w:ilvl w:val="0"/>
          <w:numId w:val="8"/>
        </w:numPr>
        <w:spacing w:after="0"/>
        <w:rPr>
          <w:szCs w:val="20"/>
          <w:lang w:val="en-GB"/>
        </w:rPr>
      </w:pPr>
      <w:r w:rsidRPr="00666B27">
        <w:rPr>
          <w:noProof/>
          <w:szCs w:val="20"/>
          <w:lang w:val="en-GB"/>
        </w:rPr>
        <w:t>Advises</w:t>
      </w:r>
      <w:r w:rsidRPr="00666B27">
        <w:rPr>
          <w:szCs w:val="20"/>
          <w:lang w:val="en-GB"/>
        </w:rPr>
        <w:t xml:space="preserve"> on the monitoring and evaluation strategy of the project;</w:t>
      </w:r>
    </w:p>
    <w:p w:rsidR="00AF23A9" w:rsidRPr="00666B27" w:rsidRDefault="00AF23A9">
      <w:pPr>
        <w:numPr>
          <w:ilvl w:val="0"/>
          <w:numId w:val="8"/>
        </w:numPr>
        <w:spacing w:after="0"/>
        <w:rPr>
          <w:szCs w:val="20"/>
          <w:lang w:val="en-GB"/>
        </w:rPr>
      </w:pPr>
      <w:r w:rsidRPr="00666B27">
        <w:rPr>
          <w:szCs w:val="20"/>
          <w:lang w:val="en-GB"/>
        </w:rPr>
        <w:t>Supports the independent mid-term review and terminal evaluation consultants;</w:t>
      </w:r>
      <w:r w:rsidRPr="00666B27">
        <w:rPr>
          <w:lang w:val="en-GB"/>
        </w:rPr>
        <w:t xml:space="preserve"> </w:t>
      </w:r>
      <w:r w:rsidRPr="00666B27">
        <w:rPr>
          <w:szCs w:val="20"/>
          <w:lang w:val="en-GB"/>
        </w:rPr>
        <w:t>support management responses;</w:t>
      </w:r>
    </w:p>
    <w:p w:rsidR="00AF23A9" w:rsidRPr="00666B27" w:rsidRDefault="00AF23A9">
      <w:pPr>
        <w:numPr>
          <w:ilvl w:val="0"/>
          <w:numId w:val="8"/>
        </w:numPr>
        <w:spacing w:after="0"/>
        <w:rPr>
          <w:szCs w:val="20"/>
          <w:lang w:val="en-GB"/>
        </w:rPr>
      </w:pPr>
      <w:r w:rsidRPr="00666B27">
        <w:rPr>
          <w:szCs w:val="20"/>
          <w:lang w:val="en-GB"/>
        </w:rPr>
        <w:t xml:space="preserve">Identifies information requirements </w:t>
      </w:r>
      <w:r w:rsidRPr="00666B27">
        <w:rPr>
          <w:noProof/>
          <w:szCs w:val="20"/>
          <w:lang w:val="en-GB"/>
        </w:rPr>
        <w:t>of</w:t>
      </w:r>
      <w:r w:rsidRPr="00666B27">
        <w:rPr>
          <w:szCs w:val="20"/>
          <w:lang w:val="en-GB"/>
        </w:rPr>
        <w:t xml:space="preserve"> on the market assessments (Outcome 1) and the project components concerning monitoring and evaluation;</w:t>
      </w:r>
    </w:p>
    <w:p w:rsidR="00AF23A9" w:rsidRPr="00666B27" w:rsidRDefault="00AF23A9">
      <w:pPr>
        <w:numPr>
          <w:ilvl w:val="0"/>
          <w:numId w:val="8"/>
        </w:numPr>
        <w:spacing w:after="0"/>
        <w:rPr>
          <w:szCs w:val="20"/>
          <w:lang w:val="en-GB"/>
        </w:rPr>
      </w:pPr>
      <w:r w:rsidRPr="00666B27">
        <w:rPr>
          <w:szCs w:val="20"/>
          <w:lang w:val="en-GB"/>
        </w:rPr>
        <w:t xml:space="preserve">Facilitates annual reviews of the project and produce analytical reports from these annual reviews, including case studies, lessons </w:t>
      </w:r>
      <w:r w:rsidRPr="00666B27">
        <w:rPr>
          <w:noProof/>
          <w:szCs w:val="20"/>
          <w:lang w:val="en-GB"/>
        </w:rPr>
        <w:t>learnt</w:t>
      </w:r>
      <w:r w:rsidRPr="00666B27">
        <w:rPr>
          <w:szCs w:val="20"/>
          <w:lang w:val="en-GB"/>
        </w:rPr>
        <w:t>, other knowledge management products;</w:t>
      </w:r>
    </w:p>
    <w:p w:rsidR="00AF23A9" w:rsidRPr="00666B27" w:rsidRDefault="00AF23A9" w:rsidP="00CC6AD9">
      <w:pPr>
        <w:numPr>
          <w:ilvl w:val="0"/>
          <w:numId w:val="15"/>
        </w:numPr>
        <w:spacing w:after="0"/>
        <w:rPr>
          <w:szCs w:val="20"/>
          <w:lang w:val="en-GB"/>
        </w:rPr>
      </w:pPr>
      <w:r w:rsidRPr="00666B27">
        <w:rPr>
          <w:szCs w:val="20"/>
          <w:lang w:val="en-GB"/>
        </w:rPr>
        <w:t>Assists in the establishment of energy savings and greenhouse gas emission baselines and reporting (tracking too</w:t>
      </w:r>
    </w:p>
    <w:p w:rsidR="00AF23A9" w:rsidRPr="00666B27" w:rsidRDefault="00AF23A9" w:rsidP="00CC6AD9">
      <w:pPr>
        <w:numPr>
          <w:ilvl w:val="0"/>
          <w:numId w:val="15"/>
        </w:numPr>
        <w:spacing w:after="0"/>
        <w:rPr>
          <w:szCs w:val="20"/>
          <w:lang w:val="en-GB"/>
        </w:rPr>
      </w:pPr>
      <w:r w:rsidRPr="00666B27">
        <w:rPr>
          <w:szCs w:val="20"/>
          <w:lang w:val="en-GB"/>
        </w:rPr>
        <w:t>Visits project sites as and when required to appraise project progress and validate written progress reports.</w:t>
      </w:r>
    </w:p>
    <w:p w:rsidR="00AF23A9" w:rsidRPr="00666B27" w:rsidRDefault="00AF23A9" w:rsidP="007031B3">
      <w:pPr>
        <w:numPr>
          <w:ilvl w:val="0"/>
          <w:numId w:val="8"/>
        </w:numPr>
        <w:spacing w:after="0"/>
        <w:rPr>
          <w:szCs w:val="20"/>
          <w:lang w:val="en-GB"/>
        </w:rPr>
      </w:pPr>
      <w:r w:rsidRPr="00666B27">
        <w:rPr>
          <w:noProof/>
          <w:szCs w:val="20"/>
          <w:lang w:val="en-GB"/>
        </w:rPr>
        <w:t>Advises</w:t>
      </w:r>
      <w:r w:rsidRPr="00666B27">
        <w:rPr>
          <w:szCs w:val="20"/>
          <w:lang w:val="en-GB"/>
        </w:rPr>
        <w:t xml:space="preserve"> on the implementation of the project’s M&amp;E plan, including periodic appraisal of the Project’s Theory of Change and Results Framework with reference to actual and potential project progress and results</w:t>
      </w:r>
    </w:p>
    <w:p w:rsidR="00AF23A9" w:rsidRPr="00666B27" w:rsidRDefault="00AF23A9">
      <w:pPr>
        <w:spacing w:after="0"/>
        <w:rPr>
          <w:szCs w:val="20"/>
          <w:lang w:val="en-GB"/>
        </w:rPr>
      </w:pPr>
    </w:p>
    <w:p w:rsidR="00AF23A9" w:rsidRPr="00666B27" w:rsidRDefault="00AF23A9">
      <w:pPr>
        <w:spacing w:after="0"/>
        <w:rPr>
          <w:bCs/>
          <w:szCs w:val="20"/>
          <w:u w:val="single"/>
          <w:lang w:val="en-GB"/>
        </w:rPr>
      </w:pPr>
      <w:r w:rsidRPr="00666B27">
        <w:rPr>
          <w:bCs/>
          <w:szCs w:val="20"/>
          <w:u w:val="single"/>
          <w:lang w:val="en-GB"/>
        </w:rPr>
        <w:t xml:space="preserve">Qualification </w:t>
      </w:r>
    </w:p>
    <w:p w:rsidR="00AF23A9" w:rsidRPr="00666B27" w:rsidRDefault="00AF23A9">
      <w:pPr>
        <w:numPr>
          <w:ilvl w:val="0"/>
          <w:numId w:val="8"/>
        </w:numPr>
        <w:spacing w:after="0"/>
        <w:rPr>
          <w:szCs w:val="20"/>
          <w:lang w:val="en-GB"/>
        </w:rPr>
      </w:pPr>
      <w:r w:rsidRPr="00666B27">
        <w:rPr>
          <w:szCs w:val="20"/>
          <w:lang w:val="en-GB"/>
        </w:rPr>
        <w:t xml:space="preserve">At least 10 years work experience in project design, management and/or monitoring and evaluation, </w:t>
      </w:r>
      <w:proofErr w:type="gramStart"/>
      <w:r w:rsidRPr="00666B27">
        <w:rPr>
          <w:szCs w:val="20"/>
          <w:lang w:val="en-GB"/>
        </w:rPr>
        <w:t>in particular of</w:t>
      </w:r>
      <w:proofErr w:type="gramEnd"/>
      <w:r w:rsidRPr="00666B27">
        <w:rPr>
          <w:szCs w:val="20"/>
          <w:lang w:val="en-GB"/>
        </w:rPr>
        <w:t xml:space="preserve"> GEF funded climate change mitigation projects</w:t>
      </w:r>
    </w:p>
    <w:p w:rsidR="00AF23A9" w:rsidRPr="00666B27" w:rsidRDefault="00AF23A9">
      <w:pPr>
        <w:numPr>
          <w:ilvl w:val="0"/>
          <w:numId w:val="8"/>
        </w:numPr>
        <w:spacing w:after="0"/>
        <w:rPr>
          <w:szCs w:val="20"/>
          <w:lang w:val="en-GB"/>
        </w:rPr>
      </w:pPr>
      <w:r w:rsidRPr="00666B27">
        <w:rPr>
          <w:szCs w:val="20"/>
          <w:lang w:val="en-GB"/>
        </w:rPr>
        <w:t>Good knowledge of results-based project management, particularly with regards to M&amp;E approach and methods</w:t>
      </w:r>
    </w:p>
    <w:p w:rsidR="00AF23A9" w:rsidRPr="00666B27" w:rsidRDefault="00AF23A9">
      <w:pPr>
        <w:numPr>
          <w:ilvl w:val="0"/>
          <w:numId w:val="8"/>
        </w:numPr>
        <w:spacing w:after="0"/>
        <w:rPr>
          <w:szCs w:val="20"/>
          <w:lang w:val="en-GB"/>
        </w:rPr>
      </w:pPr>
      <w:r w:rsidRPr="00666B27">
        <w:rPr>
          <w:szCs w:val="20"/>
          <w:lang w:val="en-GB"/>
        </w:rPr>
        <w:t xml:space="preserve">Experience in energy efficiency required; experience with standards and </w:t>
      </w:r>
      <w:r w:rsidRPr="00666B27">
        <w:rPr>
          <w:noProof/>
          <w:szCs w:val="20"/>
          <w:lang w:val="en-GB"/>
        </w:rPr>
        <w:t>labelling</w:t>
      </w:r>
      <w:r w:rsidRPr="00666B27">
        <w:rPr>
          <w:szCs w:val="20"/>
          <w:lang w:val="en-GB"/>
        </w:rPr>
        <w:t xml:space="preserve"> an advantage</w:t>
      </w:r>
    </w:p>
    <w:p w:rsidR="00AF23A9" w:rsidRPr="00666B27" w:rsidRDefault="00AF23A9">
      <w:pPr>
        <w:numPr>
          <w:ilvl w:val="0"/>
          <w:numId w:val="8"/>
        </w:numPr>
        <w:spacing w:after="0"/>
        <w:rPr>
          <w:szCs w:val="20"/>
          <w:lang w:val="en-GB"/>
        </w:rPr>
      </w:pPr>
      <w:r w:rsidRPr="00666B27">
        <w:rPr>
          <w:szCs w:val="20"/>
          <w:lang w:val="en-GB"/>
        </w:rPr>
        <w:t>University education in engineering, energy, physics, business management or relevant field (at least MSc-eq.)</w:t>
      </w:r>
    </w:p>
    <w:p w:rsidR="00AF23A9" w:rsidRPr="00666B27" w:rsidRDefault="00AF23A9">
      <w:pPr>
        <w:numPr>
          <w:ilvl w:val="0"/>
          <w:numId w:val="8"/>
        </w:numPr>
        <w:spacing w:after="0"/>
        <w:rPr>
          <w:szCs w:val="20"/>
          <w:lang w:val="en-GB"/>
        </w:rPr>
      </w:pPr>
      <w:r w:rsidRPr="00666B27">
        <w:rPr>
          <w:szCs w:val="20"/>
          <w:lang w:val="en-GB"/>
        </w:rPr>
        <w:t xml:space="preserve">Good interpersonal and communication skills </w:t>
      </w:r>
    </w:p>
    <w:p w:rsidR="00AF23A9" w:rsidRPr="00666B27" w:rsidRDefault="00AF23A9">
      <w:pPr>
        <w:numPr>
          <w:ilvl w:val="0"/>
          <w:numId w:val="8"/>
        </w:numPr>
        <w:spacing w:after="0"/>
        <w:rPr>
          <w:szCs w:val="20"/>
          <w:lang w:val="en-GB"/>
        </w:rPr>
      </w:pPr>
      <w:r w:rsidRPr="00666B27">
        <w:rPr>
          <w:szCs w:val="20"/>
          <w:lang w:val="en-GB"/>
        </w:rPr>
        <w:t xml:space="preserve">Strong computer skills (Microsoft Office, Internet); good language skills in English (writing, speaking </w:t>
      </w:r>
      <w:r w:rsidRPr="00666B27">
        <w:rPr>
          <w:noProof/>
          <w:szCs w:val="20"/>
          <w:lang w:val="en-GB"/>
        </w:rPr>
        <w:t>and</w:t>
      </w:r>
      <w:r w:rsidRPr="00666B27">
        <w:rPr>
          <w:szCs w:val="20"/>
          <w:lang w:val="en-GB"/>
        </w:rPr>
        <w:t xml:space="preserve"> reading)</w:t>
      </w:r>
    </w:p>
    <w:p w:rsidR="00845C9E" w:rsidRPr="00666B27" w:rsidRDefault="00845C9E" w:rsidP="00CC6AD9">
      <w:pPr>
        <w:spacing w:after="0"/>
        <w:rPr>
          <w:b/>
          <w:i/>
          <w:szCs w:val="20"/>
          <w:lang w:val="en-GB"/>
        </w:rPr>
      </w:pPr>
      <w:r w:rsidRPr="00666B27">
        <w:rPr>
          <w:b/>
          <w:i/>
          <w:szCs w:val="20"/>
          <w:lang w:val="en-GB"/>
        </w:rPr>
        <w:br w:type="page"/>
      </w:r>
    </w:p>
    <w:p w:rsidR="008041EB" w:rsidRPr="00666B27" w:rsidRDefault="008041EB" w:rsidP="008041EB">
      <w:pPr>
        <w:spacing w:after="0"/>
        <w:jc w:val="left"/>
        <w:rPr>
          <w:b/>
          <w:i/>
          <w:szCs w:val="20"/>
          <w:lang w:val="en-GB"/>
        </w:rPr>
      </w:pPr>
    </w:p>
    <w:p w:rsidR="00CA2834" w:rsidRPr="00666B27" w:rsidRDefault="00CA2834" w:rsidP="00C03C12">
      <w:pPr>
        <w:spacing w:after="0"/>
        <w:rPr>
          <w:b/>
          <w:i/>
          <w:szCs w:val="20"/>
          <w:lang w:val="en-GB"/>
        </w:rPr>
      </w:pPr>
    </w:p>
    <w:p w:rsidR="00545982" w:rsidRPr="00666B27" w:rsidRDefault="00545982" w:rsidP="00123E4F">
      <w:pPr>
        <w:pStyle w:val="HeadingA"/>
        <w:tabs>
          <w:tab w:val="clear" w:pos="1701"/>
          <w:tab w:val="left" w:pos="1418"/>
          <w:tab w:val="left" w:pos="2127"/>
          <w:tab w:val="left" w:pos="2268"/>
          <w:tab w:val="left" w:pos="2552"/>
        </w:tabs>
        <w:ind w:left="1418" w:hanging="1418"/>
      </w:pPr>
      <w:bookmarkStart w:id="190" w:name="_Toc340779"/>
      <w:r w:rsidRPr="00666B27">
        <w:t>Gender analysis and action plan</w:t>
      </w:r>
      <w:bookmarkEnd w:id="190"/>
    </w:p>
    <w:p w:rsidR="00545982" w:rsidRPr="00666B27" w:rsidRDefault="00545982" w:rsidP="00545982">
      <w:pPr>
        <w:rPr>
          <w:lang w:val="en-GB"/>
        </w:rPr>
      </w:pPr>
    </w:p>
    <w:p w:rsidR="00AD7582" w:rsidRPr="00666B27" w:rsidRDefault="00AD7582" w:rsidP="00545982">
      <w:pPr>
        <w:rPr>
          <w:lang w:val="en-GB"/>
        </w:rPr>
      </w:pPr>
    </w:p>
    <w:p w:rsidR="00545982" w:rsidRPr="00666B27" w:rsidRDefault="00AD7582" w:rsidP="00346DFA">
      <w:pPr>
        <w:pStyle w:val="HeadingA2"/>
        <w:numPr>
          <w:ilvl w:val="1"/>
          <w:numId w:val="57"/>
        </w:numPr>
      </w:pPr>
      <w:bookmarkStart w:id="191" w:name="_Toc497856147"/>
      <w:bookmarkStart w:id="192" w:name="_Toc340780"/>
      <w:r w:rsidRPr="00666B27">
        <w:t>Gender mainstreaming analysis</w:t>
      </w:r>
      <w:bookmarkEnd w:id="191"/>
      <w:bookmarkEnd w:id="192"/>
    </w:p>
    <w:p w:rsidR="00AD7582" w:rsidRPr="00666B27" w:rsidRDefault="00AD7582" w:rsidP="00AD7582">
      <w:pPr>
        <w:rPr>
          <w:lang w:val="en-GB" w:eastAsia="en-GB"/>
        </w:rPr>
      </w:pPr>
    </w:p>
    <w:p w:rsidR="00E8708D" w:rsidRPr="00666B27" w:rsidRDefault="00E8708D" w:rsidP="00E8708D">
      <w:pPr>
        <w:spacing w:after="0"/>
        <w:rPr>
          <w:u w:val="single"/>
          <w:lang w:val="en-GB" w:eastAsia="en-GB"/>
        </w:rPr>
      </w:pPr>
      <w:r w:rsidRPr="00666B27">
        <w:rPr>
          <w:u w:val="single"/>
          <w:lang w:val="en-GB" w:eastAsia="en-GB"/>
        </w:rPr>
        <w:t>Introduction</w:t>
      </w:r>
    </w:p>
    <w:p w:rsidR="00E8708D" w:rsidRPr="00666B27" w:rsidRDefault="00E8708D" w:rsidP="00E8708D">
      <w:pPr>
        <w:spacing w:after="0"/>
        <w:rPr>
          <w:u w:val="single"/>
          <w:lang w:val="en-GB" w:eastAsia="en-GB"/>
        </w:rPr>
      </w:pPr>
    </w:p>
    <w:p w:rsidR="00E8708D" w:rsidRPr="00666B27" w:rsidRDefault="00E8708D" w:rsidP="00E8708D">
      <w:pPr>
        <w:spacing w:after="0"/>
        <w:rPr>
          <w:lang w:val="en-GB" w:eastAsia="en-GB"/>
        </w:rPr>
      </w:pPr>
      <w:r w:rsidRPr="00666B27">
        <w:rPr>
          <w:lang w:val="en-GB" w:eastAsia="en-GB"/>
        </w:rPr>
        <w:t>A review of the gender equality gap of South Africa found that the country has a very narrow global gender gap Index according to the 2016 Global Gender Gap Report of the World Economic Forum. Accordingly, South Africa is ranked 15</w:t>
      </w:r>
      <w:r w:rsidRPr="00666B27">
        <w:rPr>
          <w:vertAlign w:val="superscript"/>
          <w:lang w:val="en-GB" w:eastAsia="en-GB"/>
        </w:rPr>
        <w:t>th</w:t>
      </w:r>
      <w:r w:rsidRPr="00666B27">
        <w:rPr>
          <w:lang w:val="en-GB" w:eastAsia="en-GB"/>
        </w:rPr>
        <w:t xml:space="preserve"> out of 147 countries.  The country has moved three notches up from No 18 in 2006 to where it is now, signifying a lot of improvement in closing the gender gap. Improvements in rankings have also been observed in other areas, like in political empowerment, where South Africa is ranked No. 13. With regards to having women representatives in Parliament, the </w:t>
      </w:r>
      <w:r w:rsidRPr="00666B27">
        <w:rPr>
          <w:i/>
          <w:lang w:val="en-GB" w:eastAsia="en-GB"/>
        </w:rPr>
        <w:t>African Human Development Report</w:t>
      </w:r>
      <w:r w:rsidRPr="00666B27">
        <w:rPr>
          <w:lang w:val="en-GB" w:eastAsia="en-GB"/>
        </w:rPr>
        <w:t xml:space="preserve"> (2016) ranks South Africa second only after Rwanda. South African has a 42% representation of women in Parliament.  Also, according to the African Human Development Index, South Africa is shown to have made progress in </w:t>
      </w:r>
      <w:proofErr w:type="gramStart"/>
      <w:r w:rsidRPr="00666B27">
        <w:rPr>
          <w:lang w:val="en-GB" w:eastAsia="en-GB"/>
        </w:rPr>
        <w:t>a number of</w:t>
      </w:r>
      <w:proofErr w:type="gramEnd"/>
      <w:r w:rsidRPr="00666B27">
        <w:rPr>
          <w:lang w:val="en-GB" w:eastAsia="en-GB"/>
        </w:rPr>
        <w:t xml:space="preserve"> other categories assessed, e.g. gender equality; economic dimensions; education etc.</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The many pieces of legislation in place that try to address the issue of gender equality are topped by the Constitution of the country. As if to emphasize its stance, the word “gender” in the Constitution is mentioned 157 times; and in terms of our laws and policies, gender mainstreaming is </w:t>
      </w:r>
      <w:r w:rsidRPr="00666B27">
        <w:rPr>
          <w:noProof/>
          <w:lang w:val="en-GB" w:eastAsia="en-GB"/>
        </w:rPr>
        <w:t>prioritised</w:t>
      </w:r>
      <w:r w:rsidRPr="00666B27">
        <w:rPr>
          <w:lang w:val="en-GB" w:eastAsia="en-GB"/>
        </w:rPr>
        <w:t xml:space="preserve">, meaning government and business should assess, the implications for both men and women of any planned intervention, including all legislation, policies or programmes.   In its opening statements, the Constitution asserts the sovereignty of the country, being a democratic state founded on </w:t>
      </w:r>
      <w:r w:rsidRPr="00666B27">
        <w:rPr>
          <w:noProof/>
          <w:lang w:val="en-GB" w:eastAsia="en-GB"/>
        </w:rPr>
        <w:t>values</w:t>
      </w:r>
      <w:r w:rsidRPr="00666B27">
        <w:rPr>
          <w:lang w:val="en-GB" w:eastAsia="en-GB"/>
        </w:rPr>
        <w:t xml:space="preserve"> of human dignity, the achievement of equality, and the advancement of human rights and freedom. This is the first clause in the Constitution. The second clause refers to non-racialism and non- sexism. This is followed by the equality clause in the section of the Bill of Rights.    </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South Africa also had an Employment Equity Act</w:t>
      </w:r>
      <w:r w:rsidRPr="0057545E">
        <w:rPr>
          <w:vertAlign w:val="superscript"/>
          <w:lang w:val="en-GB" w:eastAsia="en-GB"/>
        </w:rPr>
        <w:footnoteReference w:id="20"/>
      </w:r>
      <w:r w:rsidRPr="0057545E">
        <w:rPr>
          <w:lang w:val="en-GB" w:eastAsia="en-GB"/>
        </w:rPr>
        <w:t xml:space="preserve"> that has recently been amended to Broad-Based Employment Equity Act. It aims to effect positive transformation in the business world, by</w:t>
      </w:r>
      <w:r w:rsidRPr="00353542">
        <w:rPr>
          <w:lang w:val="en-GB" w:eastAsia="en-GB"/>
        </w:rPr>
        <w:t xml:space="preserve"> addressing </w:t>
      </w:r>
      <w:r w:rsidRPr="003B7D62">
        <w:rPr>
          <w:lang w:val="en-GB" w:eastAsia="en-GB"/>
        </w:rPr>
        <w:t>the legacy of apartheid and enable greater black economic participation using a point system; and to ensure that no work would be reserved for a special group of people as was the case during apartheid times.  Instead, it tries to redress the past imbalances by ensuring that everybody is granted equal employment opportunity, especially Black men and women who were previously disadvantaged by the previous apartheid laws.  The P</w:t>
      </w:r>
      <w:bookmarkStart w:id="193" w:name="_Hlk496983721"/>
      <w:r w:rsidRPr="003B7D62">
        <w:rPr>
          <w:lang w:val="en-GB" w:eastAsia="en-GB"/>
        </w:rPr>
        <w:t>referential Procurement Policy Framework</w:t>
      </w:r>
      <w:bookmarkEnd w:id="193"/>
      <w:r w:rsidRPr="003B7D62">
        <w:rPr>
          <w:lang w:val="en-GB" w:eastAsia="en-GB"/>
        </w:rPr>
        <w:t xml:space="preserve"> (PPPF) is the policy instrume</w:t>
      </w:r>
      <w:r w:rsidRPr="004722F0">
        <w:rPr>
          <w:lang w:val="en-GB" w:eastAsia="en-GB"/>
        </w:rPr>
        <w:t>nt devised t</w:t>
      </w:r>
      <w:r w:rsidRPr="00666B27">
        <w:rPr>
          <w:lang w:val="en-GB" w:eastAsia="en-GB"/>
        </w:rPr>
        <w:t>o assist in the promotion of participation of women in the economy. However, the application and implementation of the PPPF have been fraught with many irregularities and inconsistencies.</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Given the evidence of a positive correlation between gender equality and the economic well-being of countries, this makes a compelling argument for equal opportunities and greater inclusion of Women-Owned Businesses (WOBs) in government supply chains</w:t>
      </w:r>
      <w:r w:rsidRPr="0057545E">
        <w:rPr>
          <w:vertAlign w:val="superscript"/>
          <w:lang w:val="en-GB" w:eastAsia="en-GB"/>
        </w:rPr>
        <w:footnoteReference w:id="21"/>
      </w:r>
      <w:r w:rsidRPr="0057545E">
        <w:rPr>
          <w:lang w:val="en-GB" w:eastAsia="en-GB"/>
        </w:rPr>
        <w:t>. Internationally, where success has been made with the invo</w:t>
      </w:r>
      <w:r w:rsidRPr="00353542">
        <w:rPr>
          <w:lang w:val="en-GB" w:eastAsia="en-GB"/>
        </w:rPr>
        <w:t>lvement of W</w:t>
      </w:r>
      <w:r w:rsidRPr="003B7D62">
        <w:rPr>
          <w:lang w:val="en-GB" w:eastAsia="en-GB"/>
        </w:rPr>
        <w:t>OBs, has been in countries where a conducive policy environment exists, accompanied by set goals like in the USA, where a set goal of 5% of federal procurement expenditure is awarded to WOBs. The other contributory mechanism that guaranteed the achievement of this target was the reserving of contracts for WOBs especially in sectors that are viewed as under-represented.  South Africa like other countries is characterized by a hostile business environment – corruption, where progress of WOBs, is i</w:t>
      </w:r>
      <w:r w:rsidRPr="004722F0">
        <w:rPr>
          <w:lang w:val="en-GB" w:eastAsia="en-GB"/>
        </w:rPr>
        <w:t xml:space="preserve">nhibited by </w:t>
      </w:r>
      <w:r w:rsidRPr="00666B27">
        <w:rPr>
          <w:lang w:val="en-GB" w:eastAsia="en-GB"/>
        </w:rPr>
        <w:t xml:space="preserve">“well-established communication and cronyism”; bribery- in procurement processes, which has become big business globally; preferential treatment towards established contractors; companies fronting as WOBs; lack of information about procurement processes, etc. </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South Africa also made use of PPPF to create greater opportunities for formerly-marginalized groups of society to promote their access and visibility in public procurement spending. However, </w:t>
      </w:r>
      <w:proofErr w:type="gramStart"/>
      <w:r w:rsidRPr="00666B27">
        <w:rPr>
          <w:lang w:val="en-GB" w:eastAsia="en-GB"/>
        </w:rPr>
        <w:t>in spite of</w:t>
      </w:r>
      <w:proofErr w:type="gramEnd"/>
      <w:r w:rsidRPr="00666B27">
        <w:rPr>
          <w:lang w:val="en-GB" w:eastAsia="en-GB"/>
        </w:rPr>
        <w:t xml:space="preserve"> the PPPF existing WOBs still face barriers in accessing government procurement and supply chains, and they are under-represented in public procurement when compared to their male counterparts, accounting for less than one-quarter of procurement spend.  </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Contributing factors to this </w:t>
      </w:r>
      <w:proofErr w:type="gramStart"/>
      <w:r w:rsidRPr="00666B27">
        <w:rPr>
          <w:lang w:val="en-GB" w:eastAsia="en-GB"/>
        </w:rPr>
        <w:t>are seen as</w:t>
      </w:r>
      <w:proofErr w:type="gramEnd"/>
      <w:r w:rsidRPr="00666B27">
        <w:rPr>
          <w:lang w:val="en-GB" w:eastAsia="en-GB"/>
        </w:rPr>
        <w:t>:</w:t>
      </w:r>
    </w:p>
    <w:p w:rsidR="00E8708D" w:rsidRPr="00666B27" w:rsidRDefault="00E8708D" w:rsidP="00E8708D">
      <w:pPr>
        <w:tabs>
          <w:tab w:val="left" w:pos="426"/>
        </w:tabs>
        <w:spacing w:after="0"/>
        <w:ind w:left="284" w:hanging="284"/>
        <w:rPr>
          <w:lang w:val="en-GB" w:eastAsia="en-GB"/>
        </w:rPr>
      </w:pPr>
      <w:r w:rsidRPr="00666B27">
        <w:rPr>
          <w:lang w:val="en-GB" w:eastAsia="en-GB"/>
        </w:rPr>
        <w:t>•</w:t>
      </w:r>
      <w:r w:rsidRPr="00666B27">
        <w:rPr>
          <w:lang w:val="en-GB" w:eastAsia="en-GB"/>
        </w:rPr>
        <w:tab/>
        <w:t xml:space="preserve">The absence of a policy stance that explicitly promotes equality for WOBs and drives the promotion of WOBs in public procurement in South Africa. </w:t>
      </w:r>
    </w:p>
    <w:p w:rsidR="00E8708D" w:rsidRPr="00666B27" w:rsidRDefault="00E8708D" w:rsidP="00E8708D">
      <w:pPr>
        <w:tabs>
          <w:tab w:val="left" w:pos="426"/>
        </w:tabs>
        <w:spacing w:after="0"/>
        <w:ind w:left="284" w:hanging="284"/>
        <w:rPr>
          <w:lang w:val="en-GB" w:eastAsia="en-GB"/>
        </w:rPr>
      </w:pPr>
      <w:r w:rsidRPr="00666B27">
        <w:rPr>
          <w:lang w:val="en-GB" w:eastAsia="en-GB"/>
        </w:rPr>
        <w:t>•</w:t>
      </w:r>
      <w:r w:rsidRPr="00666B27">
        <w:rPr>
          <w:lang w:val="en-GB" w:eastAsia="en-GB"/>
        </w:rPr>
        <w:tab/>
        <w:t>Technicalities such as definitional inconsistencies in terms of what is defined as a WOB;</w:t>
      </w:r>
    </w:p>
    <w:p w:rsidR="00E8708D" w:rsidRPr="00666B27" w:rsidRDefault="00E8708D" w:rsidP="00E8708D">
      <w:pPr>
        <w:tabs>
          <w:tab w:val="left" w:pos="426"/>
        </w:tabs>
        <w:spacing w:after="0"/>
        <w:ind w:left="284" w:hanging="284"/>
        <w:rPr>
          <w:lang w:val="en-GB" w:eastAsia="en-GB"/>
        </w:rPr>
      </w:pPr>
      <w:r w:rsidRPr="00666B27">
        <w:rPr>
          <w:lang w:val="en-GB" w:eastAsia="en-GB"/>
        </w:rPr>
        <w:t>•</w:t>
      </w:r>
      <w:r w:rsidRPr="00666B27">
        <w:rPr>
          <w:lang w:val="en-GB" w:eastAsia="en-GB"/>
        </w:rPr>
        <w:tab/>
        <w:t xml:space="preserve">Lack of standardized targets for allocation of a share of </w:t>
      </w:r>
      <w:r w:rsidRPr="00666B27">
        <w:rPr>
          <w:noProof/>
          <w:lang w:val="en-GB" w:eastAsia="en-GB"/>
        </w:rPr>
        <w:t>a public</w:t>
      </w:r>
      <w:r w:rsidRPr="00666B27">
        <w:rPr>
          <w:lang w:val="en-GB" w:eastAsia="en-GB"/>
        </w:rPr>
        <w:t xml:space="preserve"> procurement to WOBs;</w:t>
      </w:r>
    </w:p>
    <w:p w:rsidR="00E8708D" w:rsidRPr="00666B27" w:rsidRDefault="00E8708D" w:rsidP="00E8708D">
      <w:pPr>
        <w:tabs>
          <w:tab w:val="left" w:pos="426"/>
        </w:tabs>
        <w:spacing w:after="0"/>
        <w:ind w:left="284" w:hanging="284"/>
        <w:rPr>
          <w:lang w:val="en-GB" w:eastAsia="en-GB"/>
        </w:rPr>
      </w:pPr>
      <w:r w:rsidRPr="00666B27">
        <w:rPr>
          <w:lang w:val="en-GB" w:eastAsia="en-GB"/>
        </w:rPr>
        <w:t>•</w:t>
      </w:r>
      <w:r w:rsidRPr="00666B27">
        <w:rPr>
          <w:lang w:val="en-GB" w:eastAsia="en-GB"/>
        </w:rPr>
        <w:tab/>
        <w:t>And the absence of a homogenous monitoring framework to track public procurement spending awarded to WOBs and a lack of repercussions for not meeting targets.</w:t>
      </w:r>
    </w:p>
    <w:p w:rsidR="00E8708D" w:rsidRPr="00666B27" w:rsidRDefault="00E8708D" w:rsidP="00E8708D">
      <w:pPr>
        <w:spacing w:after="0"/>
        <w:rPr>
          <w:lang w:val="en-GB" w:eastAsia="en-GB"/>
        </w:rPr>
      </w:pPr>
    </w:p>
    <w:p w:rsidR="00E8708D" w:rsidRPr="00353542" w:rsidRDefault="00E8708D" w:rsidP="00E8708D">
      <w:pPr>
        <w:spacing w:after="0"/>
        <w:rPr>
          <w:lang w:val="en-GB" w:eastAsia="en-GB"/>
        </w:rPr>
      </w:pPr>
      <w:r w:rsidRPr="00666B27">
        <w:rPr>
          <w:lang w:val="en-GB" w:eastAsia="en-GB"/>
        </w:rPr>
        <w:t>Broadly speaking, there is a non-progressive approach application of ‘women and employment’ policy with various interpretations across national, provincial and local levels of government as well as state-owned enterprises</w:t>
      </w:r>
      <w:r w:rsidRPr="0057545E">
        <w:rPr>
          <w:vertAlign w:val="superscript"/>
          <w:lang w:val="en-GB" w:eastAsia="en-GB"/>
        </w:rPr>
        <w:footnoteReference w:id="22"/>
      </w:r>
      <w:r w:rsidRPr="0057545E">
        <w:rPr>
          <w:lang w:val="en-GB" w:eastAsia="en-GB"/>
        </w:rPr>
        <w:t xml:space="preserve">. </w:t>
      </w:r>
    </w:p>
    <w:p w:rsidR="00E8708D" w:rsidRPr="003B7D62" w:rsidRDefault="00E8708D" w:rsidP="00E8708D">
      <w:pPr>
        <w:spacing w:after="0"/>
        <w:rPr>
          <w:lang w:val="en-GB" w:eastAsia="en-GB"/>
        </w:rPr>
      </w:pPr>
    </w:p>
    <w:p w:rsidR="00E8708D" w:rsidRPr="00666B27" w:rsidRDefault="00E8708D" w:rsidP="00E8708D">
      <w:pPr>
        <w:spacing w:after="0"/>
        <w:rPr>
          <w:lang w:val="en-GB" w:eastAsia="en-GB"/>
        </w:rPr>
      </w:pPr>
      <w:r w:rsidRPr="004722F0">
        <w:rPr>
          <w:lang w:val="en-GB" w:eastAsia="en-GB"/>
        </w:rPr>
        <w:t>South Africa though has made s</w:t>
      </w:r>
      <w:r w:rsidRPr="00666B27">
        <w:rPr>
          <w:lang w:val="en-GB" w:eastAsia="en-GB"/>
        </w:rPr>
        <w:t xml:space="preserve">trides in the legal sphere by way of ratifying and or approving a wide range of international and regional norms and conventions, putting its own policies in place, but the application and implementation of these </w:t>
      </w:r>
      <w:r w:rsidRPr="00666B27">
        <w:rPr>
          <w:noProof/>
          <w:lang w:val="en-GB" w:eastAsia="en-GB"/>
        </w:rPr>
        <w:t>is</w:t>
      </w:r>
      <w:r w:rsidRPr="00666B27">
        <w:rPr>
          <w:lang w:val="en-GB" w:eastAsia="en-GB"/>
        </w:rPr>
        <w:t xml:space="preserve"> often flawed by social norms that exist at national and at </w:t>
      </w:r>
      <w:r w:rsidRPr="00666B27">
        <w:rPr>
          <w:noProof/>
          <w:lang w:val="en-GB" w:eastAsia="en-GB"/>
        </w:rPr>
        <w:t>local</w:t>
      </w:r>
      <w:r w:rsidRPr="00666B27">
        <w:rPr>
          <w:lang w:val="en-GB" w:eastAsia="en-GB"/>
        </w:rPr>
        <w:t xml:space="preserve"> level.  There are still some significant issues that women still face in South Africa, such as domestic violence, sexual harassment in the workplace, unequal pay etc. Hence 68 years after the Universal Declaration of Human Rights was ratified, and 61 years after the 20,000 women of South Africa marched to the Union Buildings to petition against unjust laws, until the years of Sustainable Development Goals (SDGs) of today, global attention still remains focused on promoting human rights and eliminating discrimination and inequitable outcomes for women, men, girls </w:t>
      </w:r>
      <w:r w:rsidRPr="00666B27">
        <w:rPr>
          <w:noProof/>
          <w:lang w:val="en-GB" w:eastAsia="en-GB"/>
        </w:rPr>
        <w:t>and</w:t>
      </w:r>
      <w:r w:rsidRPr="00666B27">
        <w:rPr>
          <w:lang w:val="en-GB" w:eastAsia="en-GB"/>
        </w:rPr>
        <w:t xml:space="preserve"> boys.</w:t>
      </w:r>
    </w:p>
    <w:p w:rsidR="00E8708D" w:rsidRPr="00666B27" w:rsidRDefault="00E8708D" w:rsidP="00E8708D">
      <w:pPr>
        <w:spacing w:after="0"/>
        <w:rPr>
          <w:lang w:val="en-GB" w:eastAsia="en-GB"/>
        </w:rPr>
      </w:pPr>
    </w:p>
    <w:p w:rsidR="00E8708D" w:rsidRPr="00666B27" w:rsidRDefault="00E8708D" w:rsidP="00E8708D">
      <w:pPr>
        <w:spacing w:after="0"/>
        <w:rPr>
          <w:u w:val="single"/>
          <w:lang w:val="en-GB" w:eastAsia="en-GB"/>
        </w:rPr>
      </w:pPr>
      <w:r w:rsidRPr="00666B27">
        <w:rPr>
          <w:u w:val="single"/>
          <w:lang w:val="en-GB" w:eastAsia="en-GB"/>
        </w:rPr>
        <w:t xml:space="preserve">Gender equality: </w:t>
      </w:r>
      <w:r w:rsidRPr="00666B27">
        <w:rPr>
          <w:noProof/>
          <w:u w:val="single"/>
          <w:lang w:val="en-GB" w:eastAsia="en-GB"/>
        </w:rPr>
        <w:t>political</w:t>
      </w:r>
      <w:r w:rsidRPr="00666B27">
        <w:rPr>
          <w:u w:val="single"/>
          <w:lang w:val="en-GB" w:eastAsia="en-GB"/>
        </w:rPr>
        <w:t xml:space="preserve"> dimension</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Women’s access to political power and decision-making has improved since the 1994 General Elections.  There is a strong representation of women in the national, provincial and local legislative branches of government and in some governments departments. The high representation of women in the political sphere in South Africa is especially visible at the national, where in terms of the 2016 rankings by both the </w:t>
      </w:r>
      <w:r w:rsidRPr="00666B27">
        <w:rPr>
          <w:i/>
          <w:lang w:val="en-GB" w:eastAsia="en-GB"/>
        </w:rPr>
        <w:t>African Human Development Report</w:t>
      </w:r>
      <w:r w:rsidRPr="00666B27">
        <w:rPr>
          <w:lang w:val="en-GB" w:eastAsia="en-GB"/>
        </w:rPr>
        <w:t xml:space="preserve"> (UNDP, 2016) and the</w:t>
      </w:r>
      <w:r w:rsidRPr="00666B27">
        <w:rPr>
          <w:i/>
          <w:lang w:val="en-GB" w:eastAsia="en-GB"/>
        </w:rPr>
        <w:t xml:space="preserve"> Global Gender Gap Report </w:t>
      </w:r>
      <w:r w:rsidRPr="00666B27">
        <w:rPr>
          <w:lang w:val="en-GB" w:eastAsia="en-GB"/>
        </w:rPr>
        <w:t xml:space="preserve">(World Economic Forum, 2016) state that women represent 42% of parliamentarians. At the provincial level, the figure is put at 24%, while at local government 19% of </w:t>
      </w:r>
      <w:r w:rsidRPr="00666B27">
        <w:rPr>
          <w:noProof/>
          <w:lang w:val="en-GB" w:eastAsia="en-GB"/>
        </w:rPr>
        <w:t>councillors</w:t>
      </w:r>
      <w:r w:rsidRPr="00666B27">
        <w:rPr>
          <w:lang w:val="en-GB" w:eastAsia="en-GB"/>
        </w:rPr>
        <w:t xml:space="preserve"> are women and 14% of Executive Committees are female.   The challenge to political institutions is to change their culture in order to be more responsive to the needs of women politicians and of civil servants. Having a sizable number of women in ministerial positions, the country is ranked 13</w:t>
      </w:r>
      <w:r w:rsidRPr="00666B27">
        <w:rPr>
          <w:vertAlign w:val="superscript"/>
          <w:lang w:val="en-GB" w:eastAsia="en-GB"/>
        </w:rPr>
        <w:t>th</w:t>
      </w:r>
      <w:r w:rsidRPr="00666B27">
        <w:rPr>
          <w:lang w:val="en-GB" w:eastAsia="en-GB"/>
        </w:rPr>
        <w:t xml:space="preserve"> on a global scale.  However, as far as </w:t>
      </w:r>
      <w:r w:rsidR="00C45283" w:rsidRPr="00666B27">
        <w:rPr>
          <w:lang w:val="en-GB" w:eastAsia="en-GB"/>
        </w:rPr>
        <w:t xml:space="preserve">the </w:t>
      </w:r>
      <w:r w:rsidRPr="00666B27">
        <w:rPr>
          <w:noProof/>
          <w:lang w:val="en-GB" w:eastAsia="en-GB"/>
        </w:rPr>
        <w:t>literacy</w:t>
      </w:r>
      <w:r w:rsidRPr="00666B27">
        <w:rPr>
          <w:lang w:val="en-GB" w:eastAsia="en-GB"/>
        </w:rPr>
        <w:t xml:space="preserve"> rate is concerned, the country is ranked 85</w:t>
      </w:r>
      <w:r w:rsidRPr="00666B27">
        <w:rPr>
          <w:vertAlign w:val="superscript"/>
          <w:lang w:val="en-GB" w:eastAsia="en-GB"/>
        </w:rPr>
        <w:t>th</w:t>
      </w:r>
      <w:r w:rsidRPr="00666B27">
        <w:rPr>
          <w:lang w:val="en-GB" w:eastAsia="en-GB"/>
        </w:rPr>
        <w:t xml:space="preserve">.  This helps to explain the poor performance by the country in </w:t>
      </w:r>
      <w:proofErr w:type="gramStart"/>
      <w:r w:rsidRPr="00666B27">
        <w:rPr>
          <w:lang w:val="en-GB" w:eastAsia="en-GB"/>
        </w:rPr>
        <w:t>a number of</w:t>
      </w:r>
      <w:proofErr w:type="gramEnd"/>
      <w:r w:rsidRPr="00666B27">
        <w:rPr>
          <w:lang w:val="en-GB" w:eastAsia="en-GB"/>
        </w:rPr>
        <w:t xml:space="preserve"> spheres including energy, as far as the project under review is concerned.</w:t>
      </w:r>
    </w:p>
    <w:p w:rsidR="00E8708D" w:rsidRPr="00666B27" w:rsidRDefault="00E8708D" w:rsidP="00E8708D">
      <w:pPr>
        <w:spacing w:after="0"/>
        <w:rPr>
          <w:lang w:val="en-GB" w:eastAsia="en-GB"/>
        </w:rPr>
      </w:pPr>
    </w:p>
    <w:p w:rsidR="00E8708D" w:rsidRPr="00666B27" w:rsidRDefault="00E8708D" w:rsidP="00E8708D">
      <w:pPr>
        <w:spacing w:after="0"/>
        <w:rPr>
          <w:u w:val="single"/>
          <w:lang w:val="en-GB" w:eastAsia="en-GB"/>
        </w:rPr>
      </w:pPr>
      <w:r w:rsidRPr="00666B27">
        <w:rPr>
          <w:u w:val="single"/>
          <w:lang w:val="en-GB" w:eastAsia="en-GB"/>
        </w:rPr>
        <w:t>Gender equality demographic and economic dimensions</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According to Statistics South Africa, 2016 mid-ear population estimates put South Africa’s population at 55.9 million). Of this total, approximately 51% is female (28.5 million). About 30.1 million of the population is aged younger than 15 years, and approximately, 8.0% (4.5 million) is 60 years or older. Of note is that the proportion of older persons aged 60 years or older is increasing over time. Life expectancy at birth for 2016 is estimated at 59.7 years for males and 65.1 years for females.</w:t>
      </w:r>
    </w:p>
    <w:p w:rsidR="00E8708D" w:rsidRPr="00666B27" w:rsidRDefault="00E8708D" w:rsidP="00E8708D">
      <w:pPr>
        <w:spacing w:after="0"/>
        <w:rPr>
          <w:lang w:val="en-GB" w:eastAsia="en-GB"/>
        </w:rPr>
      </w:pPr>
    </w:p>
    <w:p w:rsidR="00E8708D" w:rsidRPr="00353542" w:rsidRDefault="00E8708D" w:rsidP="00E8708D">
      <w:pPr>
        <w:spacing w:after="0"/>
        <w:rPr>
          <w:lang w:val="en-GB" w:eastAsia="en-GB"/>
        </w:rPr>
      </w:pPr>
      <w:r w:rsidRPr="00666B27">
        <w:rPr>
          <w:lang w:val="en-GB" w:eastAsia="en-GB"/>
        </w:rPr>
        <w:t xml:space="preserve">In South Africa, the </w:t>
      </w:r>
      <w:r w:rsidRPr="00666B27">
        <w:rPr>
          <w:noProof/>
          <w:lang w:val="en-GB" w:eastAsia="en-GB"/>
        </w:rPr>
        <w:t>labour</w:t>
      </w:r>
      <w:r w:rsidRPr="00666B27">
        <w:rPr>
          <w:lang w:val="en-GB" w:eastAsia="en-GB"/>
        </w:rPr>
        <w:t xml:space="preserve"> market is highly skewed, meaning that women representation in leadership positions across all sectors in the economy is very low. This, despite </w:t>
      </w:r>
      <w:r w:rsidRPr="00666B27">
        <w:rPr>
          <w:noProof/>
          <w:lang w:val="en-GB" w:eastAsia="en-GB"/>
        </w:rPr>
        <w:t>the,</w:t>
      </w:r>
      <w:r w:rsidRPr="00666B27">
        <w:rPr>
          <w:lang w:val="en-GB" w:eastAsia="en-GB"/>
        </w:rPr>
        <w:t xml:space="preserve"> much talked about, </w:t>
      </w:r>
      <w:r w:rsidRPr="00666B27">
        <w:rPr>
          <w:noProof/>
          <w:lang w:val="en-GB" w:eastAsia="en-GB"/>
        </w:rPr>
        <w:t>correlation</w:t>
      </w:r>
      <w:r w:rsidRPr="00666B27">
        <w:rPr>
          <w:lang w:val="en-GB" w:eastAsia="en-GB"/>
        </w:rPr>
        <w:t xml:space="preserve"> that</w:t>
      </w:r>
      <w:r w:rsidRPr="0057545E">
        <w:rPr>
          <w:vertAlign w:val="superscript"/>
          <w:lang w:val="en-GB" w:eastAsia="en-GB"/>
        </w:rPr>
        <w:footnoteReference w:id="23"/>
      </w:r>
      <w:r w:rsidRPr="0057545E">
        <w:rPr>
          <w:lang w:val="en-GB" w:eastAsia="en-GB"/>
        </w:rPr>
        <w:t xml:space="preserve"> “introducing more women at </w:t>
      </w:r>
      <w:r w:rsidRPr="0057545E">
        <w:rPr>
          <w:lang w:val="en-GB" w:eastAsia="en-GB"/>
        </w:rPr>
        <w:lastRenderedPageBreak/>
        <w:t xml:space="preserve">leadership level simply introduces broader perspectives and new ways to manage problems. Diversity is the key </w:t>
      </w:r>
      <w:r w:rsidRPr="0057545E">
        <w:rPr>
          <w:noProof/>
          <w:lang w:val="en-GB" w:eastAsia="en-GB"/>
        </w:rPr>
        <w:t>for</w:t>
      </w:r>
      <w:r w:rsidRPr="00353542">
        <w:rPr>
          <w:lang w:val="en-GB" w:eastAsia="en-GB"/>
        </w:rPr>
        <w:t xml:space="preserve"> a successful </w:t>
      </w:r>
      <w:r w:rsidRPr="003B7D62">
        <w:rPr>
          <w:noProof/>
          <w:lang w:val="en-GB" w:eastAsia="en-GB"/>
        </w:rPr>
        <w:t>organisation</w:t>
      </w:r>
      <w:r w:rsidRPr="003B7D62">
        <w:rPr>
          <w:lang w:val="en-GB" w:eastAsia="en-GB"/>
        </w:rPr>
        <w:t>. It also allows companies and public entities</w:t>
      </w:r>
      <w:r w:rsidRPr="004722F0">
        <w:rPr>
          <w:lang w:val="en-GB" w:eastAsia="en-GB"/>
        </w:rPr>
        <w:t xml:space="preserve"> to tap into their talent pool rather than deprive themselves of half of it”.</w:t>
      </w:r>
      <w:r w:rsidRPr="00666B27">
        <w:rPr>
          <w:lang w:val="en-GB" w:eastAsia="en-GB"/>
        </w:rPr>
        <w:t xml:space="preserve"> In terms of economic participation and opportunity are concerned, the country is ranked 63</w:t>
      </w:r>
      <w:r w:rsidRPr="00666B27">
        <w:rPr>
          <w:vertAlign w:val="superscript"/>
          <w:lang w:val="en-GB" w:eastAsia="en-GB"/>
        </w:rPr>
        <w:t xml:space="preserve">rd </w:t>
      </w:r>
      <w:r w:rsidRPr="00666B27">
        <w:rPr>
          <w:lang w:val="en-GB" w:eastAsia="en-GB"/>
        </w:rPr>
        <w:t xml:space="preserve">with wage equality for similar work ranking even more </w:t>
      </w:r>
      <w:r w:rsidRPr="00666B27">
        <w:rPr>
          <w:noProof/>
          <w:lang w:val="en-GB" w:eastAsia="en-GB"/>
        </w:rPr>
        <w:t>low</w:t>
      </w:r>
      <w:r w:rsidRPr="00666B27">
        <w:rPr>
          <w:lang w:val="en-GB" w:eastAsia="en-GB"/>
        </w:rPr>
        <w:t xml:space="preserve"> at 86</w:t>
      </w:r>
      <w:r w:rsidRPr="00666B27">
        <w:rPr>
          <w:vertAlign w:val="superscript"/>
          <w:lang w:val="en-GB" w:eastAsia="en-GB"/>
        </w:rPr>
        <w:t>th</w:t>
      </w:r>
      <w:r w:rsidRPr="00666B27">
        <w:rPr>
          <w:lang w:val="en-GB" w:eastAsia="en-GB"/>
        </w:rPr>
        <w:t xml:space="preserve"> - meaning that women do not receive equal pay as their male counterparts for the same job. Today, women participation in the economy of the country is very low, with women at senior management position/decision-making level, being recorded only at 28%. Contrary to what would be the norm, women in are clustered at the lowest of levels, doing unskilled and low-paying jobs, involved mostly in community work which does not necessarily guarantee them any pay at times, hence the poverty of women in </w:t>
      </w:r>
      <w:proofErr w:type="gramStart"/>
      <w:r w:rsidRPr="00666B27">
        <w:rPr>
          <w:lang w:val="en-GB" w:eastAsia="en-GB"/>
        </w:rPr>
        <w:t>a number of</w:t>
      </w:r>
      <w:proofErr w:type="gramEnd"/>
      <w:r w:rsidRPr="00666B27">
        <w:rPr>
          <w:lang w:val="en-GB" w:eastAsia="en-GB"/>
        </w:rPr>
        <w:t xml:space="preserve"> aspects they would otherwise be well-off in</w:t>
      </w:r>
      <w:r w:rsidRPr="0057545E">
        <w:rPr>
          <w:vertAlign w:val="superscript"/>
          <w:lang w:val="en-GB" w:eastAsia="en-GB"/>
        </w:rPr>
        <w:footnoteReference w:id="24"/>
      </w:r>
      <w:r w:rsidRPr="0057545E">
        <w:rPr>
          <w:lang w:val="en-GB" w:eastAsia="en-GB"/>
        </w:rPr>
        <w:t>.</w:t>
      </w:r>
    </w:p>
    <w:p w:rsidR="00E8708D" w:rsidRPr="003B7D62" w:rsidRDefault="00E8708D" w:rsidP="00E8708D">
      <w:pPr>
        <w:spacing w:after="0"/>
        <w:rPr>
          <w:lang w:val="en-GB" w:eastAsia="en-GB"/>
        </w:rPr>
      </w:pPr>
    </w:p>
    <w:p w:rsidR="00E8708D" w:rsidRPr="003B7D62" w:rsidRDefault="00E8708D" w:rsidP="00E8708D">
      <w:pPr>
        <w:spacing w:after="0"/>
        <w:rPr>
          <w:lang w:val="en-GB" w:eastAsia="en-GB"/>
        </w:rPr>
      </w:pPr>
      <w:r w:rsidRPr="004722F0">
        <w:rPr>
          <w:lang w:val="en-GB" w:eastAsia="en-GB"/>
        </w:rPr>
        <w:t xml:space="preserve">The lack of women enrolment in </w:t>
      </w:r>
      <w:bookmarkStart w:id="194" w:name="_Hlk496983780"/>
      <w:r w:rsidRPr="004722F0">
        <w:rPr>
          <w:lang w:val="en-GB" w:eastAsia="en-GB"/>
        </w:rPr>
        <w:t>Science, Technology,</w:t>
      </w:r>
      <w:r w:rsidRPr="00666B27">
        <w:rPr>
          <w:lang w:val="en-GB" w:eastAsia="en-GB"/>
        </w:rPr>
        <w:t xml:space="preserve"> Engineering and Maths</w:t>
      </w:r>
      <w:bookmarkEnd w:id="194"/>
      <w:r w:rsidRPr="00666B27">
        <w:rPr>
          <w:lang w:val="en-GB" w:eastAsia="en-GB"/>
        </w:rPr>
        <w:t xml:space="preserve"> (STEM) subjects is tracked down from early childhood where girls are oriented into playing with dolls while boys already start making and playing with sophisticated toys like cars made from wire. The care-taking role of girls is </w:t>
      </w:r>
      <w:proofErr w:type="gramStart"/>
      <w:r w:rsidRPr="00666B27">
        <w:rPr>
          <w:lang w:val="en-GB" w:eastAsia="en-GB"/>
        </w:rPr>
        <w:t>nurtured</w:t>
      </w:r>
      <w:proofErr w:type="gramEnd"/>
      <w:r w:rsidRPr="00666B27">
        <w:rPr>
          <w:lang w:val="en-GB" w:eastAsia="en-GB"/>
        </w:rPr>
        <w:t xml:space="preserve"> and girls end up doing that role even in the adult lives. The representation of women at senior management level positions is 25.5 as compared to African male of 34.3%</w:t>
      </w:r>
      <w:r w:rsidRPr="0057545E">
        <w:rPr>
          <w:vertAlign w:val="superscript"/>
          <w:lang w:val="en-GB" w:eastAsia="en-GB"/>
        </w:rPr>
        <w:footnoteReference w:id="25"/>
      </w:r>
      <w:r w:rsidRPr="0057545E">
        <w:rPr>
          <w:lang w:val="en-GB" w:eastAsia="en-GB"/>
        </w:rPr>
        <w:t>. African women feature prominently at the semi-skilled and unskilled levels. At these levels, discretionary decision making is necessary and African women comprised 46.6% and 55. 6% against their African male counterparts who</w:t>
      </w:r>
      <w:r w:rsidRPr="00353542">
        <w:rPr>
          <w:lang w:val="en-GB" w:eastAsia="en-GB"/>
        </w:rPr>
        <w:t xml:space="preserve"> made 35.6% and 36.2% in the same ca</w:t>
      </w:r>
      <w:r w:rsidRPr="003B7D62">
        <w:rPr>
          <w:lang w:val="en-GB" w:eastAsia="en-GB"/>
        </w:rPr>
        <w:t xml:space="preserve">tegories respectively. </w:t>
      </w:r>
    </w:p>
    <w:p w:rsidR="00E8708D" w:rsidRPr="004722F0" w:rsidRDefault="00E8708D" w:rsidP="00E8708D">
      <w:pPr>
        <w:spacing w:after="0"/>
        <w:rPr>
          <w:lang w:val="en-GB" w:eastAsia="en-GB"/>
        </w:rPr>
      </w:pPr>
    </w:p>
    <w:p w:rsidR="00E8708D" w:rsidRPr="00353542" w:rsidRDefault="00E8708D" w:rsidP="00E8708D">
      <w:pPr>
        <w:spacing w:after="0"/>
        <w:rPr>
          <w:lang w:val="en-GB" w:eastAsia="en-GB"/>
        </w:rPr>
      </w:pPr>
      <w:r w:rsidRPr="00666B27">
        <w:rPr>
          <w:lang w:val="en-GB" w:eastAsia="en-GB"/>
        </w:rPr>
        <w:t xml:space="preserve">The </w:t>
      </w:r>
      <w:r w:rsidRPr="00666B27">
        <w:rPr>
          <w:i/>
          <w:lang w:val="en-GB" w:eastAsia="en-GB"/>
        </w:rPr>
        <w:t xml:space="preserve">Quarterly Labour Force Survey </w:t>
      </w:r>
      <w:r w:rsidRPr="00666B27">
        <w:rPr>
          <w:lang w:val="en-GB" w:eastAsia="en-GB"/>
        </w:rPr>
        <w:t xml:space="preserve">(Oct 2017) shows that the number of people formally employed in ‘electricity, gas and water supply’ sector in South Africa was 147,379, of which 78.6% male and 21.4% female. The industry sector (mining, energy, manufacturing, construction) </w:t>
      </w:r>
      <w:proofErr w:type="gramStart"/>
      <w:r w:rsidRPr="00666B27">
        <w:rPr>
          <w:lang w:val="en-GB" w:eastAsia="en-GB"/>
        </w:rPr>
        <w:t>as a whole employed</w:t>
      </w:r>
      <w:proofErr w:type="gramEnd"/>
      <w:r w:rsidRPr="00666B27">
        <w:rPr>
          <w:lang w:val="en-GB" w:eastAsia="en-GB"/>
        </w:rPr>
        <w:t xml:space="preserve"> 3,931,378 people, of which 76.4% male and 23.6% female. Nation-wide employment figures are 16,419,153 (of which 56% male and 44% female)</w:t>
      </w:r>
      <w:r w:rsidRPr="0057545E">
        <w:rPr>
          <w:vertAlign w:val="superscript"/>
          <w:lang w:val="en-GB" w:eastAsia="en-GB"/>
        </w:rPr>
        <w:footnoteReference w:id="26"/>
      </w:r>
      <w:r w:rsidRPr="0057545E">
        <w:rPr>
          <w:lang w:val="en-GB" w:eastAsia="en-GB"/>
        </w:rPr>
        <w:t>.</w:t>
      </w:r>
    </w:p>
    <w:p w:rsidR="00E8708D" w:rsidRPr="003B7D62" w:rsidRDefault="00E8708D" w:rsidP="00E8708D">
      <w:pPr>
        <w:spacing w:after="0"/>
        <w:rPr>
          <w:lang w:val="en-GB" w:eastAsia="en-GB"/>
        </w:rPr>
      </w:pPr>
    </w:p>
    <w:p w:rsidR="00E8708D" w:rsidRPr="00666B27" w:rsidRDefault="00E8708D" w:rsidP="00E8708D">
      <w:pPr>
        <w:spacing w:after="0"/>
        <w:rPr>
          <w:u w:val="single"/>
          <w:lang w:val="en-GB" w:eastAsia="en-GB"/>
        </w:rPr>
      </w:pPr>
      <w:r w:rsidRPr="004722F0">
        <w:rPr>
          <w:u w:val="single"/>
          <w:lang w:val="en-GB" w:eastAsia="en-GB"/>
        </w:rPr>
        <w:t>The structure and</w:t>
      </w:r>
      <w:r w:rsidRPr="00666B27">
        <w:rPr>
          <w:u w:val="single"/>
          <w:lang w:val="en-GB" w:eastAsia="en-GB"/>
        </w:rPr>
        <w:t xml:space="preserve"> components of the national machinery responsible for gender issues</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Immediately after the 1994 elections, South Africa put in place a highly complicated structure that was designed to ensure a comprehensive thrust in all facets of South African lives while avoiding duplication. It entailed structures in government, at parliament, independent bodies and civil society right up to the Equality Court (which adjudicates in cases of unfair discrimination and unequal treatment). Key processes and mechanisms had to be adopted to affirm a vibrant national gender programme that would advance the country towards gender equality.  These contained in the various structures of the National Machinery. Principal among these </w:t>
      </w:r>
      <w:r w:rsidRPr="00666B27">
        <w:rPr>
          <w:noProof/>
          <w:lang w:val="en-GB" w:eastAsia="en-GB"/>
        </w:rPr>
        <w:t>are</w:t>
      </w:r>
      <w:r w:rsidRPr="00666B27">
        <w:rPr>
          <w:lang w:val="en-GB" w:eastAsia="en-GB"/>
        </w:rPr>
        <w:t xml:space="preserve"> the Office on the Status of Women, Gender Focal Points; </w:t>
      </w:r>
      <w:r w:rsidRPr="00666B27">
        <w:rPr>
          <w:noProof/>
          <w:lang w:val="en-GB" w:eastAsia="en-GB"/>
        </w:rPr>
        <w:t>Commission</w:t>
      </w:r>
      <w:r w:rsidRPr="00666B27">
        <w:rPr>
          <w:lang w:val="en-GB" w:eastAsia="en-GB"/>
        </w:rPr>
        <w:t xml:space="preserve"> for Gender Equality and various organs of society.</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As part of strengthening democracy in the country, the Constitution provided for the establishment of the Commission on Gender Equality (CGE), being the main custodian of gender-related issues in the country.  The mandate of the CGE is to advance, promote and protect gender equality through undertaking research, public education, policy development, legislative initiatives, effective monitoring, and litigation.  Its vision is to have a society free from all forms of gender oppression and equality.  In 2014, with the </w:t>
      </w:r>
      <w:r w:rsidRPr="00666B27">
        <w:rPr>
          <w:noProof/>
          <w:lang w:val="en-GB" w:eastAsia="en-GB"/>
        </w:rPr>
        <w:t>realisation</w:t>
      </w:r>
      <w:r w:rsidRPr="00666B27">
        <w:rPr>
          <w:lang w:val="en-GB" w:eastAsia="en-GB"/>
        </w:rPr>
        <w:t xml:space="preserve"> that there was a need to strengthen existing legislation on the promotion of women empowerment and gender equality, the Women Empowerment and Gender Equality Bill was passed by Parliament.  The President accordingly restructured his cabinet to establish a Ministry in the Presidency focusing on Women, Children, and People with Disabilities.  The Ministry was later configured to focus on women only.  Its mandate is to champion the advancement of women’s socio-economic empowerment and gender equality in the country.  </w:t>
      </w:r>
    </w:p>
    <w:p w:rsidR="00E8708D" w:rsidRPr="00666B27" w:rsidRDefault="00E8708D" w:rsidP="00E8708D">
      <w:pPr>
        <w:spacing w:after="0"/>
        <w:rPr>
          <w:lang w:val="en-GB" w:eastAsia="en-GB"/>
        </w:rPr>
      </w:pPr>
    </w:p>
    <w:p w:rsidR="00E8708D" w:rsidRPr="00666B27" w:rsidRDefault="00E8708D" w:rsidP="00E8708D">
      <w:pPr>
        <w:spacing w:after="0"/>
        <w:rPr>
          <w:u w:val="single"/>
          <w:lang w:val="en-GB" w:eastAsia="en-GB"/>
        </w:rPr>
      </w:pPr>
      <w:r w:rsidRPr="00666B27">
        <w:rPr>
          <w:u w:val="single"/>
          <w:lang w:val="en-GB" w:eastAsia="en-GB"/>
        </w:rPr>
        <w:t>Gender Equality Strategy 2015-2063</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South Africa heralded 2015 as a landmark year of many activities, e.g. the year when the country observed the Human Rights and Gender Equality as the country’s gender equality and human rights pledges turned twenty. In the same year, the country </w:t>
      </w:r>
      <w:r w:rsidRPr="00666B27">
        <w:rPr>
          <w:lang w:val="en-GB" w:eastAsia="en-GB"/>
        </w:rPr>
        <w:lastRenderedPageBreak/>
        <w:t>had to report back to CEDAW Committee on the gains made since the 1995 commitments towards gender equality were made in Beijing and the challenges encountered on the attainment of gender equality.  This was also the year that the African Union declared as “The Decade of African women”; the SADC Protocol on Gender and Development was set up measurable goals towards the attainment of gender equality. In 2015 the Sustainable Development Goals were adopted SDGs which has specific goals regarding gender equality (Goal #5).</w:t>
      </w:r>
    </w:p>
    <w:p w:rsidR="00E8708D" w:rsidRPr="00666B27" w:rsidRDefault="00E8708D" w:rsidP="00E8708D">
      <w:pPr>
        <w:spacing w:after="0"/>
        <w:rPr>
          <w:lang w:val="en-GB" w:eastAsia="en-GB"/>
        </w:rPr>
      </w:pPr>
    </w:p>
    <w:p w:rsidR="00E8708D" w:rsidRPr="00666B27" w:rsidRDefault="00E8708D" w:rsidP="00E8708D">
      <w:pPr>
        <w:spacing w:after="0"/>
        <w:rPr>
          <w:lang w:val="en-GB" w:eastAsia="en-GB"/>
        </w:rPr>
      </w:pPr>
      <w:r w:rsidRPr="00666B27">
        <w:rPr>
          <w:lang w:val="en-GB" w:eastAsia="en-GB"/>
        </w:rPr>
        <w:t xml:space="preserve">The Strategy mentions that South Africa is committed to gender equity (in the workplace) by 2030, reduce HIV and AIDS and end violence against women. South Africa has committed to focus on </w:t>
      </w:r>
      <w:r w:rsidRPr="00666B27">
        <w:rPr>
          <w:noProof/>
          <w:lang w:val="en-GB" w:eastAsia="en-GB"/>
        </w:rPr>
        <w:t>the equal</w:t>
      </w:r>
      <w:r w:rsidRPr="00666B27">
        <w:rPr>
          <w:lang w:val="en-GB" w:eastAsia="en-GB"/>
        </w:rPr>
        <w:t xml:space="preserve"> representation and women’s empowerment, women’s health and ending violence against women.  Two of South Africa’s legislative mechanisms for equity, the Promotion of Equality and Prevention of Unfair Discrimination Act and the Employment Equity Act, will be fully implemented to reach gender parity by 2030 in line with the African Union’s Agenda 2063. The country will also prioritize the elimination of violence against women at all levels, including through the national dialogues and a public awareness campaign aligned with the UN Women’s HeForShe initiative.</w:t>
      </w:r>
    </w:p>
    <w:p w:rsidR="00825E44" w:rsidRPr="00666B27" w:rsidRDefault="00825E44" w:rsidP="00E8708D">
      <w:pPr>
        <w:spacing w:after="0"/>
        <w:rPr>
          <w:lang w:val="en-GB" w:eastAsia="en-GB"/>
        </w:rPr>
      </w:pPr>
    </w:p>
    <w:p w:rsidR="00825E44" w:rsidRPr="00666B27" w:rsidRDefault="00825E44" w:rsidP="00825E44">
      <w:pPr>
        <w:spacing w:after="0"/>
        <w:rPr>
          <w:u w:val="single"/>
          <w:lang w:val="en-GB" w:eastAsia="en-GB"/>
        </w:rPr>
      </w:pPr>
      <w:r w:rsidRPr="00666B27">
        <w:rPr>
          <w:u w:val="single"/>
          <w:lang w:val="en-GB" w:eastAsia="en-GB"/>
        </w:rPr>
        <w:t>Gender issues in the proposed ‘high-efficiency LED and distribution transformers’ project</w:t>
      </w:r>
    </w:p>
    <w:p w:rsidR="00825E44" w:rsidRPr="00666B27" w:rsidRDefault="00825E44" w:rsidP="00825E44">
      <w:pPr>
        <w:spacing w:after="0"/>
        <w:rPr>
          <w:lang w:val="en-GB" w:eastAsia="en-GB"/>
        </w:rPr>
      </w:pPr>
    </w:p>
    <w:p w:rsidR="00514A81" w:rsidRPr="00514A81" w:rsidRDefault="00514A81" w:rsidP="00514A81">
      <w:pPr>
        <w:spacing w:after="0"/>
        <w:rPr>
          <w:lang w:val="en-ZA" w:eastAsia="en-GB"/>
        </w:rPr>
      </w:pPr>
      <w:r w:rsidRPr="00514A81">
        <w:rPr>
          <w:lang w:val="en-ZA" w:eastAsia="en-GB"/>
        </w:rPr>
        <w:t>Since increasing greenhouse gas emissions from appliances and equipment as well as related energy costs, consumer choice, and assurances of product quality affect all citizens of South Africa equally, without regard to gender, and is the development challenge that is being addressed by the project, similarly, the intended outcomes of the project should also, therefore, create benefits for all citizens with regard to gender.</w:t>
      </w:r>
    </w:p>
    <w:p w:rsidR="00514A81" w:rsidRPr="00514A81" w:rsidRDefault="00514A81" w:rsidP="00514A81">
      <w:pPr>
        <w:spacing w:after="0"/>
        <w:rPr>
          <w:lang w:val="en-ZA" w:eastAsia="en-GB"/>
        </w:rPr>
      </w:pPr>
    </w:p>
    <w:p w:rsidR="00514A81" w:rsidRPr="00514A81" w:rsidRDefault="00514A81" w:rsidP="00514A81">
      <w:pPr>
        <w:spacing w:after="0"/>
        <w:rPr>
          <w:lang w:val="en-ZA" w:eastAsia="en-GB"/>
        </w:rPr>
      </w:pPr>
      <w:r w:rsidRPr="00514A81">
        <w:rPr>
          <w:lang w:val="en-ZA" w:eastAsia="en-GB"/>
        </w:rPr>
        <w:t>The Theory of Change notes various causes that underlie the development change, several of which have these gender-related dimensions.</w:t>
      </w:r>
    </w:p>
    <w:p w:rsidR="00514A81" w:rsidRPr="00514A81" w:rsidRDefault="00514A81" w:rsidP="00514A81">
      <w:pPr>
        <w:spacing w:after="0"/>
        <w:rPr>
          <w:lang w:val="en-ZA" w:eastAsia="en-GB"/>
        </w:rPr>
      </w:pPr>
    </w:p>
    <w:p w:rsidR="00514A81" w:rsidRPr="00514A81" w:rsidRDefault="00514A81" w:rsidP="006A68A3">
      <w:pPr>
        <w:numPr>
          <w:ilvl w:val="0"/>
          <w:numId w:val="67"/>
        </w:numPr>
        <w:spacing w:after="0"/>
        <w:ind w:left="284" w:hanging="284"/>
        <w:rPr>
          <w:lang w:val="en-ZA" w:eastAsia="en-GB"/>
        </w:rPr>
      </w:pPr>
      <w:r w:rsidRPr="00514A81">
        <w:rPr>
          <w:b/>
          <w:lang w:val="en-ZA" w:eastAsia="en-GB"/>
        </w:rPr>
        <w:t xml:space="preserve">Incomplete or incorrigible information for users on technological performance, costs, benefits and environmental aspects – </w:t>
      </w:r>
      <w:r w:rsidRPr="00514A81">
        <w:rPr>
          <w:lang w:val="en-ZA" w:eastAsia="en-GB"/>
        </w:rPr>
        <w:t xml:space="preserve">Whilst both man and women are exposed to this barrier of market failure to inform end users about the benefits of the products and other offerings of the EE products, women tend to be more at a disadvantage because they are the ones who are front end users of electricity and need to know exactly what is available at what price and what benefits these offer, if they are to make informed choices. Women are also most affected by the devastating effects of climate change-for example, with deforestation which comes as a result of poor or no proper electrification, they </w:t>
      </w:r>
      <w:proofErr w:type="gramStart"/>
      <w:r w:rsidRPr="00514A81">
        <w:rPr>
          <w:lang w:val="en-ZA" w:eastAsia="en-GB"/>
        </w:rPr>
        <w:t>have to</w:t>
      </w:r>
      <w:proofErr w:type="gramEnd"/>
      <w:r w:rsidRPr="00514A81">
        <w:rPr>
          <w:lang w:val="en-ZA" w:eastAsia="en-GB"/>
        </w:rPr>
        <w:t xml:space="preserve"> travel longer distances in search of firewood.  The use of coal as a source of energy has negative effects on their health. Because most women in South Africa are in the </w:t>
      </w:r>
      <w:r w:rsidR="00BB1E93" w:rsidRPr="00514A81">
        <w:rPr>
          <w:lang w:val="en-ZA" w:eastAsia="en-GB"/>
        </w:rPr>
        <w:t>low-income</w:t>
      </w:r>
      <w:r w:rsidRPr="00514A81">
        <w:rPr>
          <w:lang w:val="en-ZA" w:eastAsia="en-GB"/>
        </w:rPr>
        <w:t xml:space="preserve"> bracket, need to be the highest benefitting from the envisaged support programs of various government departments. From the gender analysis, it is well documented that women in South Africa do not benefit much from various financing packages hence they are very lowly presented in the supplier organisations.  Women need to be equally considered like men in finance mechanisms for suppliers and users. </w:t>
      </w:r>
    </w:p>
    <w:p w:rsidR="00514A81" w:rsidRPr="00514A81" w:rsidRDefault="00514A81" w:rsidP="006A68A3">
      <w:pPr>
        <w:numPr>
          <w:ilvl w:val="0"/>
          <w:numId w:val="67"/>
        </w:numPr>
        <w:spacing w:before="60" w:after="0"/>
        <w:ind w:left="284" w:hanging="284"/>
        <w:rPr>
          <w:lang w:val="en-ZA" w:eastAsia="en-GB"/>
        </w:rPr>
      </w:pPr>
      <w:r w:rsidRPr="00514A81">
        <w:rPr>
          <w:b/>
          <w:lang w:val="en-ZA" w:eastAsia="en-GB"/>
        </w:rPr>
        <w:t>Lack of awareness and prioritisation by end users, private sector, policy makers and suppliers to exposures of international best practices</w:t>
      </w:r>
      <w:r w:rsidRPr="00514A81">
        <w:rPr>
          <w:lang w:val="en-ZA" w:eastAsia="en-GB"/>
        </w:rPr>
        <w:t xml:space="preserve">- It is a well-documented fact when it comes to technical skills, women rate far below men.  Their absence in technical fields, worst in the energy sector, hence the country’s various interventions aimed at encouraging women to participate in STEM subjects.  This project therefore lends itself to use as one of those interventions that can encourage women to participate in the technical field through being trained and capacitated to participate in some activities of the project, albeit in the short term. This will give them the necessary exposure to understand the ins and outs of the project; provide them with the necessary information and knowledge about the costs, benefits and value of the EE products and services and encourage them to opt for these instead of the old environmentally destructive products.  </w:t>
      </w:r>
    </w:p>
    <w:p w:rsidR="00514A81" w:rsidRPr="00514A81" w:rsidRDefault="00514A81" w:rsidP="006A68A3">
      <w:pPr>
        <w:numPr>
          <w:ilvl w:val="0"/>
          <w:numId w:val="67"/>
        </w:numPr>
        <w:spacing w:before="60" w:after="0"/>
        <w:ind w:left="284" w:hanging="284"/>
        <w:rPr>
          <w:i/>
          <w:lang w:val="en-ZA" w:eastAsia="en-GB"/>
        </w:rPr>
      </w:pPr>
      <w:r w:rsidRPr="00514A81">
        <w:rPr>
          <w:lang w:val="en-ZA" w:eastAsia="en-GB"/>
        </w:rPr>
        <w:t xml:space="preserve">Closely linked to the above point is </w:t>
      </w:r>
      <w:r w:rsidRPr="00514A81">
        <w:rPr>
          <w:b/>
          <w:lang w:val="en-ZA" w:eastAsia="en-GB"/>
        </w:rPr>
        <w:t xml:space="preserve">the barrier or challenge posed by the lack of </w:t>
      </w:r>
      <w:proofErr w:type="gramStart"/>
      <w:r w:rsidRPr="00514A81">
        <w:rPr>
          <w:b/>
          <w:lang w:val="en-ZA" w:eastAsia="en-GB"/>
        </w:rPr>
        <w:t>sufficient</w:t>
      </w:r>
      <w:proofErr w:type="gramEnd"/>
      <w:r w:rsidRPr="00514A81">
        <w:rPr>
          <w:b/>
          <w:lang w:val="en-ZA" w:eastAsia="en-GB"/>
        </w:rPr>
        <w:t xml:space="preserve"> skills and institutional capacity in the country</w:t>
      </w:r>
      <w:r w:rsidRPr="00514A81">
        <w:rPr>
          <w:lang w:val="en-ZA" w:eastAsia="en-GB"/>
        </w:rPr>
        <w:t xml:space="preserve">. It is a well-known fact that women in South Africa do not feature prominently in technical fields as has been observed form their lack of participation in STEM subjects, including or especially in traditionally male dominated fields like engineering and energy sectors.  Promotion of skills/capacity building for women in the energy sector is crucial, it being one of the sectors with a very low number of women participants. Women in South Africa are also faced with </w:t>
      </w:r>
      <w:r w:rsidRPr="00514A81">
        <w:rPr>
          <w:b/>
          <w:lang w:val="en-ZA" w:eastAsia="en-GB"/>
        </w:rPr>
        <w:t xml:space="preserve">the challenge of facing extreme difficulties when they </w:t>
      </w:r>
      <w:proofErr w:type="gramStart"/>
      <w:r w:rsidRPr="00514A81">
        <w:rPr>
          <w:b/>
          <w:lang w:val="en-ZA" w:eastAsia="en-GB"/>
        </w:rPr>
        <w:t>have to</w:t>
      </w:r>
      <w:proofErr w:type="gramEnd"/>
      <w:r w:rsidRPr="00514A81">
        <w:rPr>
          <w:b/>
          <w:lang w:val="en-ZA" w:eastAsia="en-GB"/>
        </w:rPr>
        <w:t xml:space="preserve"> access loan finance</w:t>
      </w:r>
      <w:r w:rsidRPr="00514A81">
        <w:rPr>
          <w:lang w:val="en-ZA" w:eastAsia="en-GB"/>
        </w:rPr>
        <w:t xml:space="preserve">.  This is because of the tedious procedures entailed in accessing loan finance and they do not have loan facilities dedicated for their sole </w:t>
      </w:r>
      <w:r w:rsidRPr="00514A81">
        <w:rPr>
          <w:lang w:val="en-ZA" w:eastAsia="en-GB"/>
        </w:rPr>
        <w:lastRenderedPageBreak/>
        <w:t>benefit. The project will try however and address the challenge by putting in place such a facility, which will be accompanied by favourable conditions that will not be a hurdle on themselves towards accessing this finance by the incumbents</w:t>
      </w:r>
      <w:r w:rsidRPr="00514A81">
        <w:rPr>
          <w:i/>
          <w:lang w:val="en-ZA" w:eastAsia="en-GB"/>
        </w:rPr>
        <w:t>.</w:t>
      </w:r>
    </w:p>
    <w:p w:rsidR="00514A81" w:rsidRPr="00514A81" w:rsidRDefault="00514A81" w:rsidP="00514A81">
      <w:pPr>
        <w:spacing w:after="0"/>
        <w:rPr>
          <w:lang w:val="en-ZA" w:eastAsia="en-GB"/>
        </w:rPr>
      </w:pPr>
    </w:p>
    <w:p w:rsidR="00514A81" w:rsidRPr="00514A81" w:rsidRDefault="00514A81" w:rsidP="00514A81">
      <w:pPr>
        <w:spacing w:after="0"/>
        <w:rPr>
          <w:lang w:val="en-ZA" w:eastAsia="en-GB"/>
        </w:rPr>
      </w:pPr>
      <w:r w:rsidRPr="00514A81">
        <w:rPr>
          <w:lang w:val="en-ZA" w:eastAsia="en-GB"/>
        </w:rPr>
        <w:t xml:space="preserve"> This will not only address the gap of </w:t>
      </w:r>
      <w:proofErr w:type="gramStart"/>
      <w:r w:rsidRPr="00514A81">
        <w:rPr>
          <w:lang w:val="en-ZA" w:eastAsia="en-GB"/>
        </w:rPr>
        <w:t>women participation, but</w:t>
      </w:r>
      <w:proofErr w:type="gramEnd"/>
      <w:r w:rsidRPr="00514A81">
        <w:rPr>
          <w:lang w:val="en-ZA" w:eastAsia="en-GB"/>
        </w:rPr>
        <w:t xml:space="preserve"> will also address various other gender sensitive issues that come with this short coming.  The issue of high unemployment will be addressed; and so too will be the low-income status of women being addressed. </w:t>
      </w:r>
    </w:p>
    <w:p w:rsidR="00514A81" w:rsidRPr="00666B27" w:rsidRDefault="00514A81" w:rsidP="00825E44">
      <w:pPr>
        <w:spacing w:after="0"/>
        <w:rPr>
          <w:lang w:val="en-GB" w:eastAsia="en-GB"/>
        </w:rPr>
      </w:pPr>
    </w:p>
    <w:p w:rsidR="00825E44" w:rsidRPr="00666B27" w:rsidRDefault="00825E44" w:rsidP="00825E44">
      <w:pPr>
        <w:spacing w:after="0"/>
        <w:rPr>
          <w:u w:val="single"/>
          <w:lang w:val="en-GB" w:eastAsia="en-GB"/>
        </w:rPr>
      </w:pPr>
      <w:r w:rsidRPr="00666B27">
        <w:rPr>
          <w:u w:val="single"/>
          <w:lang w:val="en-GB" w:eastAsia="en-GB"/>
        </w:rPr>
        <w:t>Gender and stakeholder engagement</w:t>
      </w:r>
    </w:p>
    <w:p w:rsidR="00825E44" w:rsidRPr="00666B27" w:rsidRDefault="00825E44" w:rsidP="00825E44">
      <w:pPr>
        <w:spacing w:after="0"/>
        <w:rPr>
          <w:u w:val="single"/>
          <w:lang w:val="en-GB" w:eastAsia="en-GB"/>
        </w:rPr>
      </w:pPr>
    </w:p>
    <w:p w:rsidR="00825E44" w:rsidRPr="00666B27" w:rsidRDefault="00825E44" w:rsidP="00825E44">
      <w:pPr>
        <w:spacing w:after="0"/>
        <w:rPr>
          <w:lang w:val="en-GB" w:eastAsia="en-GB"/>
        </w:rPr>
      </w:pPr>
      <w:r w:rsidRPr="00666B27">
        <w:rPr>
          <w:lang w:val="en-GB" w:eastAsia="en-GB"/>
        </w:rPr>
        <w:t xml:space="preserve">At the preparatory phase of the project, a stakeholder mapping exercise was undertaken and accordingly stakeholders were identified both female and male stakeholders of varying ages and from all walks of life were invited to give </w:t>
      </w:r>
      <w:r w:rsidRPr="00666B27">
        <w:rPr>
          <w:noProof/>
          <w:lang w:val="en-GB" w:eastAsia="en-GB"/>
        </w:rPr>
        <w:t>an input</w:t>
      </w:r>
      <w:r w:rsidRPr="00666B27">
        <w:rPr>
          <w:lang w:val="en-GB" w:eastAsia="en-GB"/>
        </w:rPr>
        <w:t xml:space="preserve"> on the project. </w:t>
      </w:r>
    </w:p>
    <w:p w:rsidR="00825E44" w:rsidRPr="00666B27" w:rsidRDefault="00825E44" w:rsidP="00825E44">
      <w:pPr>
        <w:spacing w:after="0"/>
        <w:rPr>
          <w:lang w:val="en-GB" w:eastAsia="en-GB"/>
        </w:rPr>
      </w:pPr>
    </w:p>
    <w:p w:rsidR="00825E44" w:rsidRPr="00666B27" w:rsidRDefault="00825E44" w:rsidP="00285302">
      <w:pPr>
        <w:spacing w:after="0"/>
        <w:rPr>
          <w:lang w:val="en-GB" w:eastAsia="en-GB"/>
        </w:rPr>
      </w:pPr>
      <w:r w:rsidRPr="00666B27">
        <w:rPr>
          <w:lang w:val="en-GB" w:eastAsia="en-GB"/>
        </w:rPr>
        <w:t>Going forward, every effort will be made to ensure that qualified women are invited and encouraged to participate in the project activities, to make sure that</w:t>
      </w:r>
      <w:r w:rsidR="00C45283" w:rsidRPr="00666B27">
        <w:rPr>
          <w:lang w:val="en-GB" w:eastAsia="en-GB"/>
        </w:rPr>
        <w:t xml:space="preserve"> a</w:t>
      </w:r>
      <w:r w:rsidRPr="00666B27">
        <w:rPr>
          <w:lang w:val="en-GB" w:eastAsia="en-GB"/>
        </w:rPr>
        <w:t xml:space="preserve"> </w:t>
      </w:r>
      <w:r w:rsidRPr="00666B27">
        <w:rPr>
          <w:noProof/>
          <w:lang w:val="en-GB" w:eastAsia="en-GB"/>
        </w:rPr>
        <w:t>proportional</w:t>
      </w:r>
      <w:r w:rsidRPr="00666B27">
        <w:rPr>
          <w:lang w:val="en-GB" w:eastAsia="en-GB"/>
        </w:rPr>
        <w:t xml:space="preserve"> representation of both male and females is attained.  </w:t>
      </w:r>
      <w:proofErr w:type="gramStart"/>
      <w:r w:rsidRPr="00666B27">
        <w:rPr>
          <w:lang w:val="en-GB" w:eastAsia="en-GB"/>
        </w:rPr>
        <w:t>A number of</w:t>
      </w:r>
      <w:proofErr w:type="gramEnd"/>
      <w:r w:rsidRPr="00666B27">
        <w:rPr>
          <w:lang w:val="en-GB" w:eastAsia="en-GB"/>
        </w:rPr>
        <w:t xml:space="preserve"> institutions will be consulted on gender issues at national and local levels and will include inter alia gender focal points at government ministries, civil society </w:t>
      </w:r>
      <w:r w:rsidRPr="00666B27">
        <w:rPr>
          <w:noProof/>
          <w:lang w:val="en-GB" w:eastAsia="en-GB"/>
        </w:rPr>
        <w:t>organisations</w:t>
      </w:r>
      <w:r w:rsidRPr="00666B27">
        <w:rPr>
          <w:lang w:val="en-GB" w:eastAsia="en-GB"/>
        </w:rPr>
        <w:t xml:space="preserve"> working in the fields of gender and climate change as well as research institutions and development partners working on gender issues.</w:t>
      </w:r>
    </w:p>
    <w:p w:rsidR="00825E44" w:rsidRPr="00666B27" w:rsidRDefault="00825E44" w:rsidP="00825E44">
      <w:pPr>
        <w:spacing w:after="0"/>
        <w:rPr>
          <w:lang w:val="en-GB" w:eastAsia="en-GB"/>
        </w:rPr>
      </w:pPr>
    </w:p>
    <w:p w:rsidR="00825E44" w:rsidRPr="00666B27" w:rsidRDefault="00825E44" w:rsidP="00825E44">
      <w:pPr>
        <w:spacing w:after="0"/>
        <w:rPr>
          <w:lang w:val="en-GB" w:eastAsia="en-GB"/>
        </w:rPr>
      </w:pPr>
    </w:p>
    <w:p w:rsidR="00825E44" w:rsidRPr="00666B27" w:rsidRDefault="00825E44" w:rsidP="00825E44">
      <w:pPr>
        <w:pStyle w:val="HeadingA2"/>
      </w:pPr>
      <w:bookmarkStart w:id="195" w:name="_Toc497856148"/>
      <w:bookmarkStart w:id="196" w:name="_Toc340781"/>
      <w:r w:rsidRPr="00666B27">
        <w:t>Gender action plan</w:t>
      </w:r>
      <w:bookmarkEnd w:id="195"/>
      <w:bookmarkEnd w:id="196"/>
    </w:p>
    <w:p w:rsidR="00825E44" w:rsidRPr="00666B27" w:rsidRDefault="00825E44" w:rsidP="00825E44">
      <w:pPr>
        <w:rPr>
          <w:lang w:val="en-GB" w:eastAsia="en-GB"/>
        </w:rPr>
      </w:pPr>
    </w:p>
    <w:p w:rsidR="00285302" w:rsidRPr="00666B27" w:rsidRDefault="00285302" w:rsidP="00285302">
      <w:pPr>
        <w:spacing w:after="0"/>
        <w:rPr>
          <w:lang w:val="en-GB" w:eastAsia="en-GB"/>
        </w:rPr>
      </w:pPr>
      <w:r w:rsidRPr="00666B27">
        <w:rPr>
          <w:lang w:val="en-GB" w:eastAsia="en-GB"/>
        </w:rPr>
        <w:t xml:space="preserve">Gender will be mainstreamed on </w:t>
      </w:r>
      <w:proofErr w:type="gramStart"/>
      <w:r w:rsidRPr="00666B27">
        <w:rPr>
          <w:lang w:val="en-GB" w:eastAsia="en-GB"/>
        </w:rPr>
        <w:t>a number of</w:t>
      </w:r>
      <w:proofErr w:type="gramEnd"/>
      <w:r w:rsidRPr="00666B27">
        <w:rPr>
          <w:lang w:val="en-GB" w:eastAsia="en-GB"/>
        </w:rPr>
        <w:t xml:space="preserve"> components of the programme.  The table below shows indicators and targets for these activities, taken directly from the project Results Framework, with gender-related conditions highlighted.</w:t>
      </w:r>
    </w:p>
    <w:p w:rsidR="00285302" w:rsidRPr="00666B27" w:rsidRDefault="00285302" w:rsidP="00285302">
      <w:pPr>
        <w:spacing w:after="0"/>
        <w:rPr>
          <w:lang w:val="en-GB" w:eastAsia="en-GB"/>
        </w:rPr>
      </w:pPr>
    </w:p>
    <w:p w:rsidR="00285302" w:rsidRPr="003B7D62" w:rsidRDefault="00285302" w:rsidP="00285302">
      <w:pPr>
        <w:spacing w:after="0"/>
        <w:rPr>
          <w:b/>
          <w:lang w:val="en-GB" w:eastAsia="en-GB"/>
        </w:rPr>
      </w:pPr>
      <w:bookmarkStart w:id="197" w:name="_Toc179839"/>
      <w:bookmarkStart w:id="198" w:name="_Hlk536453248"/>
      <w:r w:rsidRPr="00666B27">
        <w:rPr>
          <w:rFonts w:ascii="Arial" w:hAnsi="Arial" w:cs="Arial"/>
          <w:b/>
          <w:color w:val="2E74B5"/>
          <w:sz w:val="18"/>
          <w:lang w:val="en-GB"/>
        </w:rPr>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211331" w:rsidRPr="00353542">
        <w:rPr>
          <w:rFonts w:ascii="Arial" w:hAnsi="Arial" w:cs="Arial"/>
          <w:b/>
          <w:noProof/>
          <w:color w:val="2E74B5"/>
          <w:sz w:val="18"/>
          <w:lang w:val="en-GB"/>
        </w:rPr>
        <w:t>15</w:t>
      </w:r>
      <w:r w:rsidRPr="00353542">
        <w:rPr>
          <w:rFonts w:ascii="Arial" w:hAnsi="Arial" w:cs="Arial"/>
          <w:b/>
          <w:color w:val="2E74B5"/>
          <w:sz w:val="18"/>
          <w:lang w:val="en-GB"/>
        </w:rPr>
        <w:fldChar w:fldCharType="end"/>
      </w:r>
      <w:r w:rsidRPr="0057545E">
        <w:rPr>
          <w:rFonts w:ascii="Arial" w:hAnsi="Arial" w:cs="Arial"/>
          <w:b/>
          <w:color w:val="2E74B5"/>
          <w:sz w:val="18"/>
          <w:lang w:val="en-GB"/>
        </w:rPr>
        <w:tab/>
        <w:t>Gender-related indicators</w:t>
      </w:r>
      <w:r w:rsidR="006B2CA0" w:rsidRPr="00353542">
        <w:rPr>
          <w:rFonts w:ascii="Arial" w:hAnsi="Arial" w:cs="Arial"/>
          <w:b/>
          <w:color w:val="2E74B5"/>
          <w:sz w:val="18"/>
          <w:lang w:val="en-GB"/>
        </w:rPr>
        <w:t xml:space="preserve"> and targets (from the project Results Framework)</w:t>
      </w:r>
      <w:bookmarkEnd w:id="197"/>
    </w:p>
    <w:p w:rsidR="00285302" w:rsidRPr="004722F0" w:rsidRDefault="00285302" w:rsidP="00285302">
      <w:pPr>
        <w:spacing w:after="0"/>
        <w:rPr>
          <w:lang w:val="en-GB" w:eastAsia="en-GB"/>
        </w:rPr>
      </w:pPr>
    </w:p>
    <w:tbl>
      <w:tblPr>
        <w:tblW w:w="1063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51"/>
        <w:gridCol w:w="1985"/>
        <w:gridCol w:w="2160"/>
        <w:gridCol w:w="2092"/>
        <w:gridCol w:w="2444"/>
      </w:tblGrid>
      <w:tr w:rsidR="00F3258D" w:rsidRPr="0057545E" w:rsidTr="005D1710">
        <w:trPr>
          <w:trHeight w:val="541"/>
          <w:tblHeader/>
        </w:trPr>
        <w:tc>
          <w:tcPr>
            <w:tcW w:w="1951" w:type="dxa"/>
            <w:shd w:val="pct12" w:color="auto" w:fill="auto"/>
          </w:tcPr>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Outcome Indicators</w:t>
            </w:r>
          </w:p>
          <w:p w:rsidR="00F3258D" w:rsidRPr="00666B27" w:rsidRDefault="00F3258D" w:rsidP="00F3258D">
            <w:pPr>
              <w:spacing w:after="0"/>
              <w:jc w:val="center"/>
              <w:rPr>
                <w:rFonts w:ascii="Arial Narrow" w:hAnsi="Arial Narrow"/>
                <w:b/>
                <w:bCs/>
                <w:sz w:val="18"/>
                <w:szCs w:val="18"/>
                <w:lang w:val="en-GB"/>
              </w:rPr>
            </w:pPr>
          </w:p>
        </w:tc>
        <w:tc>
          <w:tcPr>
            <w:tcW w:w="1985" w:type="dxa"/>
            <w:shd w:val="pct12" w:color="auto" w:fill="auto"/>
          </w:tcPr>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Baseline (2017)</w:t>
            </w:r>
          </w:p>
          <w:p w:rsidR="00F3258D" w:rsidRPr="00666B27" w:rsidRDefault="00F3258D" w:rsidP="00F3258D">
            <w:pPr>
              <w:spacing w:after="0"/>
              <w:jc w:val="center"/>
              <w:rPr>
                <w:rFonts w:ascii="Arial Narrow" w:hAnsi="Arial Narrow"/>
                <w:b/>
                <w:bCs/>
                <w:sz w:val="18"/>
                <w:szCs w:val="18"/>
                <w:lang w:val="en-GB"/>
              </w:rPr>
            </w:pPr>
          </w:p>
        </w:tc>
        <w:tc>
          <w:tcPr>
            <w:tcW w:w="2160" w:type="dxa"/>
            <w:shd w:val="pct12" w:color="auto" w:fill="auto"/>
          </w:tcPr>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Mid-term target</w:t>
            </w:r>
          </w:p>
        </w:tc>
        <w:tc>
          <w:tcPr>
            <w:tcW w:w="2092" w:type="dxa"/>
            <w:shd w:val="pct12" w:color="auto" w:fill="auto"/>
          </w:tcPr>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End of Project (</w:t>
            </w:r>
            <w:proofErr w:type="spellStart"/>
            <w:r w:rsidRPr="00666B27">
              <w:rPr>
                <w:rFonts w:ascii="Arial Narrow" w:hAnsi="Arial Narrow"/>
                <w:b/>
                <w:bCs/>
                <w:sz w:val="18"/>
                <w:szCs w:val="18"/>
                <w:lang w:val="en-GB"/>
              </w:rPr>
              <w:t>EoP</w:t>
            </w:r>
            <w:proofErr w:type="spellEnd"/>
            <w:r w:rsidRPr="00666B27">
              <w:rPr>
                <w:rFonts w:ascii="Arial Narrow" w:hAnsi="Arial Narrow"/>
                <w:b/>
                <w:bCs/>
                <w:sz w:val="18"/>
                <w:szCs w:val="18"/>
                <w:lang w:val="en-GB"/>
              </w:rPr>
              <w:t>)</w:t>
            </w:r>
          </w:p>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target (2023)</w:t>
            </w:r>
          </w:p>
          <w:p w:rsidR="00F3258D" w:rsidRPr="00666B27" w:rsidRDefault="00F3258D" w:rsidP="00F3258D">
            <w:pPr>
              <w:spacing w:after="0"/>
              <w:jc w:val="center"/>
              <w:rPr>
                <w:rFonts w:ascii="Arial Narrow" w:hAnsi="Arial Narrow"/>
                <w:b/>
                <w:bCs/>
                <w:sz w:val="18"/>
                <w:szCs w:val="18"/>
                <w:lang w:val="en-GB"/>
              </w:rPr>
            </w:pPr>
          </w:p>
        </w:tc>
        <w:tc>
          <w:tcPr>
            <w:tcW w:w="2444" w:type="dxa"/>
            <w:shd w:val="pct12" w:color="auto" w:fill="auto"/>
          </w:tcPr>
          <w:p w:rsidR="00F3258D" w:rsidRPr="00666B27" w:rsidRDefault="00F3258D" w:rsidP="00F3258D">
            <w:pPr>
              <w:spacing w:after="0"/>
              <w:jc w:val="center"/>
              <w:rPr>
                <w:rFonts w:ascii="Arial Narrow" w:hAnsi="Arial Narrow"/>
                <w:b/>
                <w:bCs/>
                <w:sz w:val="18"/>
                <w:szCs w:val="18"/>
                <w:lang w:val="en-GB"/>
              </w:rPr>
            </w:pPr>
            <w:r w:rsidRPr="00666B27">
              <w:rPr>
                <w:rFonts w:ascii="Arial Narrow" w:hAnsi="Arial Narrow"/>
                <w:b/>
                <w:bCs/>
                <w:sz w:val="18"/>
                <w:szCs w:val="18"/>
                <w:lang w:val="en-GB"/>
              </w:rPr>
              <w:t>Data collection methods and risks/assumptions</w:t>
            </w:r>
          </w:p>
          <w:p w:rsidR="00F3258D" w:rsidRPr="00666B27" w:rsidRDefault="00F3258D" w:rsidP="00F3258D">
            <w:pPr>
              <w:spacing w:after="0"/>
              <w:jc w:val="center"/>
              <w:rPr>
                <w:rFonts w:ascii="Arial Narrow" w:hAnsi="Arial Narrow"/>
                <w:b/>
                <w:bCs/>
                <w:sz w:val="18"/>
                <w:szCs w:val="18"/>
                <w:lang w:val="en-GB"/>
              </w:rPr>
            </w:pPr>
          </w:p>
        </w:tc>
      </w:tr>
      <w:tr w:rsidR="00F3258D" w:rsidRPr="0057545E" w:rsidTr="005D1710">
        <w:trPr>
          <w:trHeight w:val="1526"/>
        </w:trPr>
        <w:tc>
          <w:tcPr>
            <w:tcW w:w="1951" w:type="dxa"/>
          </w:tcPr>
          <w:p w:rsidR="00F3258D" w:rsidRPr="00666B27" w:rsidRDefault="00F3258D" w:rsidP="00F3258D">
            <w:pPr>
              <w:tabs>
                <w:tab w:val="left" w:pos="227"/>
              </w:tabs>
              <w:spacing w:after="0"/>
              <w:jc w:val="left"/>
              <w:rPr>
                <w:rFonts w:ascii="Arial Narrow" w:hAnsi="Arial Narrow"/>
                <w:bCs/>
                <w:sz w:val="18"/>
                <w:szCs w:val="18"/>
                <w:lang w:val="en-GB"/>
              </w:rPr>
            </w:pPr>
            <w:r w:rsidRPr="0057545E">
              <w:rPr>
                <w:rFonts w:ascii="Arial Narrow" w:hAnsi="Arial Narrow"/>
                <w:bCs/>
                <w:sz w:val="18"/>
                <w:szCs w:val="18"/>
                <w:lang w:val="en-GB"/>
              </w:rPr>
              <w:t xml:space="preserve">a. </w:t>
            </w:r>
            <w:r w:rsidRPr="00353542">
              <w:rPr>
                <w:rFonts w:ascii="Arial Narrow" w:hAnsi="Arial Narrow"/>
                <w:bCs/>
                <w:noProof/>
                <w:sz w:val="18"/>
                <w:szCs w:val="18"/>
                <w:lang w:val="en-GB"/>
              </w:rPr>
              <w:t>Number</w:t>
            </w:r>
            <w:r w:rsidRPr="003B7D62">
              <w:rPr>
                <w:rFonts w:ascii="Arial Narrow" w:hAnsi="Arial Narrow"/>
                <w:bCs/>
                <w:sz w:val="18"/>
                <w:szCs w:val="18"/>
                <w:lang w:val="en-GB"/>
              </w:rPr>
              <w:t xml:space="preserve"> of households that have LED lamps installed</w:t>
            </w:r>
            <w:r w:rsidRPr="003B7D62">
              <w:rPr>
                <w:rFonts w:ascii="Arial Narrow" w:hAnsi="Arial Narrow"/>
                <w:bCs/>
                <w:i/>
                <w:sz w:val="18"/>
                <w:szCs w:val="18"/>
                <w:lang w:val="en-GB"/>
              </w:rPr>
              <w:t xml:space="preserve"> (with gender-relevant data), </w:t>
            </w:r>
            <w:r w:rsidRPr="004722F0">
              <w:rPr>
                <w:rFonts w:ascii="Arial Narrow" w:hAnsi="Arial Narrow"/>
                <w:bCs/>
                <w:sz w:val="18"/>
                <w:szCs w:val="18"/>
                <w:lang w:val="en-GB"/>
              </w:rPr>
              <w:t xml:space="preserve">and </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LED lamps in stock (of installed lamps) in the country</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c. Number of beneficiaries</w:t>
            </w:r>
          </w:p>
          <w:p w:rsidR="00F3258D" w:rsidRPr="00666B27" w:rsidRDefault="00F3258D" w:rsidP="00F3258D">
            <w:pPr>
              <w:spacing w:after="0"/>
              <w:jc w:val="left"/>
              <w:rPr>
                <w:rFonts w:ascii="Arial Narrow" w:hAnsi="Arial Narrow"/>
                <w:bCs/>
                <w:sz w:val="18"/>
                <w:szCs w:val="18"/>
                <w:highlight w:val="yellow"/>
                <w:lang w:val="en-GB"/>
              </w:rPr>
            </w:pPr>
            <w:r w:rsidRPr="00666B27">
              <w:rPr>
                <w:rFonts w:ascii="Arial Narrow" w:hAnsi="Arial Narrow"/>
                <w:bCs/>
                <w:i/>
                <w:sz w:val="18"/>
                <w:szCs w:val="18"/>
                <w:lang w:val="en-GB"/>
              </w:rPr>
              <w:t xml:space="preserve"> [GEF Indicator 11]</w:t>
            </w:r>
          </w:p>
        </w:tc>
        <w:tc>
          <w:tcPr>
            <w:tcW w:w="1985"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An estimated 0.5 million household purchase LED lamps in 2017 </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5% by LEDs in lamp stock in 2017</w:t>
            </w:r>
          </w:p>
        </w:tc>
        <w:tc>
          <w:tcPr>
            <w:tcW w:w="2160"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 In </w:t>
            </w:r>
            <w:r w:rsidRPr="00666B27">
              <w:rPr>
                <w:rFonts w:ascii="Arial Narrow" w:hAnsi="Arial Narrow"/>
                <w:bCs/>
                <w:noProof/>
                <w:sz w:val="18"/>
                <w:szCs w:val="18"/>
                <w:lang w:val="en-GB"/>
              </w:rPr>
              <w:t>baseline</w:t>
            </w:r>
            <w:r w:rsidRPr="00666B27">
              <w:rPr>
                <w:rFonts w:ascii="Arial Narrow" w:hAnsi="Arial Narrow"/>
                <w:bCs/>
                <w:sz w:val="18"/>
                <w:szCs w:val="18"/>
                <w:lang w:val="en-GB"/>
              </w:rPr>
              <w:t xml:space="preserve"> 2.6 million HH will have LED lighting installed and 6.1 million in 2021 (alternative)</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b. </w:t>
            </w:r>
            <w:r w:rsidRPr="00666B27">
              <w:rPr>
                <w:rFonts w:ascii="Arial Narrow" w:hAnsi="Arial Narrow"/>
                <w:bCs/>
                <w:noProof/>
                <w:sz w:val="18"/>
                <w:szCs w:val="18"/>
                <w:lang w:val="en-GB"/>
              </w:rPr>
              <w:t>Share</w:t>
            </w:r>
            <w:r w:rsidRPr="00666B27">
              <w:rPr>
                <w:rFonts w:ascii="Arial Narrow" w:hAnsi="Arial Narrow"/>
                <w:bCs/>
                <w:sz w:val="18"/>
                <w:szCs w:val="18"/>
                <w:lang w:val="en-GB"/>
              </w:rPr>
              <w:t xml:space="preserve"> of 17% of LEDs by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in </w:t>
            </w:r>
            <w:r w:rsidR="00C45283" w:rsidRPr="00666B27">
              <w:rPr>
                <w:rFonts w:ascii="Arial Narrow" w:hAnsi="Arial Narrow"/>
                <w:bCs/>
                <w:sz w:val="18"/>
                <w:szCs w:val="18"/>
                <w:lang w:val="en-GB"/>
              </w:rPr>
              <w:t xml:space="preserve">the </w:t>
            </w:r>
            <w:r w:rsidRPr="00666B27">
              <w:rPr>
                <w:rFonts w:ascii="Arial Narrow" w:hAnsi="Arial Narrow"/>
                <w:bCs/>
                <w:noProof/>
                <w:sz w:val="18"/>
                <w:szCs w:val="18"/>
                <w:lang w:val="en-GB"/>
              </w:rPr>
              <w:t>baseline</w:t>
            </w:r>
            <w:r w:rsidRPr="00666B27">
              <w:rPr>
                <w:rFonts w:ascii="Arial Narrow" w:hAnsi="Arial Narrow"/>
                <w:bCs/>
                <w:sz w:val="18"/>
                <w:szCs w:val="18"/>
                <w:lang w:val="en-GB"/>
              </w:rPr>
              <w:t xml:space="preserve"> scenario and 36% by </w:t>
            </w:r>
            <w:proofErr w:type="spellStart"/>
            <w:r w:rsidRPr="00666B27">
              <w:rPr>
                <w:rFonts w:ascii="Arial Narrow" w:hAnsi="Arial Narrow"/>
                <w:bCs/>
                <w:sz w:val="18"/>
                <w:szCs w:val="18"/>
                <w:lang w:val="en-GB"/>
              </w:rPr>
              <w:t>MoP</w:t>
            </w:r>
            <w:proofErr w:type="spellEnd"/>
            <w:r w:rsidRPr="00666B27">
              <w:rPr>
                <w:rFonts w:ascii="Arial Narrow" w:hAnsi="Arial Narrow"/>
                <w:bCs/>
                <w:sz w:val="18"/>
                <w:szCs w:val="18"/>
                <w:lang w:val="en-GB"/>
              </w:rPr>
              <w:t xml:space="preserve"> in alternative scenario</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c. Based on indicator 3a, 11 million beneficiaries (50% men, 50% women)</w:t>
            </w:r>
          </w:p>
        </w:tc>
        <w:tc>
          <w:tcPr>
            <w:tcW w:w="2092"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In the alternative scenario, 6.3 million households will have LED lamps installed and in 2030 the figure will be 14.6 million households.</w:t>
            </w:r>
          </w:p>
          <w:p w:rsidR="00F3258D" w:rsidRPr="00666B27" w:rsidRDefault="00F3258D" w:rsidP="00F3258D">
            <w:pPr>
              <w:spacing w:after="0"/>
              <w:jc w:val="left"/>
              <w:rPr>
                <w:rFonts w:ascii="Arial Narrow" w:hAnsi="Arial Narrow"/>
                <w:b/>
                <w:bCs/>
                <w:sz w:val="18"/>
                <w:szCs w:val="18"/>
                <w:lang w:val="en-GB"/>
              </w:rPr>
            </w:pPr>
          </w:p>
        </w:tc>
        <w:tc>
          <w:tcPr>
            <w:tcW w:w="2444" w:type="dxa"/>
          </w:tcPr>
          <w:p w:rsidR="00F3258D" w:rsidRPr="00666B27" w:rsidRDefault="00F3258D" w:rsidP="00F3258D">
            <w:pPr>
              <w:spacing w:after="0"/>
              <w:jc w:val="left"/>
              <w:rPr>
                <w:rFonts w:ascii="Arial Narrow" w:hAnsi="Arial Narrow"/>
                <w:bCs/>
                <w:i/>
                <w:sz w:val="18"/>
                <w:szCs w:val="18"/>
                <w:lang w:val="en-GB"/>
              </w:rPr>
            </w:pPr>
            <w:r w:rsidRPr="00666B27">
              <w:rPr>
                <w:rFonts w:ascii="Arial Narrow" w:hAnsi="Arial Narrow"/>
                <w:sz w:val="18"/>
                <w:szCs w:val="18"/>
                <w:lang w:val="en-GB"/>
              </w:rPr>
              <w:t xml:space="preserve">Surveys will include </w:t>
            </w:r>
            <w:r w:rsidRPr="00666B27">
              <w:rPr>
                <w:rFonts w:ascii="Arial Narrow" w:hAnsi="Arial Narrow"/>
                <w:noProof/>
                <w:sz w:val="18"/>
                <w:szCs w:val="18"/>
                <w:lang w:val="en-GB"/>
              </w:rPr>
              <w:t>number</w:t>
            </w:r>
            <w:r w:rsidRPr="00666B27">
              <w:rPr>
                <w:rFonts w:ascii="Arial Narrow" w:hAnsi="Arial Narrow"/>
                <w:sz w:val="18"/>
                <w:szCs w:val="18"/>
                <w:lang w:val="en-GB"/>
              </w:rPr>
              <w:t xml:space="preserve"> and gender of members of the household.</w:t>
            </w:r>
          </w:p>
        </w:tc>
      </w:tr>
      <w:tr w:rsidR="00F3258D" w:rsidRPr="0057545E" w:rsidTr="005D1710">
        <w:trPr>
          <w:trHeight w:val="1526"/>
        </w:trPr>
        <w:tc>
          <w:tcPr>
            <w:tcW w:w="1951" w:type="dxa"/>
          </w:tcPr>
          <w:p w:rsidR="00F3258D" w:rsidRPr="00666B27" w:rsidRDefault="00F3258D" w:rsidP="00F3258D">
            <w:pPr>
              <w:spacing w:after="0"/>
              <w:jc w:val="left"/>
              <w:rPr>
                <w:rFonts w:ascii="Arial Narrow" w:hAnsi="Arial Narrow"/>
                <w:bCs/>
                <w:sz w:val="18"/>
                <w:szCs w:val="18"/>
                <w:highlight w:val="yellow"/>
                <w:lang w:val="en-GB"/>
              </w:rPr>
            </w:pPr>
            <w:r w:rsidRPr="0057545E">
              <w:rPr>
                <w:rFonts w:ascii="Arial Narrow" w:hAnsi="Arial Narrow"/>
                <w:bCs/>
                <w:sz w:val="18"/>
                <w:szCs w:val="18"/>
                <w:lang w:val="en-GB"/>
              </w:rPr>
              <w:t xml:space="preserve">Impact of consumer awareness of energy efficiency, MEPS and labels for lighting products, as reflected in </w:t>
            </w:r>
            <w:r w:rsidRPr="00353542">
              <w:rPr>
                <w:rFonts w:ascii="Arial Narrow" w:hAnsi="Arial Narrow"/>
                <w:bCs/>
                <w:noProof/>
                <w:sz w:val="18"/>
                <w:szCs w:val="18"/>
                <w:lang w:val="en-GB"/>
              </w:rPr>
              <w:t>share</w:t>
            </w:r>
            <w:r w:rsidRPr="003B7D62">
              <w:rPr>
                <w:rFonts w:ascii="Arial Narrow" w:hAnsi="Arial Narrow"/>
                <w:bCs/>
                <w:sz w:val="18"/>
                <w:szCs w:val="18"/>
                <w:lang w:val="en-GB"/>
              </w:rPr>
              <w:t xml:space="preserve"> of affirmative survey responses and (</w:t>
            </w:r>
            <w:r w:rsidRPr="004722F0">
              <w:rPr>
                <w:rFonts w:ascii="Arial Narrow" w:hAnsi="Arial Narrow"/>
                <w:bCs/>
                <w:i/>
                <w:sz w:val="18"/>
                <w:szCs w:val="18"/>
                <w:lang w:val="en-GB"/>
              </w:rPr>
              <w:t>broken out by gender)</w:t>
            </w:r>
          </w:p>
        </w:tc>
        <w:tc>
          <w:tcPr>
            <w:tcW w:w="1985"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Awareness </w:t>
            </w:r>
            <w:r w:rsidRPr="00666B27">
              <w:rPr>
                <w:rFonts w:ascii="Arial Narrow" w:hAnsi="Arial Narrow"/>
                <w:bCs/>
                <w:noProof/>
                <w:sz w:val="18"/>
                <w:szCs w:val="18"/>
                <w:lang w:val="en-GB"/>
              </w:rPr>
              <w:t>o</w:t>
            </w:r>
            <w:r w:rsidR="00C45283" w:rsidRPr="00666B27">
              <w:rPr>
                <w:rFonts w:ascii="Arial Narrow" w:hAnsi="Arial Narrow"/>
                <w:bCs/>
                <w:noProof/>
                <w:sz w:val="18"/>
                <w:szCs w:val="18"/>
                <w:lang w:val="en-GB"/>
              </w:rPr>
              <w:t>f</w:t>
            </w:r>
            <w:r w:rsidRPr="00666B27">
              <w:rPr>
                <w:rFonts w:ascii="Arial Narrow" w:hAnsi="Arial Narrow"/>
                <w:bCs/>
                <w:sz w:val="18"/>
                <w:szCs w:val="18"/>
                <w:lang w:val="en-GB"/>
              </w:rPr>
              <w:t xml:space="preserve"> energy efficiency amongst consumers in lighting </w:t>
            </w:r>
            <w:r w:rsidRPr="00666B27">
              <w:rPr>
                <w:rFonts w:ascii="Arial Narrow" w:hAnsi="Arial Narrow"/>
                <w:bCs/>
                <w:noProof/>
                <w:sz w:val="18"/>
                <w:szCs w:val="18"/>
                <w:lang w:val="en-GB"/>
              </w:rPr>
              <w:t>exists,</w:t>
            </w:r>
            <w:r w:rsidRPr="00666B27">
              <w:rPr>
                <w:rFonts w:ascii="Arial Narrow" w:hAnsi="Arial Narrow"/>
                <w:bCs/>
                <w:sz w:val="18"/>
                <w:szCs w:val="18"/>
                <w:lang w:val="en-GB"/>
              </w:rPr>
              <w:t xml:space="preserve"> but geared towards CFLs (residential-commercial), T8-T5 in LFL and HID-HPS (instead of HID-MV) in outdoor/street lighting. Less awareness on (economic) benefits from using LED lamps.</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Municipalities have little or no awareness on high-efficiency transformers</w:t>
            </w:r>
          </w:p>
        </w:tc>
        <w:tc>
          <w:tcPr>
            <w:tcW w:w="2160"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Surveys after first awareness campaigning show 15% increase in affirmative response on benefits (energy and monetary savings) of LED lighting </w:t>
            </w:r>
            <w:r w:rsidRPr="00666B27">
              <w:rPr>
                <w:rFonts w:ascii="Arial Narrow" w:hAnsi="Arial Narrow"/>
                <w:bCs/>
                <w:i/>
                <w:sz w:val="18"/>
                <w:szCs w:val="18"/>
                <w:lang w:val="en-GB"/>
              </w:rPr>
              <w:t>(both men and women)</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15% increase in municipalities that consider high-efficient transformers in their EE plans</w:t>
            </w:r>
          </w:p>
          <w:p w:rsidR="00F3258D" w:rsidRPr="00666B27" w:rsidRDefault="00F3258D" w:rsidP="00F3258D">
            <w:pPr>
              <w:spacing w:after="0"/>
              <w:jc w:val="left"/>
              <w:rPr>
                <w:rFonts w:ascii="Arial Narrow" w:hAnsi="Arial Narrow"/>
                <w:bCs/>
                <w:sz w:val="18"/>
                <w:szCs w:val="18"/>
                <w:lang w:val="en-GB"/>
              </w:rPr>
            </w:pPr>
          </w:p>
        </w:tc>
        <w:tc>
          <w:tcPr>
            <w:tcW w:w="2092"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Surveys after awareness campaigning and other knowledge enhancement activities of the Project show 50% increase in affirmative response on benefits (energy and monetary savings) of LED lighting (both men and women)</w:t>
            </w:r>
          </w:p>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50% increase in municipalities that consider high-efficient transformers in their EE plan</w:t>
            </w:r>
          </w:p>
        </w:tc>
        <w:tc>
          <w:tcPr>
            <w:tcW w:w="2444" w:type="dxa"/>
          </w:tcPr>
          <w:p w:rsidR="00F3258D" w:rsidRPr="00666B27" w:rsidRDefault="00F3258D" w:rsidP="00F3258D">
            <w:pPr>
              <w:spacing w:after="0"/>
              <w:jc w:val="left"/>
              <w:rPr>
                <w:rFonts w:ascii="Arial Narrow" w:hAnsi="Arial Narrow"/>
                <w:sz w:val="18"/>
                <w:szCs w:val="18"/>
                <w:lang w:val="en-GB"/>
              </w:rPr>
            </w:pPr>
            <w:r w:rsidRPr="00666B27">
              <w:rPr>
                <w:rFonts w:ascii="Arial Narrow" w:hAnsi="Arial Narrow"/>
                <w:sz w:val="18"/>
                <w:szCs w:val="18"/>
                <w:lang w:val="en-GB"/>
              </w:rPr>
              <w:t xml:space="preserve">Consumer awareness data to be collected in surveys and focus groups at </w:t>
            </w:r>
            <w:r w:rsidR="00C45283" w:rsidRPr="00666B27">
              <w:rPr>
                <w:rFonts w:ascii="Arial Narrow" w:hAnsi="Arial Narrow"/>
                <w:sz w:val="18"/>
                <w:szCs w:val="18"/>
                <w:lang w:val="en-GB"/>
              </w:rPr>
              <w:t xml:space="preserve">the </w:t>
            </w:r>
            <w:r w:rsidRPr="00666B27">
              <w:rPr>
                <w:rFonts w:ascii="Arial Narrow" w:hAnsi="Arial Narrow"/>
                <w:noProof/>
                <w:sz w:val="18"/>
                <w:szCs w:val="18"/>
                <w:lang w:val="en-GB"/>
              </w:rPr>
              <w:t>beginning</w:t>
            </w:r>
            <w:r w:rsidRPr="00666B27">
              <w:rPr>
                <w:rFonts w:ascii="Arial Narrow" w:hAnsi="Arial Narrow"/>
                <w:sz w:val="18"/>
                <w:szCs w:val="18"/>
                <w:lang w:val="en-GB"/>
              </w:rPr>
              <w:t xml:space="preserve"> and final year of </w:t>
            </w:r>
            <w:r w:rsidR="00C45283" w:rsidRPr="00666B27">
              <w:rPr>
                <w:rFonts w:ascii="Arial Narrow" w:hAnsi="Arial Narrow"/>
                <w:noProof/>
                <w:sz w:val="18"/>
                <w:szCs w:val="18"/>
                <w:lang w:val="en-GB"/>
              </w:rPr>
              <w:t>the P</w:t>
            </w:r>
            <w:r w:rsidRPr="00666B27">
              <w:rPr>
                <w:rFonts w:ascii="Arial Narrow" w:hAnsi="Arial Narrow"/>
                <w:noProof/>
                <w:sz w:val="18"/>
                <w:szCs w:val="18"/>
                <w:lang w:val="en-GB"/>
              </w:rPr>
              <w:t>roject</w:t>
            </w:r>
            <w:r w:rsidRPr="00666B27">
              <w:rPr>
                <w:rFonts w:ascii="Arial Narrow" w:hAnsi="Arial Narrow"/>
                <w:sz w:val="18"/>
                <w:szCs w:val="18"/>
                <w:lang w:val="en-GB"/>
              </w:rPr>
              <w:t xml:space="preserve"> linked with the overall market survey (Indicator 5).</w:t>
            </w:r>
            <w:r w:rsidRPr="00666B27">
              <w:rPr>
                <w:lang w:val="en-GB"/>
              </w:rPr>
              <w:t xml:space="preserve"> </w:t>
            </w:r>
            <w:r w:rsidRPr="00666B27">
              <w:rPr>
                <w:rFonts w:ascii="Arial Narrow" w:hAnsi="Arial Narrow"/>
                <w:i/>
                <w:sz w:val="18"/>
                <w:szCs w:val="18"/>
                <w:lang w:val="en-GB"/>
              </w:rPr>
              <w:t>Surveys will contain data on both the gender of the respondent</w:t>
            </w:r>
          </w:p>
          <w:p w:rsidR="00F3258D" w:rsidRPr="00666B27" w:rsidRDefault="00F3258D" w:rsidP="00F3258D">
            <w:pPr>
              <w:spacing w:after="0"/>
              <w:jc w:val="left"/>
              <w:rPr>
                <w:rFonts w:ascii="Arial Narrow" w:hAnsi="Arial Narrow"/>
                <w:sz w:val="18"/>
                <w:szCs w:val="18"/>
                <w:lang w:val="en-GB"/>
              </w:rPr>
            </w:pPr>
          </w:p>
          <w:p w:rsidR="00F3258D" w:rsidRPr="00666B27" w:rsidRDefault="00F3258D" w:rsidP="00F3258D">
            <w:pPr>
              <w:spacing w:after="0"/>
              <w:jc w:val="left"/>
              <w:rPr>
                <w:rFonts w:ascii="Arial Narrow" w:hAnsi="Arial Narrow"/>
                <w:sz w:val="18"/>
                <w:szCs w:val="18"/>
                <w:lang w:val="en-GB"/>
              </w:rPr>
            </w:pPr>
            <w:r w:rsidRPr="00666B27">
              <w:rPr>
                <w:rFonts w:ascii="Arial Narrow" w:hAnsi="Arial Narrow"/>
                <w:i/>
                <w:sz w:val="18"/>
                <w:szCs w:val="18"/>
                <w:lang w:val="en-GB"/>
              </w:rPr>
              <w:t xml:space="preserve">Assumption/risks: </w:t>
            </w:r>
            <w:r w:rsidRPr="00666B27">
              <w:rPr>
                <w:rFonts w:ascii="Arial Narrow" w:hAnsi="Arial Narrow"/>
                <w:sz w:val="18"/>
                <w:szCs w:val="18"/>
                <w:lang w:val="en-GB"/>
              </w:rPr>
              <w:t xml:space="preserve">strong involvement of retailers and distributors (lighting) and manufacturers (luminaires, transformers) in information and </w:t>
            </w:r>
            <w:r w:rsidRPr="00666B27">
              <w:rPr>
                <w:rFonts w:ascii="Arial Narrow" w:hAnsi="Arial Narrow"/>
                <w:sz w:val="18"/>
                <w:szCs w:val="18"/>
                <w:lang w:val="en-GB"/>
              </w:rPr>
              <w:lastRenderedPageBreak/>
              <w:t xml:space="preserve">campaigning. Retail staff can explain lighting labels </w:t>
            </w:r>
          </w:p>
        </w:tc>
      </w:tr>
      <w:tr w:rsidR="00F3258D" w:rsidRPr="0057545E" w:rsidTr="005D1710">
        <w:trPr>
          <w:trHeight w:val="1526"/>
        </w:trPr>
        <w:tc>
          <w:tcPr>
            <w:tcW w:w="1951" w:type="dxa"/>
          </w:tcPr>
          <w:p w:rsidR="00F3258D" w:rsidRPr="00666B27" w:rsidRDefault="00F3258D" w:rsidP="00F3258D">
            <w:pPr>
              <w:spacing w:after="0"/>
              <w:jc w:val="left"/>
              <w:rPr>
                <w:rFonts w:ascii="Arial Narrow" w:hAnsi="Arial Narrow"/>
                <w:bCs/>
                <w:sz w:val="18"/>
                <w:szCs w:val="18"/>
                <w:highlight w:val="yellow"/>
                <w:lang w:val="en-GB"/>
              </w:rPr>
            </w:pPr>
            <w:r w:rsidRPr="0057545E">
              <w:rPr>
                <w:rFonts w:ascii="Arial Narrow" w:hAnsi="Arial Narrow"/>
                <w:bCs/>
                <w:i/>
                <w:sz w:val="18"/>
                <w:szCs w:val="18"/>
                <w:lang w:val="en-GB"/>
              </w:rPr>
              <w:lastRenderedPageBreak/>
              <w:t xml:space="preserve">Vulnerable groups and women access </w:t>
            </w:r>
            <w:r w:rsidRPr="00353542">
              <w:rPr>
                <w:rFonts w:ascii="Arial Narrow" w:hAnsi="Arial Narrow"/>
                <w:bCs/>
                <w:i/>
                <w:noProof/>
                <w:sz w:val="18"/>
                <w:szCs w:val="18"/>
                <w:lang w:val="en-GB"/>
              </w:rPr>
              <w:t>loan</w:t>
            </w:r>
            <w:r w:rsidRPr="003B7D62">
              <w:rPr>
                <w:rFonts w:ascii="Arial Narrow" w:hAnsi="Arial Narrow"/>
                <w:bCs/>
                <w:i/>
                <w:sz w:val="18"/>
                <w:szCs w:val="18"/>
                <w:lang w:val="en-GB"/>
              </w:rPr>
              <w:t xml:space="preserve"> finance to start participating in projects as shown by the number of </w:t>
            </w:r>
            <w:r w:rsidRPr="004722F0">
              <w:rPr>
                <w:rFonts w:ascii="Arial Narrow" w:hAnsi="Arial Narrow"/>
                <w:bCs/>
                <w:i/>
                <w:noProof/>
                <w:sz w:val="18"/>
                <w:szCs w:val="18"/>
                <w:lang w:val="en-GB"/>
              </w:rPr>
              <w:t>Women Owned</w:t>
            </w:r>
            <w:r w:rsidRPr="00666B27">
              <w:rPr>
                <w:rFonts w:ascii="Arial Narrow" w:hAnsi="Arial Narrow"/>
                <w:bCs/>
                <w:i/>
                <w:sz w:val="18"/>
                <w:szCs w:val="18"/>
                <w:lang w:val="en-GB"/>
              </w:rPr>
              <w:t xml:space="preserve"> Businesses benefiting and participating in the implementation of the project</w:t>
            </w:r>
            <w:r w:rsidRPr="00666B27">
              <w:rPr>
                <w:rFonts w:ascii="Arial Narrow" w:hAnsi="Arial Narrow"/>
                <w:bCs/>
                <w:sz w:val="18"/>
                <w:szCs w:val="18"/>
                <w:lang w:val="en-GB"/>
              </w:rPr>
              <w:t xml:space="preserve">.  </w:t>
            </w:r>
          </w:p>
        </w:tc>
        <w:tc>
          <w:tcPr>
            <w:tcW w:w="1985"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Very few women participate in projects especially in the energy sector, and the main barrier has been identified as </w:t>
            </w:r>
            <w:r w:rsidRPr="00666B27">
              <w:rPr>
                <w:rFonts w:ascii="Arial Narrow" w:hAnsi="Arial Narrow"/>
                <w:bCs/>
                <w:noProof/>
                <w:sz w:val="18"/>
                <w:szCs w:val="18"/>
                <w:lang w:val="en-GB"/>
              </w:rPr>
              <w:t>lack</w:t>
            </w:r>
            <w:r w:rsidRPr="00666B27">
              <w:rPr>
                <w:rFonts w:ascii="Arial Narrow" w:hAnsi="Arial Narrow"/>
                <w:bCs/>
                <w:sz w:val="18"/>
                <w:szCs w:val="18"/>
                <w:lang w:val="en-GB"/>
              </w:rPr>
              <w:t xml:space="preserve"> of finance.</w:t>
            </w:r>
          </w:p>
        </w:tc>
        <w:tc>
          <w:tcPr>
            <w:tcW w:w="2160"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 xml:space="preserve">Initially, an increase of (20%) of women and vulnerable groups access finance and participate in the implementation of energy </w:t>
            </w:r>
            <w:r w:rsidRPr="00666B27">
              <w:rPr>
                <w:rFonts w:ascii="Arial Narrow" w:hAnsi="Arial Narrow"/>
                <w:bCs/>
                <w:noProof/>
                <w:sz w:val="18"/>
                <w:szCs w:val="18"/>
                <w:lang w:val="en-GB"/>
              </w:rPr>
              <w:t>efficien</w:t>
            </w:r>
            <w:r w:rsidR="00C45283" w:rsidRPr="00666B27">
              <w:rPr>
                <w:rFonts w:ascii="Arial Narrow" w:hAnsi="Arial Narrow"/>
                <w:bCs/>
                <w:noProof/>
                <w:sz w:val="18"/>
                <w:szCs w:val="18"/>
                <w:lang w:val="en-GB"/>
              </w:rPr>
              <w:t>t</w:t>
            </w:r>
            <w:r w:rsidRPr="00666B27">
              <w:rPr>
                <w:rFonts w:ascii="Arial Narrow" w:hAnsi="Arial Narrow"/>
                <w:bCs/>
                <w:sz w:val="18"/>
                <w:szCs w:val="18"/>
                <w:lang w:val="en-GB"/>
              </w:rPr>
              <w:t xml:space="preserve"> lighting and equipment</w:t>
            </w:r>
          </w:p>
        </w:tc>
        <w:tc>
          <w:tcPr>
            <w:tcW w:w="2092" w:type="dxa"/>
          </w:tcPr>
          <w:p w:rsidR="00F3258D" w:rsidRPr="00666B27" w:rsidRDefault="00F3258D" w:rsidP="00F3258D">
            <w:pPr>
              <w:spacing w:after="0"/>
              <w:jc w:val="left"/>
              <w:rPr>
                <w:rFonts w:ascii="Arial Narrow" w:hAnsi="Arial Narrow"/>
                <w:bCs/>
                <w:sz w:val="18"/>
                <w:szCs w:val="18"/>
                <w:lang w:val="en-GB"/>
              </w:rPr>
            </w:pPr>
            <w:r w:rsidRPr="00666B27">
              <w:rPr>
                <w:rFonts w:ascii="Arial Narrow" w:hAnsi="Arial Narrow"/>
                <w:bCs/>
                <w:sz w:val="18"/>
                <w:szCs w:val="18"/>
                <w:lang w:val="en-GB"/>
              </w:rPr>
              <w:t>Increase in 50% participation of vulnerable groups including women access loans and participate meaningfully in projects achieving representation that is on par with their male counterparts.</w:t>
            </w:r>
          </w:p>
        </w:tc>
        <w:tc>
          <w:tcPr>
            <w:tcW w:w="2444" w:type="dxa"/>
          </w:tcPr>
          <w:p w:rsidR="00F3258D" w:rsidRPr="00666B27" w:rsidRDefault="00F3258D" w:rsidP="00F3258D">
            <w:pPr>
              <w:spacing w:after="0"/>
              <w:jc w:val="left"/>
              <w:rPr>
                <w:rFonts w:ascii="Arial Narrow" w:hAnsi="Arial Narrow"/>
                <w:sz w:val="18"/>
                <w:szCs w:val="18"/>
                <w:lang w:val="en-GB"/>
              </w:rPr>
            </w:pPr>
            <w:r w:rsidRPr="00666B27">
              <w:rPr>
                <w:rFonts w:ascii="Arial Narrow" w:hAnsi="Arial Narrow"/>
                <w:sz w:val="18"/>
                <w:szCs w:val="18"/>
                <w:lang w:val="en-GB"/>
              </w:rPr>
              <w:t>Data is collected from the time the policy facilitating funding of WOBs is implemented.  Close monitoring is ensured through surveys in order to detect any side barriers cropping up so that they are addressed promptly</w:t>
            </w:r>
            <w:r w:rsidRPr="00666B27">
              <w:rPr>
                <w:rFonts w:ascii="Arial Narrow" w:hAnsi="Arial Narrow"/>
                <w:i/>
                <w:sz w:val="18"/>
                <w:szCs w:val="18"/>
                <w:lang w:val="en-GB"/>
              </w:rPr>
              <w:t>.</w:t>
            </w:r>
          </w:p>
        </w:tc>
      </w:tr>
    </w:tbl>
    <w:bookmarkEnd w:id="198"/>
    <w:p w:rsidR="00285302" w:rsidRPr="00666B27" w:rsidRDefault="00285302" w:rsidP="00285302">
      <w:pPr>
        <w:spacing w:after="0"/>
        <w:rPr>
          <w:lang w:val="en-GB" w:eastAsia="en-GB"/>
        </w:rPr>
      </w:pPr>
      <w:r w:rsidRPr="0057545E">
        <w:rPr>
          <w:lang w:val="en-GB" w:eastAsia="en-GB"/>
        </w:rPr>
        <w:t xml:space="preserve">Based on the initial assessment of gender issues in the project, </w:t>
      </w:r>
      <w:r w:rsidRPr="00353542">
        <w:rPr>
          <w:lang w:val="en-GB" w:eastAsia="en-GB"/>
        </w:rPr>
        <w:t xml:space="preserve">no appreciable gender risks that are likely to jeopardize the project have been identified. As has been noted with regards to </w:t>
      </w:r>
      <w:r w:rsidRPr="003B7D62">
        <w:rPr>
          <w:noProof/>
          <w:lang w:val="en-GB" w:eastAsia="en-GB"/>
        </w:rPr>
        <w:t>gender</w:t>
      </w:r>
      <w:r w:rsidRPr="003B7D62">
        <w:rPr>
          <w:lang w:val="en-GB" w:eastAsia="en-GB"/>
        </w:rPr>
        <w:t xml:space="preserve"> gap, the country is well advanced with mainstreaming gender policy and representati</w:t>
      </w:r>
      <w:r w:rsidRPr="004722F0">
        <w:rPr>
          <w:lang w:val="en-GB" w:eastAsia="en-GB"/>
        </w:rPr>
        <w:t>on in legislative branches of government</w:t>
      </w:r>
      <w:r w:rsidRPr="00666B27">
        <w:rPr>
          <w:lang w:val="en-GB" w:eastAsia="en-GB"/>
        </w:rPr>
        <w:t xml:space="preserve">, although </w:t>
      </w:r>
      <w:r w:rsidRPr="00666B27">
        <w:rPr>
          <w:noProof/>
          <w:lang w:val="en-GB" w:eastAsia="en-GB"/>
        </w:rPr>
        <w:t>in</w:t>
      </w:r>
      <w:r w:rsidRPr="00666B27">
        <w:rPr>
          <w:lang w:val="en-GB" w:eastAsia="en-GB"/>
        </w:rPr>
        <w:t xml:space="preserve"> some areas, there is still room for improvement. The project’s efforts, </w:t>
      </w:r>
      <w:proofErr w:type="gramStart"/>
      <w:r w:rsidRPr="00666B27">
        <w:rPr>
          <w:lang w:val="en-GB" w:eastAsia="en-GB"/>
        </w:rPr>
        <w:t>with regard to</w:t>
      </w:r>
      <w:proofErr w:type="gramEnd"/>
      <w:r w:rsidRPr="00666B27">
        <w:rPr>
          <w:lang w:val="en-GB" w:eastAsia="en-GB"/>
        </w:rPr>
        <w:t xml:space="preserve"> policy and enforcement, will snugly fit into this national context.  Women are expected to take the lead and stand to benefit enormously in terms of their skills being enhanced and securing job opportunities.  This should not be viewed as a benefit only to the individuals but has far more reaching implications for the country and the economy </w:t>
      </w:r>
      <w:proofErr w:type="gramStart"/>
      <w:r w:rsidRPr="00666B27">
        <w:rPr>
          <w:lang w:val="en-GB" w:eastAsia="en-GB"/>
        </w:rPr>
        <w:t>as a whole as</w:t>
      </w:r>
      <w:proofErr w:type="gramEnd"/>
      <w:r w:rsidRPr="00666B27">
        <w:rPr>
          <w:lang w:val="en-GB" w:eastAsia="en-GB"/>
        </w:rPr>
        <w:t xml:space="preserve"> unemployment rates, especial among female members of society are </w:t>
      </w:r>
      <w:r w:rsidRPr="00666B27">
        <w:rPr>
          <w:noProof/>
          <w:lang w:val="en-GB" w:eastAsia="en-GB"/>
        </w:rPr>
        <w:t>sky rocketing</w:t>
      </w:r>
      <w:r w:rsidRPr="00666B27">
        <w:rPr>
          <w:lang w:val="en-GB" w:eastAsia="en-GB"/>
        </w:rPr>
        <w:t>.</w:t>
      </w:r>
    </w:p>
    <w:p w:rsidR="00285302" w:rsidRPr="00666B27" w:rsidRDefault="00285302" w:rsidP="00285302">
      <w:pPr>
        <w:spacing w:after="0"/>
        <w:rPr>
          <w:lang w:val="en-GB" w:eastAsia="en-GB"/>
        </w:rPr>
      </w:pPr>
    </w:p>
    <w:p w:rsidR="00285302" w:rsidRPr="00353542" w:rsidRDefault="006B2CA0" w:rsidP="00285302">
      <w:pPr>
        <w:spacing w:after="0"/>
        <w:rPr>
          <w:rFonts w:ascii="Arial" w:hAnsi="Arial" w:cs="Arial"/>
          <w:b/>
          <w:color w:val="2E74B5"/>
          <w:sz w:val="18"/>
          <w:lang w:val="en-GB"/>
        </w:rPr>
      </w:pPr>
      <w:bookmarkStart w:id="199" w:name="_Toc179840"/>
      <w:r w:rsidRPr="00666B27">
        <w:rPr>
          <w:rFonts w:ascii="Arial" w:hAnsi="Arial" w:cs="Arial"/>
          <w:b/>
          <w:color w:val="2E74B5"/>
          <w:sz w:val="18"/>
          <w:lang w:val="en-GB"/>
        </w:rPr>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211331" w:rsidRPr="00353542">
        <w:rPr>
          <w:rFonts w:ascii="Arial" w:hAnsi="Arial" w:cs="Arial"/>
          <w:b/>
          <w:noProof/>
          <w:color w:val="2E74B5"/>
          <w:sz w:val="18"/>
          <w:lang w:val="en-GB"/>
        </w:rPr>
        <w:t>16</w:t>
      </w:r>
      <w:r w:rsidRPr="00353542">
        <w:rPr>
          <w:rFonts w:ascii="Arial" w:hAnsi="Arial" w:cs="Arial"/>
          <w:b/>
          <w:color w:val="2E74B5"/>
          <w:sz w:val="18"/>
          <w:lang w:val="en-GB"/>
        </w:rPr>
        <w:fldChar w:fldCharType="end"/>
      </w:r>
      <w:r w:rsidRPr="0057545E">
        <w:rPr>
          <w:rFonts w:ascii="Arial" w:hAnsi="Arial" w:cs="Arial"/>
          <w:b/>
          <w:color w:val="2E74B5"/>
          <w:sz w:val="18"/>
          <w:lang w:val="en-GB"/>
        </w:rPr>
        <w:tab/>
        <w:t>Gender and social inclusion action plan: a gender mainstreaming measurement tool</w:t>
      </w:r>
      <w:bookmarkEnd w:id="199"/>
    </w:p>
    <w:p w:rsidR="006B2CA0" w:rsidRDefault="006B2CA0" w:rsidP="00285302">
      <w:pPr>
        <w:spacing w:after="0"/>
        <w:rPr>
          <w:rFonts w:ascii="Arial" w:hAnsi="Arial" w:cs="Arial"/>
          <w:color w:val="2E74B5"/>
          <w:sz w:val="18"/>
          <w:lang w:val="en-GB"/>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9"/>
        <w:gridCol w:w="1471"/>
        <w:gridCol w:w="1464"/>
        <w:gridCol w:w="1467"/>
        <w:gridCol w:w="1405"/>
        <w:gridCol w:w="2204"/>
      </w:tblGrid>
      <w:tr w:rsidR="00D80416" w:rsidRPr="00514A81" w:rsidTr="00F737AD">
        <w:tc>
          <w:tcPr>
            <w:tcW w:w="2049"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Gender Related Activity</w:t>
            </w:r>
          </w:p>
        </w:tc>
        <w:tc>
          <w:tcPr>
            <w:tcW w:w="1471"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Indicator</w:t>
            </w:r>
          </w:p>
        </w:tc>
        <w:tc>
          <w:tcPr>
            <w:tcW w:w="1464"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Target</w:t>
            </w:r>
          </w:p>
        </w:tc>
        <w:tc>
          <w:tcPr>
            <w:tcW w:w="1467"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Baseline</w:t>
            </w:r>
          </w:p>
        </w:tc>
        <w:tc>
          <w:tcPr>
            <w:tcW w:w="1405"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Timeline</w:t>
            </w:r>
          </w:p>
        </w:tc>
        <w:tc>
          <w:tcPr>
            <w:tcW w:w="2204" w:type="dxa"/>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6"/>
                <w:szCs w:val="16"/>
                <w:lang w:val="en-ZA"/>
              </w:rPr>
            </w:pPr>
            <w:r w:rsidRPr="00F737AD">
              <w:rPr>
                <w:rFonts w:ascii="Arial" w:eastAsia="Arial" w:hAnsi="Arial"/>
                <w:b/>
                <w:sz w:val="16"/>
                <w:szCs w:val="16"/>
                <w:lang w:val="en-ZA"/>
              </w:rPr>
              <w:t>Responsibility</w:t>
            </w:r>
          </w:p>
        </w:tc>
      </w:tr>
      <w:tr w:rsidR="00514A81" w:rsidRPr="00514A81" w:rsidTr="00F737AD">
        <w:tc>
          <w:tcPr>
            <w:tcW w:w="10060" w:type="dxa"/>
            <w:gridSpan w:val="6"/>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18"/>
                <w:szCs w:val="18"/>
                <w:lang w:val="en-ZA"/>
              </w:rPr>
            </w:pPr>
            <w:r w:rsidRPr="00F737AD">
              <w:rPr>
                <w:rFonts w:ascii="Arial" w:eastAsia="Arial" w:hAnsi="Arial"/>
                <w:b/>
                <w:i/>
                <w:sz w:val="18"/>
                <w:szCs w:val="18"/>
                <w:lang w:val="en-ZA"/>
              </w:rPr>
              <w:t xml:space="preserve">Appliances &amp;equipment comply with new energy performance </w:t>
            </w:r>
            <w:proofErr w:type="gramStart"/>
            <w:r w:rsidRPr="00F737AD">
              <w:rPr>
                <w:rFonts w:ascii="Arial" w:eastAsia="Arial" w:hAnsi="Arial"/>
                <w:b/>
                <w:i/>
                <w:sz w:val="18"/>
                <w:szCs w:val="18"/>
                <w:lang w:val="en-ZA"/>
              </w:rPr>
              <w:t>standards( Minimum</w:t>
            </w:r>
            <w:proofErr w:type="gramEnd"/>
            <w:r w:rsidRPr="00F737AD">
              <w:rPr>
                <w:rFonts w:ascii="Arial" w:eastAsia="Arial" w:hAnsi="Arial"/>
                <w:b/>
                <w:i/>
                <w:sz w:val="18"/>
                <w:szCs w:val="18"/>
                <w:lang w:val="en-ZA"/>
              </w:rPr>
              <w:t xml:space="preserve"> High)</w:t>
            </w:r>
          </w:p>
        </w:tc>
      </w:tr>
      <w:tr w:rsidR="00D80416" w:rsidRPr="00514A81" w:rsidTr="00F737AD">
        <w:tc>
          <w:tcPr>
            <w:tcW w:w="2049"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Capacity building programmes on technical specifications/regulations, standards, and labelling.</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Technical support for manufacturers of distribution transformers</w:t>
            </w:r>
          </w:p>
        </w:tc>
        <w:tc>
          <w:tcPr>
            <w:tcW w:w="1471"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Number of/percentage of women representing various agencies who participate in training and consultative processes via this activity</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Number of women working in domestic plants that newly comply with EESL for distribution of transformers</w:t>
            </w:r>
          </w:p>
        </w:tc>
        <w:tc>
          <w:tcPr>
            <w:tcW w:w="1464"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At least 10 women representing at least three agencies.</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At least 200 women employees</w:t>
            </w:r>
          </w:p>
        </w:tc>
        <w:tc>
          <w:tcPr>
            <w:tcW w:w="1467"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No prior training provided or on-going</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No training before and no compliance by transformers with targeted performance levels.</w:t>
            </w:r>
          </w:p>
          <w:p w:rsidR="00514A81" w:rsidRPr="00F737AD" w:rsidRDefault="00514A81" w:rsidP="00F737AD">
            <w:pPr>
              <w:spacing w:after="0"/>
              <w:jc w:val="left"/>
              <w:rPr>
                <w:rFonts w:ascii="Arial" w:eastAsia="Arial" w:hAnsi="Arial"/>
                <w:sz w:val="16"/>
                <w:szCs w:val="16"/>
                <w:lang w:val="en-ZA"/>
              </w:rPr>
            </w:pPr>
          </w:p>
        </w:tc>
        <w:tc>
          <w:tcPr>
            <w:tcW w:w="1405"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 xml:space="preserve">Training to be provided in the first four years of the project </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Years 2-3</w:t>
            </w:r>
          </w:p>
        </w:tc>
        <w:tc>
          <w:tcPr>
            <w:tcW w:w="2204"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Responsible Project Manager and the Project Team for EESL and laboratory testing.</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Project Manager and team for EESL and laboratory testing, plus national and international consultants</w:t>
            </w:r>
          </w:p>
        </w:tc>
      </w:tr>
      <w:tr w:rsidR="00514A81" w:rsidRPr="00514A81" w:rsidTr="00F737AD">
        <w:trPr>
          <w:trHeight w:val="397"/>
        </w:trPr>
        <w:tc>
          <w:tcPr>
            <w:tcW w:w="10060" w:type="dxa"/>
            <w:gridSpan w:val="6"/>
            <w:tcBorders>
              <w:top w:val="single" w:sz="4" w:space="0" w:color="auto"/>
              <w:left w:val="single" w:sz="4" w:space="0" w:color="auto"/>
              <w:bottom w:val="single" w:sz="4" w:space="0" w:color="auto"/>
              <w:right w:val="single" w:sz="4" w:space="0" w:color="auto"/>
            </w:tcBorders>
            <w:shd w:val="clear" w:color="auto" w:fill="auto"/>
            <w:hideMark/>
          </w:tcPr>
          <w:p w:rsidR="00514A81" w:rsidRPr="00F737AD" w:rsidRDefault="00514A81" w:rsidP="00F737AD">
            <w:pPr>
              <w:spacing w:after="0"/>
              <w:jc w:val="left"/>
              <w:rPr>
                <w:rFonts w:ascii="Arial" w:eastAsia="Arial" w:hAnsi="Arial"/>
                <w:b/>
                <w:sz w:val="22"/>
                <w:szCs w:val="22"/>
                <w:lang w:val="en-ZA"/>
              </w:rPr>
            </w:pPr>
            <w:r w:rsidRPr="00F737AD">
              <w:rPr>
                <w:rFonts w:ascii="Arial" w:eastAsia="Arial" w:hAnsi="Arial"/>
                <w:b/>
                <w:i/>
                <w:sz w:val="18"/>
                <w:szCs w:val="18"/>
                <w:lang w:val="en-ZA"/>
              </w:rPr>
              <w:t>Consumers are empowered and recognize and consider energy performance in selection of appliances and equipment</w:t>
            </w:r>
          </w:p>
        </w:tc>
      </w:tr>
      <w:tr w:rsidR="00D80416" w:rsidRPr="00514A81" w:rsidTr="00F737AD">
        <w:tc>
          <w:tcPr>
            <w:tcW w:w="2049"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Market studies – in the form of surveys; questionnaires; focus groups etc.</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PR Campaigns- in the form of training; workshops; communication and other forms of awareness creation possible.</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tc>
        <w:tc>
          <w:tcPr>
            <w:tcW w:w="1471"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lastRenderedPageBreak/>
              <w:t xml:space="preserve">Number, timing and participation vol. by gender of completed surveys and </w:t>
            </w:r>
            <w:proofErr w:type="gramStart"/>
            <w:r w:rsidRPr="00F737AD">
              <w:rPr>
                <w:rFonts w:ascii="Arial" w:eastAsia="Arial" w:hAnsi="Arial"/>
                <w:sz w:val="16"/>
                <w:szCs w:val="16"/>
                <w:lang w:val="en-ZA"/>
              </w:rPr>
              <w:t>focus  groups</w:t>
            </w:r>
            <w:proofErr w:type="gramEnd"/>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Consumer awareness of energy efficiency, energy performance standards, and labels for refrigerators as reflected in share of affirmative survey responses and broken out by gender.</w:t>
            </w:r>
          </w:p>
        </w:tc>
        <w:tc>
          <w:tcPr>
            <w:tcW w:w="1464"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lastRenderedPageBreak/>
              <w:t xml:space="preserve">Completion of nationwide market surveys and focus groups by end of first, third and fifth project years, </w:t>
            </w:r>
            <w:r w:rsidRPr="00F737AD">
              <w:rPr>
                <w:rFonts w:ascii="Arial" w:eastAsia="Arial" w:hAnsi="Arial"/>
                <w:sz w:val="16"/>
                <w:szCs w:val="16"/>
                <w:lang w:val="en-ZA"/>
              </w:rPr>
              <w:lastRenderedPageBreak/>
              <w:t>with 45-55 per cent participation by women respondents</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 xml:space="preserve">At least 15 % increase by midterm and 30 % increase by end of project in affirmative response rates from consumers (both women and men) that they read, understand and consider EE information (and </w:t>
            </w:r>
            <w:proofErr w:type="gramStart"/>
            <w:r w:rsidRPr="00F737AD">
              <w:rPr>
                <w:rFonts w:ascii="Arial" w:eastAsia="Arial" w:hAnsi="Arial"/>
                <w:sz w:val="16"/>
                <w:szCs w:val="16"/>
                <w:lang w:val="en-ZA"/>
              </w:rPr>
              <w:t>specifically ,</w:t>
            </w:r>
            <w:proofErr w:type="gramEnd"/>
            <w:r w:rsidRPr="00F737AD">
              <w:rPr>
                <w:rFonts w:ascii="Arial" w:eastAsia="Arial" w:hAnsi="Arial"/>
                <w:sz w:val="16"/>
                <w:szCs w:val="16"/>
                <w:lang w:val="en-ZA"/>
              </w:rPr>
              <w:t xml:space="preserve"> official labels ) when purchasing refrigerators.</w:t>
            </w:r>
          </w:p>
        </w:tc>
        <w:tc>
          <w:tcPr>
            <w:tcW w:w="1467"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lastRenderedPageBreak/>
              <w:t>No previous or on-going market studies</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No prior energy performance standards; various labels applied inconsistently and minimally recognized by consumers. Quantitative baseline to be established in the first year of project</w:t>
            </w:r>
          </w:p>
        </w:tc>
        <w:tc>
          <w:tcPr>
            <w:tcW w:w="1405"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lastRenderedPageBreak/>
              <w:t>Years 1,3,</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Years 2-4</w:t>
            </w:r>
          </w:p>
        </w:tc>
        <w:tc>
          <w:tcPr>
            <w:tcW w:w="2204" w:type="dxa"/>
            <w:tcBorders>
              <w:top w:val="single" w:sz="4" w:space="0" w:color="auto"/>
              <w:left w:val="single" w:sz="4" w:space="0" w:color="auto"/>
              <w:bottom w:val="single" w:sz="4" w:space="0" w:color="auto"/>
              <w:right w:val="single" w:sz="4" w:space="0" w:color="auto"/>
            </w:tcBorders>
            <w:shd w:val="clear" w:color="auto" w:fill="auto"/>
          </w:tcPr>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lastRenderedPageBreak/>
              <w:t>Project Manager and Team assigned market research and consumer outreach programme</w:t>
            </w: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p>
          <w:p w:rsidR="00514A81" w:rsidRPr="00F737AD" w:rsidRDefault="00514A81" w:rsidP="00F737AD">
            <w:pPr>
              <w:spacing w:after="0"/>
              <w:jc w:val="left"/>
              <w:rPr>
                <w:rFonts w:ascii="Arial" w:eastAsia="Arial" w:hAnsi="Arial"/>
                <w:sz w:val="16"/>
                <w:szCs w:val="16"/>
                <w:lang w:val="en-ZA"/>
              </w:rPr>
            </w:pPr>
            <w:r w:rsidRPr="00F737AD">
              <w:rPr>
                <w:rFonts w:ascii="Arial" w:eastAsia="Arial" w:hAnsi="Arial"/>
                <w:sz w:val="16"/>
                <w:szCs w:val="16"/>
                <w:lang w:val="en-ZA"/>
              </w:rPr>
              <w:t>Project Manager and team for market research and consumer outreach</w:t>
            </w:r>
          </w:p>
        </w:tc>
      </w:tr>
    </w:tbl>
    <w:p w:rsidR="00514A81" w:rsidRPr="006A68A3" w:rsidRDefault="00514A81" w:rsidP="00285302">
      <w:pPr>
        <w:spacing w:after="0"/>
        <w:rPr>
          <w:rFonts w:ascii="Arial" w:hAnsi="Arial" w:cs="Arial"/>
          <w:color w:val="2E74B5"/>
          <w:sz w:val="18"/>
        </w:rPr>
      </w:pPr>
    </w:p>
    <w:p w:rsidR="006B2CA0" w:rsidRPr="0057545E" w:rsidRDefault="006B2CA0" w:rsidP="00285302">
      <w:pPr>
        <w:spacing w:after="0"/>
        <w:rPr>
          <w:lang w:val="en-GB" w:eastAsia="en-GB"/>
        </w:rPr>
      </w:pPr>
    </w:p>
    <w:p w:rsidR="00F3258D" w:rsidRPr="00353542" w:rsidRDefault="00F3258D" w:rsidP="00CC6E56">
      <w:pPr>
        <w:tabs>
          <w:tab w:val="left" w:pos="851"/>
        </w:tabs>
        <w:spacing w:after="0"/>
        <w:rPr>
          <w:rFonts w:ascii="Arial" w:hAnsi="Arial" w:cs="Arial"/>
          <w:b/>
          <w:color w:val="2E74B5"/>
          <w:sz w:val="18"/>
          <w:lang w:val="en-GB"/>
        </w:rPr>
      </w:pPr>
      <w:bookmarkStart w:id="200" w:name="_Ref497916290"/>
      <w:bookmarkStart w:id="201" w:name="_Ref497916279"/>
    </w:p>
    <w:p w:rsidR="00123E4F" w:rsidRPr="00353542" w:rsidRDefault="00CC6E56" w:rsidP="00CC6E56">
      <w:pPr>
        <w:tabs>
          <w:tab w:val="left" w:pos="851"/>
        </w:tabs>
        <w:spacing w:after="0"/>
        <w:rPr>
          <w:rFonts w:ascii="Arial" w:hAnsi="Arial" w:cs="Arial"/>
          <w:b/>
          <w:color w:val="2E74B5"/>
          <w:sz w:val="18"/>
          <w:lang w:val="en-GB"/>
        </w:rPr>
      </w:pPr>
      <w:bookmarkStart w:id="202" w:name="_Toc179841"/>
      <w:r w:rsidRPr="003B7D62">
        <w:rPr>
          <w:rFonts w:ascii="Arial" w:hAnsi="Arial" w:cs="Arial"/>
          <w:b/>
          <w:color w:val="2E74B5"/>
          <w:sz w:val="18"/>
          <w:lang w:val="en-GB"/>
        </w:rPr>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211331" w:rsidRPr="00353542">
        <w:rPr>
          <w:rFonts w:ascii="Arial" w:hAnsi="Arial" w:cs="Arial"/>
          <w:b/>
          <w:noProof/>
          <w:color w:val="2E74B5"/>
          <w:sz w:val="18"/>
          <w:lang w:val="en-GB"/>
        </w:rPr>
        <w:t>17</w:t>
      </w:r>
      <w:r w:rsidRPr="00353542">
        <w:rPr>
          <w:rFonts w:ascii="Arial" w:hAnsi="Arial" w:cs="Arial"/>
          <w:b/>
          <w:color w:val="2E74B5"/>
          <w:sz w:val="18"/>
          <w:lang w:val="en-GB"/>
        </w:rPr>
        <w:fldChar w:fldCharType="end"/>
      </w:r>
      <w:bookmarkEnd w:id="200"/>
      <w:r w:rsidRPr="0057545E">
        <w:rPr>
          <w:rFonts w:ascii="Arial" w:hAnsi="Arial" w:cs="Arial"/>
          <w:b/>
          <w:color w:val="2E74B5"/>
          <w:sz w:val="18"/>
          <w:lang w:val="en-GB"/>
        </w:rPr>
        <w:tab/>
        <w:t>Gender-aspects in Theory of Change</w:t>
      </w:r>
      <w:bookmarkEnd w:id="201"/>
      <w:bookmarkEnd w:id="202"/>
    </w:p>
    <w:p w:rsidR="00CC6E56" w:rsidRPr="003B7D62" w:rsidRDefault="00CC6E56" w:rsidP="00CC6E56">
      <w:pPr>
        <w:tabs>
          <w:tab w:val="left" w:pos="851"/>
        </w:tabs>
        <w:spacing w:after="0"/>
        <w:rPr>
          <w:rFonts w:ascii="Arial" w:hAnsi="Arial" w:cs="Arial"/>
          <w:b/>
          <w:color w:val="2E74B5"/>
          <w:sz w:val="18"/>
          <w:lang w:val="en-GB"/>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03"/>
        <w:gridCol w:w="1663"/>
        <w:gridCol w:w="1660"/>
        <w:gridCol w:w="1929"/>
        <w:gridCol w:w="1798"/>
        <w:gridCol w:w="1685"/>
      </w:tblGrid>
      <w:tr w:rsidR="00CC6E56" w:rsidRPr="0057545E" w:rsidTr="00901ED0">
        <w:tc>
          <w:tcPr>
            <w:tcW w:w="1418" w:type="dxa"/>
            <w:shd w:val="clear" w:color="auto" w:fill="auto"/>
          </w:tcPr>
          <w:p w:rsidR="00CC6E56" w:rsidRPr="00666B27" w:rsidRDefault="00CC6E56" w:rsidP="00901ED0">
            <w:pPr>
              <w:spacing w:after="0"/>
              <w:jc w:val="left"/>
              <w:rPr>
                <w:rFonts w:eastAsia="Calibri"/>
                <w:b/>
                <w:sz w:val="22"/>
                <w:szCs w:val="22"/>
                <w:lang w:val="en-GB"/>
              </w:rPr>
            </w:pPr>
            <w:r w:rsidRPr="004722F0">
              <w:rPr>
                <w:rFonts w:eastAsia="Calibri"/>
                <w:b/>
                <w:sz w:val="22"/>
                <w:szCs w:val="22"/>
                <w:lang w:val="en-GB"/>
              </w:rPr>
              <w:t>Goal</w:t>
            </w:r>
          </w:p>
        </w:tc>
        <w:tc>
          <w:tcPr>
            <w:tcW w:w="1701" w:type="dxa"/>
            <w:shd w:val="clear" w:color="auto" w:fill="auto"/>
          </w:tcPr>
          <w:p w:rsidR="00CC6E56" w:rsidRPr="00666B27" w:rsidRDefault="00CC6E56" w:rsidP="00901ED0">
            <w:pPr>
              <w:spacing w:after="0"/>
              <w:jc w:val="left"/>
              <w:rPr>
                <w:rFonts w:eastAsia="Calibri"/>
                <w:b/>
                <w:sz w:val="22"/>
                <w:szCs w:val="22"/>
                <w:lang w:val="en-GB"/>
              </w:rPr>
            </w:pPr>
            <w:r w:rsidRPr="00666B27">
              <w:rPr>
                <w:rFonts w:eastAsia="Calibri"/>
                <w:b/>
                <w:sz w:val="22"/>
                <w:szCs w:val="22"/>
                <w:lang w:val="en-GB"/>
              </w:rPr>
              <w:t>Outcomes</w:t>
            </w:r>
          </w:p>
        </w:tc>
        <w:tc>
          <w:tcPr>
            <w:tcW w:w="1701" w:type="dxa"/>
            <w:shd w:val="clear" w:color="auto" w:fill="auto"/>
          </w:tcPr>
          <w:p w:rsidR="00CC6E56" w:rsidRPr="00666B27" w:rsidRDefault="00CC6E56" w:rsidP="00901ED0">
            <w:pPr>
              <w:spacing w:after="0"/>
              <w:jc w:val="left"/>
              <w:rPr>
                <w:rFonts w:eastAsia="Calibri"/>
                <w:b/>
                <w:sz w:val="22"/>
                <w:szCs w:val="22"/>
                <w:lang w:val="en-GB"/>
              </w:rPr>
            </w:pPr>
            <w:r w:rsidRPr="00666B27">
              <w:rPr>
                <w:rFonts w:eastAsia="Calibri"/>
                <w:b/>
                <w:sz w:val="22"/>
                <w:szCs w:val="22"/>
                <w:lang w:val="en-GB"/>
              </w:rPr>
              <w:t>Outcome TOC</w:t>
            </w:r>
          </w:p>
        </w:tc>
        <w:tc>
          <w:tcPr>
            <w:tcW w:w="1985" w:type="dxa"/>
            <w:shd w:val="clear" w:color="auto" w:fill="auto"/>
          </w:tcPr>
          <w:p w:rsidR="00CC6E56" w:rsidRPr="00666B27" w:rsidRDefault="00CC6E56" w:rsidP="00901ED0">
            <w:pPr>
              <w:spacing w:after="0"/>
              <w:jc w:val="left"/>
              <w:rPr>
                <w:rFonts w:eastAsia="Calibri"/>
                <w:b/>
                <w:sz w:val="22"/>
                <w:szCs w:val="22"/>
                <w:lang w:val="en-GB"/>
              </w:rPr>
            </w:pPr>
            <w:r w:rsidRPr="00666B27">
              <w:rPr>
                <w:rFonts w:eastAsia="Calibri"/>
                <w:b/>
                <w:sz w:val="22"/>
                <w:szCs w:val="22"/>
                <w:lang w:val="en-GB"/>
              </w:rPr>
              <w:t>Outputs</w:t>
            </w:r>
          </w:p>
        </w:tc>
        <w:tc>
          <w:tcPr>
            <w:tcW w:w="1831" w:type="dxa"/>
            <w:shd w:val="clear" w:color="auto" w:fill="auto"/>
          </w:tcPr>
          <w:p w:rsidR="00CC6E56" w:rsidRPr="00666B27" w:rsidRDefault="00CC6E56" w:rsidP="00901ED0">
            <w:pPr>
              <w:spacing w:after="0"/>
              <w:jc w:val="left"/>
              <w:rPr>
                <w:rFonts w:eastAsia="Calibri"/>
                <w:b/>
                <w:sz w:val="22"/>
                <w:szCs w:val="22"/>
                <w:lang w:val="en-GB"/>
              </w:rPr>
            </w:pPr>
            <w:r w:rsidRPr="00666B27">
              <w:rPr>
                <w:rFonts w:eastAsia="Calibri"/>
                <w:b/>
                <w:sz w:val="22"/>
                <w:szCs w:val="22"/>
                <w:lang w:val="en-GB"/>
              </w:rPr>
              <w:t>Key Assumptions</w:t>
            </w:r>
          </w:p>
        </w:tc>
        <w:tc>
          <w:tcPr>
            <w:tcW w:w="1728" w:type="dxa"/>
            <w:shd w:val="clear" w:color="auto" w:fill="auto"/>
          </w:tcPr>
          <w:p w:rsidR="00CC6E56" w:rsidRPr="00666B27" w:rsidRDefault="00CC6E56" w:rsidP="00901ED0">
            <w:pPr>
              <w:spacing w:after="0"/>
              <w:jc w:val="left"/>
              <w:rPr>
                <w:rFonts w:eastAsia="Calibri"/>
                <w:b/>
                <w:sz w:val="22"/>
                <w:szCs w:val="22"/>
                <w:lang w:val="en-GB"/>
              </w:rPr>
            </w:pPr>
            <w:r w:rsidRPr="00666B27">
              <w:rPr>
                <w:rFonts w:eastAsia="Calibri"/>
                <w:b/>
                <w:sz w:val="22"/>
                <w:szCs w:val="22"/>
                <w:lang w:val="en-GB"/>
              </w:rPr>
              <w:t>Risks and Barriers</w:t>
            </w:r>
          </w:p>
        </w:tc>
      </w:tr>
      <w:tr w:rsidR="00CC6E56" w:rsidRPr="0057545E" w:rsidTr="00901ED0">
        <w:tc>
          <w:tcPr>
            <w:tcW w:w="1418" w:type="dxa"/>
            <w:shd w:val="clear" w:color="auto" w:fill="auto"/>
          </w:tcPr>
          <w:p w:rsidR="00CC6E56" w:rsidRPr="003B7D62" w:rsidRDefault="00CC6E56" w:rsidP="00901ED0">
            <w:pPr>
              <w:spacing w:after="0"/>
              <w:jc w:val="left"/>
              <w:rPr>
                <w:rFonts w:eastAsia="Calibri"/>
                <w:b/>
                <w:sz w:val="16"/>
                <w:szCs w:val="16"/>
                <w:lang w:val="en-GB"/>
              </w:rPr>
            </w:pPr>
            <w:r w:rsidRPr="0057545E">
              <w:rPr>
                <w:rFonts w:eastAsia="Calibri"/>
                <w:b/>
                <w:sz w:val="16"/>
                <w:szCs w:val="16"/>
                <w:lang w:val="en-GB"/>
              </w:rPr>
              <w:t xml:space="preserve">Promote gender inclusive energy planning and policies and </w:t>
            </w:r>
            <w:r w:rsidRPr="00353542">
              <w:rPr>
                <w:rFonts w:eastAsia="Calibri"/>
                <w:b/>
                <w:sz w:val="16"/>
                <w:szCs w:val="16"/>
                <w:lang w:val="en-GB"/>
              </w:rPr>
              <w:t>designs</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4722F0">
              <w:rPr>
                <w:rFonts w:eastAsia="Calibri"/>
                <w:sz w:val="16"/>
                <w:szCs w:val="16"/>
                <w:lang w:val="en-GB"/>
              </w:rPr>
              <w:t>Energy planning and policy development is gender inclusive, participatory and responsive</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If women can engage in energy planning, and policies are responsive to the needs of women and benefit them because evidence has shown that those actors with  </w:t>
            </w:r>
          </w:p>
        </w:tc>
        <w:tc>
          <w:tcPr>
            <w:tcW w:w="1985"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Through effective engagement and decision making, women’s capacity to participate in energy planning and policy development is developed.</w:t>
            </w:r>
          </w:p>
          <w:p w:rsidR="00CC6E56" w:rsidRPr="00666B27" w:rsidRDefault="00CC6E56" w:rsidP="00901ED0">
            <w:pPr>
              <w:spacing w:after="0"/>
              <w:jc w:val="left"/>
              <w:rPr>
                <w:rFonts w:eastAsia="Calibri"/>
                <w:sz w:val="16"/>
                <w:szCs w:val="16"/>
                <w:lang w:val="en-GB"/>
              </w:rPr>
            </w:pPr>
          </w:p>
          <w:p w:rsidR="00CC6E56" w:rsidRPr="00666B27" w:rsidRDefault="00CC6E56" w:rsidP="00901ED0">
            <w:pPr>
              <w:spacing w:after="0"/>
              <w:jc w:val="left"/>
              <w:rPr>
                <w:rFonts w:eastAsia="Calibri"/>
                <w:sz w:val="16"/>
                <w:szCs w:val="16"/>
                <w:lang w:val="en-GB"/>
              </w:rPr>
            </w:pPr>
            <w:r w:rsidRPr="00666B27">
              <w:rPr>
                <w:rFonts w:eastAsia="Calibri"/>
                <w:noProof/>
                <w:sz w:val="16"/>
                <w:szCs w:val="16"/>
                <w:lang w:val="en-GB"/>
              </w:rPr>
              <w:t>Gender specific</w:t>
            </w:r>
            <w:r w:rsidRPr="00666B27">
              <w:rPr>
                <w:rFonts w:eastAsia="Calibri"/>
                <w:sz w:val="16"/>
                <w:szCs w:val="16"/>
                <w:lang w:val="en-GB"/>
              </w:rPr>
              <w:t xml:space="preserve"> needs and underlying barriers are re-organized and re-assessed.</w:t>
            </w:r>
          </w:p>
          <w:p w:rsidR="00CC6E56" w:rsidRPr="00666B27" w:rsidRDefault="00CC6E56" w:rsidP="00901ED0">
            <w:pPr>
              <w:spacing w:after="0"/>
              <w:jc w:val="left"/>
              <w:rPr>
                <w:rFonts w:eastAsia="Calibri"/>
                <w:sz w:val="16"/>
                <w:szCs w:val="16"/>
                <w:lang w:val="en-GB"/>
              </w:rPr>
            </w:pP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Targeted energy plans and policies drafted to support women’s access and economic empowerment in the SE sector.</w:t>
            </w:r>
          </w:p>
        </w:tc>
        <w:tc>
          <w:tcPr>
            <w:tcW w:w="183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Women place a strong premium on clean energy access. However, they do not have the same influence over investment decisions.</w:t>
            </w:r>
          </w:p>
        </w:tc>
        <w:tc>
          <w:tcPr>
            <w:tcW w:w="1728"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Women’s participation is not translated into </w:t>
            </w:r>
            <w:r w:rsidRPr="00666B27">
              <w:rPr>
                <w:rFonts w:eastAsia="Calibri"/>
                <w:noProof/>
                <w:sz w:val="16"/>
                <w:szCs w:val="16"/>
                <w:lang w:val="en-GB"/>
              </w:rPr>
              <w:t>gender responsive</w:t>
            </w:r>
            <w:r w:rsidRPr="00666B27">
              <w:rPr>
                <w:rFonts w:eastAsia="Calibri"/>
                <w:sz w:val="16"/>
                <w:szCs w:val="16"/>
                <w:lang w:val="en-GB"/>
              </w:rPr>
              <w:t xml:space="preserve"> policies; </w:t>
            </w:r>
            <w:r w:rsidRPr="00666B27">
              <w:rPr>
                <w:rFonts w:eastAsia="Calibri"/>
                <w:noProof/>
                <w:sz w:val="16"/>
                <w:szCs w:val="16"/>
                <w:lang w:val="en-GB"/>
              </w:rPr>
              <w:t>gender responsive</w:t>
            </w:r>
            <w:r w:rsidRPr="00666B27">
              <w:rPr>
                <w:rFonts w:eastAsia="Calibri"/>
                <w:sz w:val="16"/>
                <w:szCs w:val="16"/>
                <w:lang w:val="en-GB"/>
              </w:rPr>
              <w:t xml:space="preserve"> policies are not translated into practice; -strong interest groups </w:t>
            </w:r>
            <w:r w:rsidRPr="00666B27">
              <w:rPr>
                <w:rFonts w:eastAsia="Calibri"/>
                <w:noProof/>
                <w:sz w:val="16"/>
                <w:szCs w:val="16"/>
                <w:lang w:val="en-GB"/>
              </w:rPr>
              <w:t>favouring</w:t>
            </w:r>
            <w:r w:rsidRPr="00666B27">
              <w:rPr>
                <w:rFonts w:eastAsia="Calibri"/>
                <w:sz w:val="16"/>
                <w:szCs w:val="16"/>
                <w:lang w:val="en-GB"/>
              </w:rPr>
              <w:t xml:space="preserve"> fossil fuel assets win over those </w:t>
            </w:r>
            <w:r w:rsidRPr="00666B27">
              <w:rPr>
                <w:rFonts w:eastAsia="Calibri"/>
                <w:noProof/>
                <w:sz w:val="16"/>
                <w:szCs w:val="16"/>
                <w:lang w:val="en-GB"/>
              </w:rPr>
              <w:t>favouring</w:t>
            </w:r>
            <w:r w:rsidRPr="00666B27">
              <w:rPr>
                <w:rFonts w:eastAsia="Calibri"/>
                <w:sz w:val="16"/>
                <w:szCs w:val="16"/>
                <w:lang w:val="en-GB"/>
              </w:rPr>
              <w:t xml:space="preserve"> SE solutions.</w:t>
            </w:r>
          </w:p>
        </w:tc>
      </w:tr>
      <w:tr w:rsidR="00CC6E56" w:rsidRPr="0057545E" w:rsidTr="00901ED0">
        <w:trPr>
          <w:trHeight w:val="2724"/>
        </w:trPr>
        <w:tc>
          <w:tcPr>
            <w:tcW w:w="1418" w:type="dxa"/>
            <w:shd w:val="clear" w:color="auto" w:fill="auto"/>
          </w:tcPr>
          <w:p w:rsidR="00CC6E56" w:rsidRPr="00353542" w:rsidRDefault="00CC6E56" w:rsidP="00901ED0">
            <w:pPr>
              <w:spacing w:after="0"/>
              <w:jc w:val="left"/>
              <w:rPr>
                <w:rFonts w:eastAsia="Calibri"/>
                <w:b/>
                <w:sz w:val="16"/>
                <w:szCs w:val="16"/>
                <w:lang w:val="en-GB"/>
              </w:rPr>
            </w:pPr>
            <w:r w:rsidRPr="0057545E">
              <w:rPr>
                <w:rFonts w:eastAsia="Calibri"/>
                <w:b/>
                <w:sz w:val="16"/>
                <w:szCs w:val="16"/>
                <w:lang w:val="en-GB"/>
              </w:rPr>
              <w:t>Address skills shortage/ lack of information and social norms barriers that currently characterize the industry</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3B7D62">
              <w:rPr>
                <w:rFonts w:eastAsia="Calibri"/>
                <w:sz w:val="16"/>
                <w:szCs w:val="16"/>
                <w:lang w:val="en-GB"/>
              </w:rPr>
              <w:t>Skill, information and social norms barriers for women SE entrepreneurs are removed, as indi</w:t>
            </w:r>
            <w:r w:rsidRPr="004722F0">
              <w:rPr>
                <w:rFonts w:eastAsia="Calibri"/>
                <w:sz w:val="16"/>
                <w:szCs w:val="16"/>
                <w:lang w:val="en-GB"/>
              </w:rPr>
              <w:t xml:space="preserve">cated </w:t>
            </w:r>
            <w:r w:rsidRPr="00666B27">
              <w:rPr>
                <w:rFonts w:eastAsia="Calibri"/>
                <w:noProof/>
                <w:sz w:val="16"/>
                <w:szCs w:val="16"/>
                <w:lang w:val="en-GB"/>
              </w:rPr>
              <w:t>by:</w:t>
            </w:r>
            <w:r w:rsidRPr="00666B27">
              <w:rPr>
                <w:rFonts w:eastAsia="Calibri"/>
                <w:sz w:val="16"/>
                <w:szCs w:val="16"/>
                <w:lang w:val="en-GB"/>
              </w:rPr>
              <w:t xml:space="preserve"> % distribution of tertiary graduates by sex and field of study</w:t>
            </w:r>
          </w:p>
        </w:tc>
        <w:tc>
          <w:tcPr>
            <w:tcW w:w="1701" w:type="dxa"/>
            <w:shd w:val="clear" w:color="auto" w:fill="auto"/>
          </w:tcPr>
          <w:p w:rsidR="00CC6E56" w:rsidRPr="00666B27" w:rsidRDefault="00CC6E56" w:rsidP="00901ED0">
            <w:pPr>
              <w:spacing w:after="0"/>
              <w:jc w:val="left"/>
              <w:rPr>
                <w:rFonts w:eastAsia="Calibri"/>
                <w:sz w:val="22"/>
                <w:szCs w:val="22"/>
                <w:lang w:val="en-GB"/>
              </w:rPr>
            </w:pPr>
            <w:r w:rsidRPr="00666B27">
              <w:rPr>
                <w:rFonts w:eastAsia="Calibri"/>
                <w:sz w:val="16"/>
                <w:szCs w:val="16"/>
                <w:lang w:val="en-GB"/>
              </w:rPr>
              <w:t>Women have access to required skills and information and their engagement</w:t>
            </w:r>
            <w:r w:rsidRPr="00666B27">
              <w:rPr>
                <w:rFonts w:eastAsia="Calibri"/>
                <w:sz w:val="22"/>
                <w:szCs w:val="22"/>
                <w:lang w:val="en-GB"/>
              </w:rPr>
              <w:t xml:space="preserve"> </w:t>
            </w:r>
            <w:r w:rsidRPr="00666B27">
              <w:rPr>
                <w:rFonts w:eastAsia="Calibri"/>
                <w:sz w:val="16"/>
                <w:szCs w:val="16"/>
                <w:lang w:val="en-GB"/>
              </w:rPr>
              <w:t>in the SE sector is supported by enabling social norms and safe working places.</w:t>
            </w:r>
          </w:p>
        </w:tc>
        <w:tc>
          <w:tcPr>
            <w:tcW w:w="1985"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Access to technical education, training </w:t>
            </w:r>
            <w:r w:rsidRPr="00666B27">
              <w:rPr>
                <w:rFonts w:eastAsia="Calibri"/>
                <w:noProof/>
                <w:sz w:val="16"/>
                <w:szCs w:val="16"/>
                <w:lang w:val="en-GB"/>
              </w:rPr>
              <w:t>and</w:t>
            </w:r>
            <w:r w:rsidRPr="00666B27">
              <w:rPr>
                <w:rFonts w:eastAsia="Calibri"/>
                <w:sz w:val="16"/>
                <w:szCs w:val="16"/>
                <w:lang w:val="en-GB"/>
              </w:rPr>
              <w:t xml:space="preserve"> information for women in sustainable energy</w:t>
            </w:r>
            <w:r w:rsidRPr="00666B27">
              <w:rPr>
                <w:rFonts w:eastAsia="Calibri"/>
                <w:sz w:val="22"/>
                <w:szCs w:val="22"/>
                <w:lang w:val="en-GB"/>
              </w:rPr>
              <w:t xml:space="preserve"> </w:t>
            </w:r>
            <w:r w:rsidRPr="00666B27">
              <w:rPr>
                <w:rFonts w:eastAsia="Calibri"/>
                <w:sz w:val="16"/>
                <w:szCs w:val="16"/>
                <w:lang w:val="en-GB"/>
              </w:rPr>
              <w:t>is improved.</w:t>
            </w:r>
          </w:p>
          <w:p w:rsidR="00CC6E56" w:rsidRPr="00666B27" w:rsidRDefault="00CC6E56" w:rsidP="00901ED0">
            <w:pPr>
              <w:spacing w:after="0"/>
              <w:jc w:val="left"/>
              <w:rPr>
                <w:rFonts w:eastAsia="Calibri"/>
                <w:sz w:val="22"/>
                <w:szCs w:val="22"/>
                <w:lang w:val="en-GB"/>
              </w:rPr>
            </w:pP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Women’s entrepreneurial skills and knowledge is enhanced.</w:t>
            </w:r>
          </w:p>
          <w:p w:rsidR="00CC6E56" w:rsidRPr="00666B27" w:rsidRDefault="00CC6E56" w:rsidP="00901ED0">
            <w:pPr>
              <w:spacing w:after="0"/>
              <w:jc w:val="left"/>
              <w:rPr>
                <w:rFonts w:eastAsia="Calibri"/>
                <w:sz w:val="16"/>
                <w:szCs w:val="16"/>
                <w:lang w:val="en-GB"/>
              </w:rPr>
            </w:pP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Increased access to decent employment in SE especially for women.</w:t>
            </w:r>
          </w:p>
        </w:tc>
        <w:tc>
          <w:tcPr>
            <w:tcW w:w="183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Decentralized SE technologies are the most cost-effective solutions in a growing number of developing country contexts: -</w:t>
            </w:r>
            <w:r w:rsidRPr="00666B27">
              <w:rPr>
                <w:rFonts w:eastAsia="Calibri"/>
                <w:noProof/>
                <w:sz w:val="16"/>
                <w:szCs w:val="16"/>
                <w:lang w:val="en-GB"/>
              </w:rPr>
              <w:t>growth</w:t>
            </w:r>
            <w:r w:rsidRPr="00666B27">
              <w:rPr>
                <w:rFonts w:eastAsia="Calibri"/>
                <w:sz w:val="16"/>
                <w:szCs w:val="16"/>
                <w:lang w:val="en-GB"/>
              </w:rPr>
              <w:t xml:space="preserve"> of SE will create the much-needed employment opportunities in existing and new sectors; addressing as it were the skilled </w:t>
            </w:r>
            <w:r w:rsidRPr="00666B27">
              <w:rPr>
                <w:rFonts w:eastAsia="Calibri"/>
                <w:noProof/>
                <w:sz w:val="16"/>
                <w:szCs w:val="16"/>
                <w:lang w:val="en-GB"/>
              </w:rPr>
              <w:t>labour</w:t>
            </w:r>
            <w:r w:rsidRPr="00666B27">
              <w:rPr>
                <w:rFonts w:eastAsia="Calibri"/>
                <w:sz w:val="16"/>
                <w:szCs w:val="16"/>
                <w:lang w:val="en-GB"/>
              </w:rPr>
              <w:t xml:space="preserve"> shortage in the SE sector.</w:t>
            </w:r>
          </w:p>
        </w:tc>
        <w:tc>
          <w:tcPr>
            <w:tcW w:w="1728" w:type="dxa"/>
            <w:shd w:val="clear" w:color="auto" w:fill="auto"/>
          </w:tcPr>
          <w:p w:rsidR="00CC6E56" w:rsidRPr="00666B27" w:rsidRDefault="00CC6E56" w:rsidP="00901ED0">
            <w:pPr>
              <w:spacing w:after="0"/>
              <w:jc w:val="left"/>
              <w:rPr>
                <w:rFonts w:eastAsia="Calibri"/>
                <w:sz w:val="22"/>
                <w:szCs w:val="22"/>
                <w:lang w:val="en-GB"/>
              </w:rPr>
            </w:pPr>
            <w:r w:rsidRPr="00666B27">
              <w:rPr>
                <w:rFonts w:eastAsia="Calibri"/>
                <w:sz w:val="16"/>
                <w:szCs w:val="16"/>
                <w:lang w:val="en-GB"/>
              </w:rPr>
              <w:t>Investment in education does not necessarily translate into employment; high skill barriers in the energy service sector</w:t>
            </w:r>
            <w:r w:rsidRPr="00666B27">
              <w:rPr>
                <w:rFonts w:eastAsia="Calibri"/>
                <w:sz w:val="22"/>
                <w:szCs w:val="22"/>
                <w:lang w:val="en-GB"/>
              </w:rPr>
              <w:t xml:space="preserve">; </w:t>
            </w:r>
            <w:r w:rsidRPr="00666B27">
              <w:rPr>
                <w:rFonts w:eastAsia="Calibri"/>
                <w:sz w:val="16"/>
                <w:szCs w:val="16"/>
                <w:lang w:val="en-GB"/>
              </w:rPr>
              <w:t>social</w:t>
            </w:r>
            <w:r w:rsidRPr="00666B27">
              <w:rPr>
                <w:rFonts w:eastAsia="Calibri"/>
                <w:sz w:val="22"/>
                <w:szCs w:val="22"/>
                <w:lang w:val="en-GB"/>
              </w:rPr>
              <w:t xml:space="preserve"> </w:t>
            </w:r>
            <w:r w:rsidRPr="00666B27">
              <w:rPr>
                <w:rFonts w:eastAsia="Calibri"/>
                <w:sz w:val="16"/>
                <w:szCs w:val="16"/>
                <w:lang w:val="en-GB"/>
              </w:rPr>
              <w:t>protection and non-discriminatory policies are not translated into practice; weak education and justice systems.</w:t>
            </w:r>
          </w:p>
        </w:tc>
      </w:tr>
      <w:tr w:rsidR="00CC6E56" w:rsidRPr="0057545E" w:rsidTr="00901ED0">
        <w:tc>
          <w:tcPr>
            <w:tcW w:w="1418" w:type="dxa"/>
            <w:shd w:val="clear" w:color="auto" w:fill="auto"/>
          </w:tcPr>
          <w:p w:rsidR="00CC6E56" w:rsidRPr="004722F0" w:rsidRDefault="00CC6E56" w:rsidP="00901ED0">
            <w:pPr>
              <w:spacing w:after="0"/>
              <w:jc w:val="left"/>
              <w:rPr>
                <w:rFonts w:eastAsia="Calibri"/>
                <w:b/>
                <w:sz w:val="16"/>
                <w:szCs w:val="16"/>
                <w:lang w:val="en-GB"/>
              </w:rPr>
            </w:pPr>
            <w:r w:rsidRPr="0057545E">
              <w:rPr>
                <w:rFonts w:eastAsia="Calibri"/>
                <w:b/>
                <w:sz w:val="16"/>
                <w:szCs w:val="16"/>
                <w:lang w:val="en-GB"/>
              </w:rPr>
              <w:lastRenderedPageBreak/>
              <w:t xml:space="preserve">Promote </w:t>
            </w:r>
            <w:r w:rsidRPr="00353542">
              <w:rPr>
                <w:rFonts w:eastAsia="Calibri"/>
                <w:b/>
                <w:noProof/>
                <w:sz w:val="16"/>
                <w:szCs w:val="16"/>
                <w:lang w:val="en-GB"/>
              </w:rPr>
              <w:t>availability</w:t>
            </w:r>
            <w:r w:rsidRPr="003B7D62">
              <w:rPr>
                <w:rFonts w:eastAsia="Calibri"/>
                <w:b/>
                <w:sz w:val="16"/>
                <w:szCs w:val="16"/>
                <w:lang w:val="en-GB"/>
              </w:rPr>
              <w:t xml:space="preserve"> of finance for women entrepreneurs, WOBs and other vulnerable groups.</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Financial intermediation services for WOBs are strengthened as observed from: </w:t>
            </w: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of firms identifying access to finance as a major constraint.</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Women have access to affordable long-term finance and women entrepreneurs will be able to invest in the SE sector with barriers to accessing finance having been removed.</w:t>
            </w:r>
          </w:p>
        </w:tc>
        <w:tc>
          <w:tcPr>
            <w:tcW w:w="1985"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22"/>
                <w:szCs w:val="22"/>
                <w:lang w:val="en-GB"/>
              </w:rPr>
              <w:t xml:space="preserve"> </w:t>
            </w:r>
            <w:r w:rsidRPr="00666B27">
              <w:rPr>
                <w:rFonts w:eastAsia="Calibri"/>
                <w:sz w:val="16"/>
                <w:szCs w:val="16"/>
                <w:lang w:val="en-GB"/>
              </w:rPr>
              <w:t>Explore traditional and innovative options to strengthen financial intermediation services for women entrepreneurs.</w:t>
            </w:r>
          </w:p>
          <w:p w:rsidR="00CC6E56" w:rsidRPr="00666B27" w:rsidRDefault="00CC6E56" w:rsidP="00901ED0">
            <w:pPr>
              <w:spacing w:after="0"/>
              <w:jc w:val="left"/>
              <w:rPr>
                <w:rFonts w:eastAsia="Calibri"/>
                <w:sz w:val="16"/>
                <w:szCs w:val="16"/>
                <w:lang w:val="en-GB"/>
              </w:rPr>
            </w:pP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Capacity development of local commercial banks and MFIs.</w:t>
            </w:r>
          </w:p>
          <w:p w:rsidR="00CC6E56" w:rsidRPr="00666B27" w:rsidRDefault="00CC6E56" w:rsidP="00901ED0">
            <w:pPr>
              <w:spacing w:after="0"/>
              <w:jc w:val="left"/>
              <w:rPr>
                <w:rFonts w:eastAsia="Calibri"/>
                <w:sz w:val="16"/>
                <w:szCs w:val="16"/>
                <w:lang w:val="en-GB"/>
              </w:rPr>
            </w:pPr>
          </w:p>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Innovative financial solutions to meet the unique requirements of women SE entrepreneurs designed. </w:t>
            </w:r>
          </w:p>
        </w:tc>
        <w:tc>
          <w:tcPr>
            <w:tcW w:w="183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Women have lower levels of collateral due to discriminatory laws, which reduces their </w:t>
            </w:r>
            <w:r w:rsidRPr="00666B27">
              <w:rPr>
                <w:rFonts w:eastAsia="Calibri"/>
                <w:noProof/>
                <w:sz w:val="16"/>
                <w:szCs w:val="16"/>
                <w:lang w:val="en-GB"/>
              </w:rPr>
              <w:t>credit worthiness</w:t>
            </w:r>
            <w:r w:rsidRPr="00666B27">
              <w:rPr>
                <w:rFonts w:eastAsia="Calibri"/>
                <w:sz w:val="16"/>
                <w:szCs w:val="16"/>
                <w:lang w:val="en-GB"/>
              </w:rPr>
              <w:t xml:space="preserve"> and ability to secure long term funding, affordable finance etc. Women are more likely to be affected by </w:t>
            </w:r>
            <w:r w:rsidRPr="00666B27">
              <w:rPr>
                <w:rFonts w:eastAsia="Calibri"/>
                <w:noProof/>
                <w:sz w:val="16"/>
                <w:szCs w:val="16"/>
                <w:lang w:val="en-GB"/>
              </w:rPr>
              <w:t>under-developed</w:t>
            </w:r>
            <w:r w:rsidRPr="00666B27">
              <w:rPr>
                <w:rFonts w:eastAsia="Calibri"/>
                <w:sz w:val="16"/>
                <w:szCs w:val="16"/>
                <w:lang w:val="en-GB"/>
              </w:rPr>
              <w:t xml:space="preserve"> financial sector, particularly the lack of rural bank branches.</w:t>
            </w:r>
          </w:p>
        </w:tc>
        <w:tc>
          <w:tcPr>
            <w:tcW w:w="1728"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 High financing barriers in the SE sector; - required financing is not available; - discriminatory social norms regarding investor bias towards women entrepreneurs cannot be shifted in the short term.</w:t>
            </w:r>
          </w:p>
        </w:tc>
      </w:tr>
      <w:tr w:rsidR="00CC6E56" w:rsidRPr="0057545E" w:rsidTr="00901ED0">
        <w:tc>
          <w:tcPr>
            <w:tcW w:w="1418" w:type="dxa"/>
            <w:shd w:val="clear" w:color="auto" w:fill="auto"/>
          </w:tcPr>
          <w:p w:rsidR="00CC6E56" w:rsidRPr="004722F0" w:rsidRDefault="00CC6E56" w:rsidP="00901ED0">
            <w:pPr>
              <w:spacing w:after="0"/>
              <w:jc w:val="left"/>
              <w:rPr>
                <w:rFonts w:eastAsia="Calibri"/>
                <w:b/>
                <w:sz w:val="16"/>
                <w:szCs w:val="16"/>
                <w:lang w:val="en-GB"/>
              </w:rPr>
            </w:pPr>
            <w:r w:rsidRPr="0057545E">
              <w:rPr>
                <w:rFonts w:eastAsia="Calibri"/>
                <w:b/>
                <w:sz w:val="16"/>
                <w:szCs w:val="16"/>
                <w:lang w:val="en-GB"/>
              </w:rPr>
              <w:t>Promote women’s produ</w:t>
            </w:r>
            <w:r w:rsidRPr="00353542">
              <w:rPr>
                <w:rFonts w:eastAsia="Calibri"/>
                <w:b/>
                <w:sz w:val="16"/>
                <w:szCs w:val="16"/>
                <w:lang w:val="en-GB"/>
              </w:rPr>
              <w:t xml:space="preserve">ctive use of </w:t>
            </w:r>
            <w:r w:rsidRPr="003B7D62">
              <w:rPr>
                <w:rFonts w:eastAsia="Calibri"/>
                <w:b/>
                <w:noProof/>
                <w:sz w:val="16"/>
                <w:szCs w:val="16"/>
                <w:lang w:val="en-GB"/>
              </w:rPr>
              <w:t>climate friendly</w:t>
            </w:r>
            <w:r w:rsidRPr="003B7D62">
              <w:rPr>
                <w:rFonts w:eastAsia="Calibri"/>
                <w:b/>
                <w:sz w:val="16"/>
                <w:szCs w:val="16"/>
                <w:lang w:val="en-GB"/>
              </w:rPr>
              <w:t xml:space="preserve"> gadgets and reduce domestic and unpaid work.</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Women’s productive use of SE is </w:t>
            </w:r>
            <w:proofErr w:type="gramStart"/>
            <w:r w:rsidRPr="00666B27">
              <w:rPr>
                <w:rFonts w:eastAsia="Calibri"/>
                <w:sz w:val="16"/>
                <w:szCs w:val="16"/>
                <w:lang w:val="en-GB"/>
              </w:rPr>
              <w:t>promoted</w:t>
            </w:r>
            <w:proofErr w:type="gramEnd"/>
            <w:r w:rsidRPr="00666B27">
              <w:rPr>
                <w:rFonts w:eastAsia="Calibri"/>
                <w:sz w:val="16"/>
                <w:szCs w:val="16"/>
                <w:lang w:val="en-GB"/>
              </w:rPr>
              <w:t xml:space="preserve"> and time dedicated to unpaid care and domestic work is reduced. </w:t>
            </w:r>
          </w:p>
        </w:tc>
        <w:tc>
          <w:tcPr>
            <w:tcW w:w="170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Women have access to reliable and affordable energy services for domestic and productive uses as well as for public services. </w:t>
            </w:r>
          </w:p>
        </w:tc>
        <w:tc>
          <w:tcPr>
            <w:tcW w:w="1985"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Productive use of reliable and affordable SE in the </w:t>
            </w:r>
            <w:r w:rsidRPr="00666B27">
              <w:rPr>
                <w:rFonts w:eastAsia="Calibri"/>
                <w:noProof/>
                <w:sz w:val="16"/>
                <w:szCs w:val="16"/>
                <w:lang w:val="en-GB"/>
              </w:rPr>
              <w:t>micro service</w:t>
            </w:r>
            <w:r w:rsidRPr="00666B27">
              <w:rPr>
                <w:rFonts w:eastAsia="Calibri"/>
                <w:sz w:val="16"/>
                <w:szCs w:val="16"/>
                <w:lang w:val="en-GB"/>
              </w:rPr>
              <w:t xml:space="preserve"> sector for women is promoted. </w:t>
            </w:r>
          </w:p>
        </w:tc>
        <w:tc>
          <w:tcPr>
            <w:tcW w:w="1831"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Productive use of efficient energy gadgets will be promoted to increase </w:t>
            </w:r>
            <w:r w:rsidRPr="00666B27">
              <w:rPr>
                <w:rFonts w:eastAsia="Calibri"/>
                <w:noProof/>
                <w:sz w:val="16"/>
                <w:szCs w:val="16"/>
                <w:lang w:val="en-GB"/>
              </w:rPr>
              <w:t>income generating</w:t>
            </w:r>
            <w:r w:rsidRPr="00666B27">
              <w:rPr>
                <w:rFonts w:eastAsia="Calibri"/>
                <w:sz w:val="16"/>
                <w:szCs w:val="16"/>
                <w:lang w:val="en-GB"/>
              </w:rPr>
              <w:t xml:space="preserve"> opportunities &amp; end users’ capacity to pay for increased energy consumption services over time.</w:t>
            </w:r>
          </w:p>
        </w:tc>
        <w:tc>
          <w:tcPr>
            <w:tcW w:w="1728" w:type="dxa"/>
            <w:shd w:val="clear" w:color="auto" w:fill="auto"/>
          </w:tcPr>
          <w:p w:rsidR="00CC6E56" w:rsidRPr="00666B27" w:rsidRDefault="00CC6E56" w:rsidP="00901ED0">
            <w:pPr>
              <w:spacing w:after="0"/>
              <w:jc w:val="left"/>
              <w:rPr>
                <w:rFonts w:eastAsia="Calibri"/>
                <w:sz w:val="16"/>
                <w:szCs w:val="16"/>
                <w:lang w:val="en-GB"/>
              </w:rPr>
            </w:pPr>
            <w:r w:rsidRPr="00666B27">
              <w:rPr>
                <w:rFonts w:eastAsia="Calibri"/>
                <w:sz w:val="16"/>
                <w:szCs w:val="16"/>
                <w:lang w:val="en-GB"/>
              </w:rPr>
              <w:t xml:space="preserve">Women are not included in the design of end products which reduces the adoption rates by women; savings in time and money are not translated into higher disposable income for women due to lack of investment in other productive sectors, and </w:t>
            </w:r>
            <w:r w:rsidRPr="00666B27">
              <w:rPr>
                <w:rFonts w:eastAsia="Calibri"/>
                <w:noProof/>
                <w:sz w:val="16"/>
                <w:szCs w:val="16"/>
                <w:lang w:val="en-GB"/>
              </w:rPr>
              <w:t>income generating</w:t>
            </w:r>
            <w:r w:rsidRPr="00666B27">
              <w:rPr>
                <w:rFonts w:eastAsia="Calibri"/>
                <w:sz w:val="16"/>
                <w:szCs w:val="16"/>
                <w:lang w:val="en-GB"/>
              </w:rPr>
              <w:t xml:space="preserve"> activities.</w:t>
            </w:r>
          </w:p>
        </w:tc>
      </w:tr>
    </w:tbl>
    <w:p w:rsidR="00D521DF" w:rsidRPr="0057545E" w:rsidRDefault="00D521DF" w:rsidP="00F12C9B">
      <w:pPr>
        <w:spacing w:after="0"/>
        <w:rPr>
          <w:lang w:val="en-GB"/>
        </w:rPr>
      </w:pPr>
    </w:p>
    <w:p w:rsidR="00D521DF" w:rsidRPr="003B7D62" w:rsidRDefault="00D521DF">
      <w:pPr>
        <w:spacing w:after="0"/>
        <w:jc w:val="left"/>
        <w:rPr>
          <w:lang w:val="en-GB"/>
        </w:rPr>
      </w:pPr>
      <w:r w:rsidRPr="00353542">
        <w:rPr>
          <w:lang w:val="en-GB"/>
        </w:rPr>
        <w:br w:type="page"/>
      </w:r>
    </w:p>
    <w:p w:rsidR="00670A9D" w:rsidRPr="003B7D62" w:rsidRDefault="00670A9D" w:rsidP="00F12C9B">
      <w:pPr>
        <w:spacing w:after="0"/>
        <w:rPr>
          <w:lang w:val="en-GB"/>
        </w:rPr>
      </w:pPr>
    </w:p>
    <w:p w:rsidR="00CA2834" w:rsidRPr="00666B27" w:rsidRDefault="00E77C3B" w:rsidP="00AD7582">
      <w:pPr>
        <w:pStyle w:val="HeadingA"/>
        <w:spacing w:line="240" w:lineRule="auto"/>
        <w:ind w:left="1701" w:hanging="1701"/>
      </w:pPr>
      <w:bookmarkStart w:id="203" w:name="_Toc340782"/>
      <w:r w:rsidRPr="004722F0">
        <w:t>Report on b</w:t>
      </w:r>
      <w:r w:rsidR="009856B0" w:rsidRPr="00666B27">
        <w:t>aseline Conditions on Markets, Stakeholders, Policy and Regulations for LEDs and Distribution Transformers</w:t>
      </w:r>
      <w:bookmarkEnd w:id="203"/>
    </w:p>
    <w:p w:rsidR="009856B0" w:rsidRPr="00666B27" w:rsidRDefault="009856B0" w:rsidP="009856B0">
      <w:pPr>
        <w:rPr>
          <w:lang w:val="en-GB" w:eastAsia="en-GB"/>
        </w:rPr>
      </w:pPr>
    </w:p>
    <w:p w:rsidR="00297A17" w:rsidRPr="00666B27" w:rsidRDefault="00297A17" w:rsidP="00297A17">
      <w:pPr>
        <w:spacing w:after="0"/>
        <w:rPr>
          <w:lang w:val="en-GB" w:eastAsia="en-GB"/>
        </w:rPr>
      </w:pPr>
    </w:p>
    <w:p w:rsidR="00297A17" w:rsidRPr="00666B27" w:rsidRDefault="00B9752C" w:rsidP="00731F0C">
      <w:pPr>
        <w:pStyle w:val="HeadingA2"/>
        <w:numPr>
          <w:ilvl w:val="1"/>
          <w:numId w:val="33"/>
        </w:numPr>
      </w:pPr>
      <w:bookmarkStart w:id="204" w:name="_Toc340783"/>
      <w:r w:rsidRPr="00666B27">
        <w:t>Power sector and energy efficiency institutional-regulatory framework</w:t>
      </w:r>
      <w:bookmarkEnd w:id="204"/>
    </w:p>
    <w:p w:rsidR="00297A17" w:rsidRPr="00666B27" w:rsidRDefault="00297A17"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Electricity supply, demand</w:t>
      </w:r>
      <w:r w:rsidRPr="00666B27">
        <w:rPr>
          <w:lang w:val="en-GB" w:eastAsia="en-GB"/>
        </w:rPr>
        <w:t>,</w:t>
      </w:r>
      <w:r w:rsidRPr="00666B27">
        <w:rPr>
          <w:u w:val="single"/>
          <w:lang w:val="en-GB" w:eastAsia="en-GB"/>
        </w:rPr>
        <w:t xml:space="preserve"> and challenges</w:t>
      </w:r>
    </w:p>
    <w:p w:rsidR="00297A17" w:rsidRPr="00666B27" w:rsidRDefault="00297A17" w:rsidP="00297A17">
      <w:pPr>
        <w:spacing w:after="0"/>
        <w:rPr>
          <w:lang w:val="en-GB" w:eastAsia="en-GB"/>
        </w:rPr>
      </w:pPr>
    </w:p>
    <w:p w:rsidR="00297A17" w:rsidRPr="00353542" w:rsidRDefault="00297A17" w:rsidP="00E8708D">
      <w:pPr>
        <w:spacing w:after="0"/>
        <w:rPr>
          <w:lang w:val="en-GB" w:eastAsia="en-GB"/>
        </w:rPr>
      </w:pPr>
      <w:r w:rsidRPr="00666B27">
        <w:rPr>
          <w:lang w:val="en-GB" w:eastAsia="en-GB"/>
        </w:rPr>
        <w:t xml:space="preserve">Current electricity production in South Africa relies heavily on coal inputs with about 94% of South Africa’s electricity generation comes from coal and, therefore, has a very high greenhouse gas (GHG) emission factor. Around 77% of South Africa's energy needs are directly derived from coal and 92% of coal consumed on the African continent is mined in South Africa. </w:t>
      </w:r>
      <w:r w:rsidR="00F247E9" w:rsidRPr="00666B27">
        <w:rPr>
          <w:lang w:val="en-GB" w:eastAsia="en-GB"/>
        </w:rPr>
        <w:t>South Africa has</w:t>
      </w:r>
      <w:r w:rsidRPr="00666B27">
        <w:rPr>
          <w:lang w:val="en-GB" w:eastAsia="en-GB"/>
        </w:rPr>
        <w:t xml:space="preserve"> 1</w:t>
      </w:r>
      <w:r w:rsidR="004844F0" w:rsidRPr="00666B27">
        <w:rPr>
          <w:lang w:val="en-GB" w:eastAsia="en-GB"/>
        </w:rPr>
        <w:t>8</w:t>
      </w:r>
      <w:r w:rsidRPr="00666B27">
        <w:rPr>
          <w:lang w:val="en-GB" w:eastAsia="en-GB"/>
        </w:rPr>
        <w:t xml:space="preserve"> coal-fired power stations with an installed capacity of 40,</w:t>
      </w:r>
      <w:r w:rsidR="004844F0" w:rsidRPr="00666B27">
        <w:rPr>
          <w:lang w:val="en-GB" w:eastAsia="en-GB"/>
        </w:rPr>
        <w:t>8</w:t>
      </w:r>
      <w:r w:rsidR="00F247E9" w:rsidRPr="00666B27">
        <w:rPr>
          <w:lang w:val="en-GB" w:eastAsia="en-GB"/>
        </w:rPr>
        <w:t>36</w:t>
      </w:r>
      <w:r w:rsidRPr="00666B27">
        <w:rPr>
          <w:lang w:val="en-GB" w:eastAsia="en-GB"/>
        </w:rPr>
        <w:t xml:space="preserve"> MW, conventional hydroelectric power stations and hydro pumped storage schemes at </w:t>
      </w:r>
      <w:r w:rsidR="00064E3C" w:rsidRPr="00666B27">
        <w:rPr>
          <w:lang w:val="en-GB" w:eastAsia="en-GB"/>
        </w:rPr>
        <w:t>3,</w:t>
      </w:r>
      <w:r w:rsidR="00F247E9" w:rsidRPr="00666B27">
        <w:rPr>
          <w:lang w:val="en-GB" w:eastAsia="en-GB"/>
        </w:rPr>
        <w:t>57</w:t>
      </w:r>
      <w:r w:rsidR="004844F0" w:rsidRPr="00666B27">
        <w:rPr>
          <w:lang w:val="en-GB" w:eastAsia="en-GB"/>
        </w:rPr>
        <w:t>1</w:t>
      </w:r>
      <w:r w:rsidR="00064E3C" w:rsidRPr="00666B27">
        <w:rPr>
          <w:lang w:val="en-GB" w:eastAsia="en-GB"/>
        </w:rPr>
        <w:t xml:space="preserve"> </w:t>
      </w:r>
      <w:r w:rsidRPr="00666B27">
        <w:rPr>
          <w:lang w:val="en-GB" w:eastAsia="en-GB"/>
        </w:rPr>
        <w:t xml:space="preserve">MW and gas turbine power stations with an installed capacity of </w:t>
      </w:r>
      <w:r w:rsidR="007A2D56" w:rsidRPr="00666B27">
        <w:rPr>
          <w:lang w:val="en-GB" w:eastAsia="en-GB"/>
        </w:rPr>
        <w:t>3,326 MW</w:t>
      </w:r>
      <w:r w:rsidRPr="00666B27">
        <w:rPr>
          <w:lang w:val="en-GB" w:eastAsia="en-GB"/>
        </w:rPr>
        <w:t xml:space="preserve">.  Renewable energy contributes to wind energy, </w:t>
      </w:r>
      <w:r w:rsidR="004844F0" w:rsidRPr="00666B27">
        <w:rPr>
          <w:lang w:val="en-GB" w:eastAsia="en-GB"/>
        </w:rPr>
        <w:t xml:space="preserve">small hydro, </w:t>
      </w:r>
      <w:r w:rsidRPr="00666B27">
        <w:rPr>
          <w:lang w:val="en-GB" w:eastAsia="en-GB"/>
        </w:rPr>
        <w:t xml:space="preserve">solar photovoltaics and concentrated solar </w:t>
      </w:r>
      <w:r w:rsidRPr="00666B27">
        <w:rPr>
          <w:noProof/>
          <w:lang w:val="en-GB" w:eastAsia="en-GB"/>
        </w:rPr>
        <w:t>power with</w:t>
      </w:r>
      <w:r w:rsidRPr="00666B27">
        <w:rPr>
          <w:lang w:val="en-GB" w:eastAsia="en-GB"/>
        </w:rPr>
        <w:t xml:space="preserve"> about </w:t>
      </w:r>
      <w:r w:rsidR="004844F0" w:rsidRPr="00666B27">
        <w:rPr>
          <w:lang w:val="en-GB" w:eastAsia="en-GB"/>
        </w:rPr>
        <w:t>3,309</w:t>
      </w:r>
      <w:r w:rsidRPr="00666B27">
        <w:rPr>
          <w:lang w:val="en-GB" w:eastAsia="en-GB"/>
        </w:rPr>
        <w:t xml:space="preserve"> MW and nuclear energy 1,</w:t>
      </w:r>
      <w:r w:rsidR="004844F0" w:rsidRPr="00666B27">
        <w:rPr>
          <w:lang w:val="en-GB" w:eastAsia="en-GB"/>
        </w:rPr>
        <w:t>850</w:t>
      </w:r>
      <w:r w:rsidRPr="00666B27">
        <w:rPr>
          <w:lang w:val="en-GB" w:eastAsia="en-GB"/>
        </w:rPr>
        <w:t xml:space="preserve"> MW. Total installed capacity was 5</w:t>
      </w:r>
      <w:r w:rsidR="002D34A4" w:rsidRPr="00666B27">
        <w:rPr>
          <w:lang w:val="en-GB" w:eastAsia="en-GB"/>
        </w:rPr>
        <w:t>3,02</w:t>
      </w:r>
      <w:r w:rsidR="004844F0" w:rsidRPr="00666B27">
        <w:rPr>
          <w:lang w:val="en-GB" w:eastAsia="en-GB"/>
        </w:rPr>
        <w:t>5</w:t>
      </w:r>
      <w:r w:rsidR="00772A5D" w:rsidRPr="00666B27">
        <w:rPr>
          <w:lang w:val="en-GB" w:eastAsia="en-GB"/>
        </w:rPr>
        <w:t xml:space="preserve"> MW in 2017</w:t>
      </w:r>
      <w:r w:rsidRPr="00666B27">
        <w:rPr>
          <w:lang w:val="en-GB" w:eastAsia="en-GB"/>
        </w:rPr>
        <w:t>, to which 1,500 MW of imported hydro can be added</w:t>
      </w:r>
      <w:r w:rsidRPr="0057545E">
        <w:rPr>
          <w:vertAlign w:val="superscript"/>
          <w:lang w:val="en-GB" w:eastAsia="en-GB"/>
        </w:rPr>
        <w:footnoteReference w:id="27"/>
      </w:r>
      <w:r w:rsidRPr="0057545E">
        <w:rPr>
          <w:lang w:val="en-GB" w:eastAsia="en-GB"/>
        </w:rPr>
        <w:t xml:space="preserve">. </w:t>
      </w:r>
    </w:p>
    <w:p w:rsidR="00297A17" w:rsidRPr="003B7D62" w:rsidRDefault="00297A17" w:rsidP="00297A17">
      <w:pPr>
        <w:spacing w:after="0"/>
        <w:rPr>
          <w:lang w:val="en-GB" w:eastAsia="en-GB"/>
        </w:rPr>
      </w:pPr>
    </w:p>
    <w:p w:rsidR="00297A17" w:rsidRPr="00353542" w:rsidRDefault="003A2690" w:rsidP="00297A17">
      <w:pPr>
        <w:spacing w:after="0"/>
        <w:rPr>
          <w:lang w:val="en-GB" w:eastAsia="en-GB"/>
        </w:rPr>
      </w:pPr>
      <w:r>
        <w:rPr>
          <w:noProof/>
        </w:rPr>
        <mc:AlternateContent>
          <mc:Choice Requires="wps">
            <w:drawing>
              <wp:anchor distT="45720" distB="45720" distL="144145" distR="144145" simplePos="0" relativeHeight="251630592" behindDoc="0" locked="0" layoutInCell="1" allowOverlap="1">
                <wp:simplePos x="0" y="0"/>
                <wp:positionH relativeFrom="margin">
                  <wp:posOffset>3093720</wp:posOffset>
                </wp:positionH>
                <wp:positionV relativeFrom="page">
                  <wp:posOffset>5238115</wp:posOffset>
                </wp:positionV>
                <wp:extent cx="3374390" cy="2838450"/>
                <wp:effectExtent l="0" t="0" r="0" b="0"/>
                <wp:wrapSquare wrapText="bothSides"/>
                <wp:docPr id="2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74390" cy="2838450"/>
                        </a:xfrm>
                        <a:prstGeom prst="rect">
                          <a:avLst/>
                        </a:prstGeom>
                        <a:noFill/>
                        <a:ln w="15875">
                          <a:solidFill>
                            <a:sysClr val="window" lastClr="FFFFFF">
                              <a:lumMod val="75000"/>
                            </a:sysClr>
                          </a:solidFill>
                          <a:miter lim="800000"/>
                          <a:headEnd/>
                          <a:tailEnd/>
                        </a:ln>
                      </wps:spPr>
                      <wps:txbx>
                        <w:txbxContent>
                          <w:p w:rsidR="00540FEA" w:rsidRDefault="00540FEA" w:rsidP="004844F0">
                            <w:pPr>
                              <w:pStyle w:val="Caption"/>
                              <w:rPr>
                                <w:rFonts w:ascii="Arial" w:hAnsi="Arial" w:cs="Arial"/>
                                <w:color w:val="2E74B5"/>
                                <w:sz w:val="18"/>
                              </w:rPr>
                            </w:pPr>
                            <w:bookmarkStart w:id="205" w:name="_Ref535521206"/>
                            <w:bookmarkStart w:id="206" w:name="_Toc17984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18</w:t>
                            </w:r>
                            <w:r w:rsidRPr="00A21E05">
                              <w:rPr>
                                <w:rFonts w:ascii="Arial" w:hAnsi="Arial" w:cs="Arial"/>
                                <w:color w:val="2E74B5"/>
                                <w:sz w:val="18"/>
                              </w:rPr>
                              <w:fldChar w:fldCharType="end"/>
                            </w:r>
                            <w:bookmarkEnd w:id="205"/>
                            <w:r>
                              <w:rPr>
                                <w:rFonts w:ascii="Arial" w:hAnsi="Arial" w:cs="Arial"/>
                                <w:color w:val="2E74B5"/>
                                <w:sz w:val="18"/>
                              </w:rPr>
                              <w:tab/>
                              <w:t>South Africa, power generation capacity</w:t>
                            </w:r>
                            <w:bookmarkEnd w:id="206"/>
                          </w:p>
                          <w:p w:rsidR="00540FEA" w:rsidRPr="004844F0" w:rsidRDefault="00540FEA" w:rsidP="004844F0"/>
                          <w:p w:rsidR="00540FEA" w:rsidRDefault="00540FEA" w:rsidP="004844F0">
                            <w:pPr>
                              <w:rPr>
                                <w:noProof/>
                              </w:rPr>
                            </w:pPr>
                            <w:r w:rsidRPr="00676649">
                              <w:rPr>
                                <w:noProof/>
                              </w:rPr>
                              <w:drawing>
                                <wp:inline distT="0" distB="0" distL="0" distR="0">
                                  <wp:extent cx="3149600" cy="1889760"/>
                                  <wp:effectExtent l="0" t="0" r="0" b="0"/>
                                  <wp:docPr id="20"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149600" cy="1889760"/>
                                          </a:xfrm>
                                          <a:prstGeom prst="rect">
                                            <a:avLst/>
                                          </a:prstGeom>
                                          <a:noFill/>
                                          <a:ln>
                                            <a:noFill/>
                                          </a:ln>
                                        </pic:spPr>
                                      </pic:pic>
                                    </a:graphicData>
                                  </a:graphic>
                                </wp:inline>
                              </w:drawing>
                            </w:r>
                          </w:p>
                          <w:p w:rsidR="00540FEA" w:rsidRPr="002044AF" w:rsidRDefault="00540FEA" w:rsidP="004844F0">
                            <w:pPr>
                              <w:rPr>
                                <w:sz w:val="18"/>
                              </w:rPr>
                            </w:pPr>
                            <w:r>
                              <w:rPr>
                                <w:i/>
                                <w:noProof/>
                                <w:sz w:val="18"/>
                              </w:rPr>
                              <w:t xml:space="preserve">Compiled from: </w:t>
                            </w:r>
                            <w:r w:rsidRPr="00F67509">
                              <w:rPr>
                                <w:noProof/>
                                <w:sz w:val="18"/>
                              </w:rPr>
                              <w:t xml:space="preserve">ESKOM, </w:t>
                            </w:r>
                            <w:r w:rsidRPr="00F67509">
                              <w:rPr>
                                <w:i/>
                                <w:noProof/>
                                <w:sz w:val="18"/>
                              </w:rPr>
                              <w:t>Factsheet Generation Plant Mix</w:t>
                            </w:r>
                            <w:r w:rsidRPr="00F67509">
                              <w:rPr>
                                <w:noProof/>
                                <w:sz w:val="18"/>
                              </w:rPr>
                              <w:t xml:space="preserve"> (2017); Wikipedia, </w:t>
                            </w:r>
                            <w:r w:rsidRPr="00F67509">
                              <w:rPr>
                                <w:i/>
                                <w:noProof/>
                                <w:sz w:val="18"/>
                              </w:rPr>
                              <w:t>List of power stations in South Africa</w:t>
                            </w:r>
                            <w:r w:rsidRPr="00F67509">
                              <w:rPr>
                                <w:noProof/>
                                <w:sz w:val="18"/>
                              </w:rPr>
                              <w:t xml:space="preserve"> (2017/18)</w:t>
                            </w:r>
                            <w:r>
                              <w:rPr>
                                <w:noProof/>
                                <w:sz w:val="18"/>
                              </w:rPr>
                              <w:t>; Energy Information Agency, US Department of Energy (2018)</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3" type="#_x0000_t202" style="position:absolute;left:0;text-align:left;margin-left:243.6pt;margin-top:412.45pt;width:265.7pt;height:223.5pt;z-index:251630592;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" filled="f" strokecolor="#bfbfbf" strokeweight="1.25pt">
                <v:textbox>
                  <w:txbxContent>
                    <w:p w:rsidR="00540FEA" w:rsidRDefault="00540FEA" w:rsidP="004844F0">
                      <w:pPr>
                        <w:pStyle w:val="Caption"/>
                        <w:rPr>
                          <w:rFonts w:ascii="Arial" w:hAnsi="Arial" w:cs="Arial"/>
                          <w:color w:val="2E74B5"/>
                          <w:sz w:val="18"/>
                        </w:rPr>
                      </w:pPr>
                      <w:bookmarkStart w:id="228" w:name="_Ref535521206"/>
                      <w:bookmarkStart w:id="229" w:name="_Toc17984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18</w:t>
                      </w:r>
                      <w:r w:rsidRPr="00A21E05">
                        <w:rPr>
                          <w:rFonts w:ascii="Arial" w:hAnsi="Arial" w:cs="Arial"/>
                          <w:color w:val="2E74B5"/>
                          <w:sz w:val="18"/>
                        </w:rPr>
                        <w:fldChar w:fldCharType="end"/>
                      </w:r>
                      <w:bookmarkEnd w:id="228"/>
                      <w:r>
                        <w:rPr>
                          <w:rFonts w:ascii="Arial" w:hAnsi="Arial" w:cs="Arial"/>
                          <w:color w:val="2E74B5"/>
                          <w:sz w:val="18"/>
                        </w:rPr>
                        <w:tab/>
                        <w:t>South Africa, power generation capacity</w:t>
                      </w:r>
                      <w:bookmarkEnd w:id="229"/>
                    </w:p>
                    <w:p w:rsidR="00540FEA" w:rsidRPr="004844F0" w:rsidRDefault="00540FEA" w:rsidP="004844F0"/>
                    <w:p w:rsidR="00540FEA" w:rsidRDefault="00540FEA" w:rsidP="004844F0">
                      <w:pPr>
                        <w:rPr>
                          <w:noProof/>
                        </w:rPr>
                      </w:pPr>
                      <w:r w:rsidRPr="00676649">
                        <w:rPr>
                          <w:noProof/>
                        </w:rPr>
                        <w:drawing>
                          <wp:inline distT="0" distB="0" distL="0" distR="0">
                            <wp:extent cx="3149600" cy="1889760"/>
                            <wp:effectExtent l="0" t="0" r="0" b="0"/>
                            <wp:docPr id="20"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149600" cy="1889760"/>
                                    </a:xfrm>
                                    <a:prstGeom prst="rect">
                                      <a:avLst/>
                                    </a:prstGeom>
                                    <a:noFill/>
                                    <a:ln>
                                      <a:noFill/>
                                    </a:ln>
                                  </pic:spPr>
                                </pic:pic>
                              </a:graphicData>
                            </a:graphic>
                          </wp:inline>
                        </w:drawing>
                      </w:r>
                    </w:p>
                    <w:p w:rsidR="00540FEA" w:rsidRPr="002044AF" w:rsidRDefault="00540FEA" w:rsidP="004844F0">
                      <w:pPr>
                        <w:rPr>
                          <w:sz w:val="18"/>
                        </w:rPr>
                      </w:pPr>
                      <w:r>
                        <w:rPr>
                          <w:i/>
                          <w:noProof/>
                          <w:sz w:val="18"/>
                        </w:rPr>
                        <w:t xml:space="preserve">Compiled from: </w:t>
                      </w:r>
                      <w:r w:rsidRPr="00F67509">
                        <w:rPr>
                          <w:noProof/>
                          <w:sz w:val="18"/>
                        </w:rPr>
                        <w:t xml:space="preserve">ESKOM, </w:t>
                      </w:r>
                      <w:r w:rsidRPr="00F67509">
                        <w:rPr>
                          <w:i/>
                          <w:noProof/>
                          <w:sz w:val="18"/>
                        </w:rPr>
                        <w:t>Factsheet Generation Plant Mix</w:t>
                      </w:r>
                      <w:r w:rsidRPr="00F67509">
                        <w:rPr>
                          <w:noProof/>
                          <w:sz w:val="18"/>
                        </w:rPr>
                        <w:t xml:space="preserve"> (2017); Wikipedia, </w:t>
                      </w:r>
                      <w:r w:rsidRPr="00F67509">
                        <w:rPr>
                          <w:i/>
                          <w:noProof/>
                          <w:sz w:val="18"/>
                        </w:rPr>
                        <w:t>List of power stations in South Africa</w:t>
                      </w:r>
                      <w:r w:rsidRPr="00F67509">
                        <w:rPr>
                          <w:noProof/>
                          <w:sz w:val="18"/>
                        </w:rPr>
                        <w:t xml:space="preserve"> (2017/18)</w:t>
                      </w:r>
                      <w:r>
                        <w:rPr>
                          <w:noProof/>
                          <w:sz w:val="18"/>
                        </w:rPr>
                        <w:t>; Energy Information Agency, US Department of Energy (2018)</w:t>
                      </w:r>
                    </w:p>
                  </w:txbxContent>
                </v:textbox>
                <w10:wrap type="square" anchorx="margin" anchory="page"/>
              </v:shape>
            </w:pict>
          </mc:Fallback>
        </mc:AlternateContent>
      </w:r>
      <w:r w:rsidR="00297A17" w:rsidRPr="0057545E">
        <w:rPr>
          <w:lang w:val="en-GB" w:eastAsia="en-GB"/>
        </w:rPr>
        <w:t xml:space="preserve">Peak demand in 2011-12 was 37,065 MW (power </w:t>
      </w:r>
      <w:r w:rsidR="00297A17" w:rsidRPr="00353542">
        <w:rPr>
          <w:lang w:val="en-GB" w:eastAsia="en-GB"/>
        </w:rPr>
        <w:t>produced was 49,889 MW). The energy generated in 2012 was 298,752 GWh</w:t>
      </w:r>
      <w:r w:rsidR="00297A17" w:rsidRPr="0057545E">
        <w:rPr>
          <w:vertAlign w:val="superscript"/>
          <w:lang w:val="en-GB" w:eastAsia="en-GB"/>
        </w:rPr>
        <w:footnoteReference w:id="28"/>
      </w:r>
      <w:r w:rsidR="00297A17" w:rsidRPr="0057545E">
        <w:rPr>
          <w:lang w:val="en-GB" w:eastAsia="en-GB"/>
        </w:rPr>
        <w:t>. Most of this electricity was consumed domestically, but around 13,038 GWh was exported to Swaziland, Botswana, Mozambique, Lesotho, Namibia, Zambia, Zimbabwe and other Southern African</w:t>
      </w:r>
      <w:r w:rsidR="00297A17" w:rsidRPr="00353542">
        <w:rPr>
          <w:lang w:val="en-GB" w:eastAsia="en-GB"/>
        </w:rPr>
        <w:t xml:space="preserve"> Development Community countries participating in the Southern African Power Pool. South Africa supplements its electricity supply by importing around 9,000 GWh p</w:t>
      </w:r>
      <w:r w:rsidR="00297A17" w:rsidRPr="003B7D62">
        <w:rPr>
          <w:lang w:val="en-GB" w:eastAsia="en-GB"/>
        </w:rPr>
        <w:t xml:space="preserve">er year from the Cahora </w:t>
      </w:r>
      <w:proofErr w:type="spellStart"/>
      <w:r w:rsidR="00297A17" w:rsidRPr="003B7D62">
        <w:rPr>
          <w:lang w:val="en-GB" w:eastAsia="en-GB"/>
        </w:rPr>
        <w:t>Bassa</w:t>
      </w:r>
      <w:proofErr w:type="spellEnd"/>
      <w:r w:rsidR="00297A17" w:rsidRPr="003B7D62">
        <w:rPr>
          <w:lang w:val="en-GB" w:eastAsia="en-GB"/>
        </w:rPr>
        <w:t xml:space="preserve"> hydroelectric generation station in Mozambique via the 1,920 MW Cahora </w:t>
      </w:r>
      <w:proofErr w:type="spellStart"/>
      <w:r w:rsidR="00297A17" w:rsidRPr="003B7D62">
        <w:rPr>
          <w:lang w:val="en-GB" w:eastAsia="en-GB"/>
        </w:rPr>
        <w:t>Bassa</w:t>
      </w:r>
      <w:proofErr w:type="spellEnd"/>
      <w:r w:rsidR="00297A17" w:rsidRPr="003B7D62">
        <w:rPr>
          <w:lang w:val="en-GB" w:eastAsia="en-GB"/>
        </w:rPr>
        <w:t xml:space="preserve"> high-voltage direct current transmission system of which 1500 MW is sold to South Africa. Electricity distributed in South Africa amounted to 2</w:t>
      </w:r>
      <w:r w:rsidR="0083706B" w:rsidRPr="004722F0">
        <w:rPr>
          <w:lang w:val="en-GB" w:eastAsia="en-GB"/>
        </w:rPr>
        <w:t>29,342</w:t>
      </w:r>
      <w:r w:rsidR="0083706B" w:rsidRPr="00666B27">
        <w:rPr>
          <w:lang w:val="en-GB" w:eastAsia="en-GB"/>
        </w:rPr>
        <w:t xml:space="preserve"> </w:t>
      </w:r>
      <w:r w:rsidR="00297A17" w:rsidRPr="00666B27">
        <w:rPr>
          <w:lang w:val="en-GB" w:eastAsia="en-GB"/>
        </w:rPr>
        <w:t>gigawatt-hours (GWh) electricity in 2016</w:t>
      </w:r>
      <w:r w:rsidR="00297A17" w:rsidRPr="0057545E">
        <w:rPr>
          <w:vertAlign w:val="superscript"/>
          <w:lang w:val="en-GB" w:eastAsia="en-GB"/>
        </w:rPr>
        <w:footnoteReference w:id="29"/>
      </w:r>
      <w:r w:rsidR="00297A17" w:rsidRPr="0057545E">
        <w:rPr>
          <w:lang w:val="en-GB" w:eastAsia="en-GB"/>
        </w:rPr>
        <w:t>.</w:t>
      </w:r>
    </w:p>
    <w:p w:rsidR="00297A17" w:rsidRPr="003B7D62" w:rsidRDefault="00297A17" w:rsidP="00297A17">
      <w:pPr>
        <w:spacing w:after="0"/>
        <w:rPr>
          <w:lang w:val="en-GB" w:eastAsia="en-GB"/>
        </w:rPr>
      </w:pPr>
    </w:p>
    <w:p w:rsidR="00C86FB6" w:rsidRPr="00666B27" w:rsidRDefault="00297A17" w:rsidP="00297A17">
      <w:pPr>
        <w:spacing w:after="0"/>
        <w:rPr>
          <w:lang w:val="en-GB" w:eastAsia="en-GB"/>
        </w:rPr>
      </w:pPr>
      <w:r w:rsidRPr="004722F0">
        <w:rPr>
          <w:lang w:val="en-GB" w:eastAsia="en-GB"/>
        </w:rPr>
        <w:t xml:space="preserve">In January 2008, SA experienced </w:t>
      </w:r>
      <w:r w:rsidRPr="00666B27">
        <w:rPr>
          <w:lang w:val="en-GB" w:eastAsia="en-GB"/>
        </w:rPr>
        <w:t xml:space="preserve">widespread rolling electricity blackouts due to rapid growth in demand and insufficient investment in generation capacity. To remedy to the inadequacy of supply, load shedding was carried out and lasted until early May 2009. </w:t>
      </w:r>
      <w:r w:rsidR="00C86FB6" w:rsidRPr="00666B27">
        <w:rPr>
          <w:lang w:val="en-GB" w:eastAsia="en-GB"/>
        </w:rPr>
        <w:t xml:space="preserve">In 2013 </w:t>
      </w:r>
      <w:r w:rsidRPr="00666B27">
        <w:rPr>
          <w:lang w:val="en-GB" w:eastAsia="en-GB"/>
        </w:rPr>
        <w:t xml:space="preserve">South Africa again approached a </w:t>
      </w:r>
      <w:r w:rsidR="00C86FB6" w:rsidRPr="00666B27">
        <w:rPr>
          <w:lang w:val="en-GB" w:eastAsia="en-GB"/>
        </w:rPr>
        <w:t>period of</w:t>
      </w:r>
      <w:r w:rsidRPr="00666B27">
        <w:rPr>
          <w:lang w:val="en-GB" w:eastAsia="en-GB"/>
        </w:rPr>
        <w:t xml:space="preserve"> limited capacity during a winter period of higher demands</w:t>
      </w:r>
      <w:r w:rsidR="00C86FB6" w:rsidRPr="00666B27">
        <w:rPr>
          <w:lang w:val="en-GB" w:eastAsia="en-GB"/>
        </w:rPr>
        <w:t>. P</w:t>
      </w:r>
      <w:r w:rsidRPr="00666B27">
        <w:rPr>
          <w:lang w:val="en-GB" w:eastAsia="en-GB"/>
        </w:rPr>
        <w:t xml:space="preserve">ower problems escalated in late 2014 when the coal storage silo collapsed at one of the largest coal power plants. </w:t>
      </w:r>
      <w:r w:rsidR="00C86FB6" w:rsidRPr="00666B27">
        <w:rPr>
          <w:lang w:val="en-GB" w:eastAsia="en-GB"/>
        </w:rPr>
        <w:t xml:space="preserve">Since then, </w:t>
      </w:r>
    </w:p>
    <w:p w:rsidR="00C86FB6" w:rsidRPr="00666B27" w:rsidRDefault="00C86FB6" w:rsidP="00297A17">
      <w:pPr>
        <w:spacing w:after="0"/>
        <w:rPr>
          <w:lang w:val="en-GB" w:eastAsia="en-GB"/>
        </w:rPr>
      </w:pPr>
    </w:p>
    <w:p w:rsidR="00772A5D" w:rsidRPr="00353542" w:rsidRDefault="00C86FB6" w:rsidP="00297A17">
      <w:pPr>
        <w:spacing w:after="0"/>
        <w:rPr>
          <w:lang w:val="en-GB" w:eastAsia="en-GB"/>
        </w:rPr>
      </w:pPr>
      <w:r w:rsidRPr="00666B27">
        <w:rPr>
          <w:lang w:val="en-GB" w:eastAsia="en-GB"/>
        </w:rPr>
        <w:t>However, a</w:t>
      </w:r>
      <w:r w:rsidR="00772A5D" w:rsidRPr="00666B27">
        <w:rPr>
          <w:lang w:val="en-GB" w:eastAsia="en-GB"/>
        </w:rPr>
        <w:t xml:space="preserve">fter experiencing chronic power shortages for several years, </w:t>
      </w:r>
      <w:r w:rsidRPr="00666B27">
        <w:rPr>
          <w:lang w:val="en-GB" w:eastAsia="en-GB"/>
        </w:rPr>
        <w:t xml:space="preserve">no major blackout has been experienced in South Africa. Since </w:t>
      </w:r>
      <w:r w:rsidR="00772A5D" w:rsidRPr="00666B27">
        <w:rPr>
          <w:lang w:val="en-GB" w:eastAsia="en-GB"/>
        </w:rPr>
        <w:t xml:space="preserve">2016, South Africa </w:t>
      </w:r>
      <w:r w:rsidRPr="00666B27">
        <w:rPr>
          <w:lang w:val="en-GB" w:eastAsia="en-GB"/>
        </w:rPr>
        <w:t xml:space="preserve">has </w:t>
      </w:r>
      <w:r w:rsidR="00772A5D" w:rsidRPr="00666B27">
        <w:rPr>
          <w:lang w:val="en-GB" w:eastAsia="en-GB"/>
        </w:rPr>
        <w:t xml:space="preserve">had a power capacity surplus as a result of </w:t>
      </w:r>
      <w:r w:rsidRPr="00666B27">
        <w:rPr>
          <w:lang w:val="en-GB" w:eastAsia="en-GB"/>
        </w:rPr>
        <w:t xml:space="preserve">and of weaker electricity demand and of </w:t>
      </w:r>
      <w:r w:rsidR="00772A5D" w:rsidRPr="00666B27">
        <w:rPr>
          <w:lang w:val="en-GB" w:eastAsia="en-GB"/>
        </w:rPr>
        <w:t xml:space="preserve">new capacity commissioned by both </w:t>
      </w:r>
      <w:r w:rsidR="003A2690">
        <w:rPr>
          <w:noProof/>
        </w:rPr>
        <w:lastRenderedPageBreak/>
        <mc:AlternateContent>
          <mc:Choice Requires="wps">
            <w:drawing>
              <wp:anchor distT="45720" distB="45720" distL="144145" distR="144145" simplePos="0" relativeHeight="251617280" behindDoc="0" locked="0" layoutInCell="1" allowOverlap="1">
                <wp:simplePos x="0" y="0"/>
                <wp:positionH relativeFrom="page">
                  <wp:posOffset>3481705</wp:posOffset>
                </wp:positionH>
                <wp:positionV relativeFrom="margin">
                  <wp:align>top</wp:align>
                </wp:positionV>
                <wp:extent cx="3884295" cy="2734310"/>
                <wp:effectExtent l="0" t="0" r="1905" b="8890"/>
                <wp:wrapSquare wrapText="bothSides"/>
                <wp:docPr id="2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84295" cy="2734310"/>
                        </a:xfrm>
                        <a:prstGeom prst="rect">
                          <a:avLst/>
                        </a:prstGeom>
                        <a:solidFill>
                          <a:srgbClr val="FFFFFF"/>
                        </a:solidFill>
                        <a:ln w="9525">
                          <a:solidFill>
                            <a:srgbClr val="000000"/>
                          </a:solidFill>
                          <a:miter lim="800000"/>
                          <a:headEnd/>
                          <a:tailEnd/>
                        </a:ln>
                      </wps:spPr>
                      <wps:txbx>
                        <w:txbxContent>
                          <w:p w:rsidR="00540FEA" w:rsidRDefault="00540FEA" w:rsidP="00297A17">
                            <w:pPr>
                              <w:pStyle w:val="Caption"/>
                              <w:rPr>
                                <w:rFonts w:ascii="Arial" w:hAnsi="Arial" w:cs="Arial"/>
                                <w:color w:val="2E74B5"/>
                                <w:sz w:val="18"/>
                              </w:rPr>
                            </w:pPr>
                            <w:bookmarkStart w:id="207" w:name="_Toc496967020"/>
                            <w:bookmarkStart w:id="208" w:name="_Toc17984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r>
                              <w:rPr>
                                <w:rFonts w:ascii="Arial" w:hAnsi="Arial" w:cs="Arial"/>
                                <w:color w:val="2E74B5"/>
                                <w:sz w:val="18"/>
                              </w:rPr>
                              <w:tab/>
                              <w:t>Historic and future Eskom price trajectories</w:t>
                            </w:r>
                            <w:bookmarkEnd w:id="207"/>
                            <w:bookmarkEnd w:id="208"/>
                          </w:p>
                          <w:p w:rsidR="00540FEA" w:rsidRDefault="00540FEA" w:rsidP="00297A17">
                            <w:pPr>
                              <w:rPr>
                                <w:noProof/>
                              </w:rPr>
                            </w:pPr>
                            <w:r w:rsidRPr="00676649">
                              <w:rPr>
                                <w:noProof/>
                              </w:rPr>
                              <w:drawing>
                                <wp:inline distT="0" distB="0" distL="0" distR="0">
                                  <wp:extent cx="3657600" cy="2286000"/>
                                  <wp:effectExtent l="0" t="0" r="0" b="0"/>
                                  <wp:docPr id="21"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657600" cy="2286000"/>
                                          </a:xfrm>
                                          <a:prstGeom prst="rect">
                                            <a:avLst/>
                                          </a:prstGeom>
                                          <a:noFill/>
                                          <a:ln>
                                            <a:noFill/>
                                          </a:ln>
                                        </pic:spPr>
                                      </pic:pic>
                                    </a:graphicData>
                                  </a:graphic>
                                </wp:inline>
                              </w:drawing>
                            </w:r>
                          </w:p>
                          <w:p w:rsidR="00540FEA" w:rsidRPr="002044AF" w:rsidRDefault="00540FEA" w:rsidP="00297A17">
                            <w:pPr>
                              <w:rPr>
                                <w:sz w:val="18"/>
                              </w:rPr>
                            </w:pPr>
                            <w:r w:rsidRPr="00A21E05">
                              <w:rPr>
                                <w:i/>
                                <w:noProof/>
                                <w:sz w:val="18"/>
                              </w:rPr>
                              <w:t>Source:</w:t>
                            </w:r>
                            <w:r>
                              <w:rPr>
                                <w:i/>
                                <w:noProof/>
                                <w:sz w:val="18"/>
                              </w:rPr>
                              <w:t xml:space="preserve"> </w:t>
                            </w:r>
                            <w:r>
                              <w:rPr>
                                <w:noProof/>
                                <w:sz w:val="18"/>
                              </w:rPr>
                              <w:t xml:space="preserve">GreenCape, </w:t>
                            </w:r>
                            <w:r>
                              <w:rPr>
                                <w:i/>
                                <w:noProof/>
                                <w:sz w:val="18"/>
                              </w:rPr>
                              <w:t>Market Intelligence Report (</w:t>
                            </w:r>
                            <w:r>
                              <w:rPr>
                                <w:noProof/>
                                <w:sz w:val="18"/>
                              </w:rPr>
                              <w:t>2016)</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4" type="#_x0000_t202" style="position:absolute;left:0;text-align:left;margin-left:274.15pt;margin-top:0;width:305.85pt;height:215.3pt;z-index:251617280;visibility:visible;mso-wrap-style:square;mso-width-percent:0;mso-height-percent:0;mso-wrap-distance-left:11.35pt;mso-wrap-distance-top:3.6pt;mso-wrap-distance-right:11.35pt;mso-wrap-distance-bottom:3.6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">
                <v:textbox>
                  <w:txbxContent>
                    <w:p w:rsidR="00540FEA" w:rsidRDefault="00540FEA" w:rsidP="00297A17">
                      <w:pPr>
                        <w:pStyle w:val="Caption"/>
                        <w:rPr>
                          <w:rFonts w:ascii="Arial" w:hAnsi="Arial" w:cs="Arial"/>
                          <w:color w:val="2E74B5"/>
                          <w:sz w:val="18"/>
                        </w:rPr>
                      </w:pPr>
                      <w:bookmarkStart w:id="232" w:name="_Toc496967020"/>
                      <w:bookmarkStart w:id="233" w:name="_Toc17984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19</w:t>
                      </w:r>
                      <w:r w:rsidRPr="00A21E05">
                        <w:rPr>
                          <w:rFonts w:ascii="Arial" w:hAnsi="Arial" w:cs="Arial"/>
                          <w:color w:val="2E74B5"/>
                          <w:sz w:val="18"/>
                        </w:rPr>
                        <w:fldChar w:fldCharType="end"/>
                      </w:r>
                      <w:r>
                        <w:rPr>
                          <w:rFonts w:ascii="Arial" w:hAnsi="Arial" w:cs="Arial"/>
                          <w:color w:val="2E74B5"/>
                          <w:sz w:val="18"/>
                        </w:rPr>
                        <w:tab/>
                        <w:t>Historic and future Eskom price trajectories</w:t>
                      </w:r>
                      <w:bookmarkEnd w:id="232"/>
                      <w:bookmarkEnd w:id="233"/>
                    </w:p>
                    <w:p w:rsidR="00540FEA" w:rsidRDefault="00540FEA" w:rsidP="00297A17">
                      <w:pPr>
                        <w:rPr>
                          <w:noProof/>
                        </w:rPr>
                      </w:pPr>
                      <w:r w:rsidRPr="00676649">
                        <w:rPr>
                          <w:noProof/>
                        </w:rPr>
                        <w:drawing>
                          <wp:inline distT="0" distB="0" distL="0" distR="0">
                            <wp:extent cx="3657600" cy="2286000"/>
                            <wp:effectExtent l="0" t="0" r="0" b="0"/>
                            <wp:docPr id="21"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657600" cy="2286000"/>
                                    </a:xfrm>
                                    <a:prstGeom prst="rect">
                                      <a:avLst/>
                                    </a:prstGeom>
                                    <a:noFill/>
                                    <a:ln>
                                      <a:noFill/>
                                    </a:ln>
                                  </pic:spPr>
                                </pic:pic>
                              </a:graphicData>
                            </a:graphic>
                          </wp:inline>
                        </w:drawing>
                      </w:r>
                    </w:p>
                    <w:p w:rsidR="00540FEA" w:rsidRPr="002044AF" w:rsidRDefault="00540FEA" w:rsidP="00297A17">
                      <w:pPr>
                        <w:rPr>
                          <w:sz w:val="18"/>
                        </w:rPr>
                      </w:pPr>
                      <w:r w:rsidRPr="00A21E05">
                        <w:rPr>
                          <w:i/>
                          <w:noProof/>
                          <w:sz w:val="18"/>
                        </w:rPr>
                        <w:t>Source:</w:t>
                      </w:r>
                      <w:r>
                        <w:rPr>
                          <w:i/>
                          <w:noProof/>
                          <w:sz w:val="18"/>
                        </w:rPr>
                        <w:t xml:space="preserve"> </w:t>
                      </w:r>
                      <w:r>
                        <w:rPr>
                          <w:noProof/>
                          <w:sz w:val="18"/>
                        </w:rPr>
                        <w:t xml:space="preserve">GreenCape, </w:t>
                      </w:r>
                      <w:r>
                        <w:rPr>
                          <w:i/>
                          <w:noProof/>
                          <w:sz w:val="18"/>
                        </w:rPr>
                        <w:t>Market Intelligence Report (</w:t>
                      </w:r>
                      <w:r>
                        <w:rPr>
                          <w:noProof/>
                          <w:sz w:val="18"/>
                        </w:rPr>
                        <w:t>2016)</w:t>
                      </w:r>
                    </w:p>
                  </w:txbxContent>
                </v:textbox>
                <w10:wrap type="square" anchorx="page" anchory="margin"/>
              </v:shape>
            </w:pict>
          </mc:Fallback>
        </mc:AlternateContent>
      </w:r>
      <w:r w:rsidR="00772A5D" w:rsidRPr="0057545E">
        <w:rPr>
          <w:lang w:val="en-GB" w:eastAsia="en-GB"/>
        </w:rPr>
        <w:t>public and private sectors</w:t>
      </w:r>
      <w:r w:rsidRPr="00353542">
        <w:rPr>
          <w:lang w:val="en-GB" w:eastAsia="en-GB"/>
        </w:rPr>
        <w:t>,</w:t>
      </w:r>
      <w:r w:rsidR="00772A5D" w:rsidRPr="003B7D62">
        <w:rPr>
          <w:lang w:val="en-GB" w:eastAsia="en-GB"/>
        </w:rPr>
        <w:t xml:space="preserve"> </w:t>
      </w:r>
      <w:r w:rsidRPr="003B7D62">
        <w:rPr>
          <w:lang w:val="en-GB" w:eastAsia="en-GB"/>
        </w:rPr>
        <w:t xml:space="preserve">mainly from </w:t>
      </w:r>
      <w:r w:rsidRPr="004722F0">
        <w:rPr>
          <w:lang w:val="en-GB" w:eastAsia="en-GB"/>
        </w:rPr>
        <w:t xml:space="preserve">independent power producers (or </w:t>
      </w:r>
      <w:r w:rsidRPr="00666B27">
        <w:rPr>
          <w:lang w:val="en-GB" w:eastAsia="en-GB"/>
        </w:rPr>
        <w:t>IPPs) which added about 4.5 GW</w:t>
      </w:r>
      <w:r w:rsidRPr="0057545E">
        <w:rPr>
          <w:vertAlign w:val="superscript"/>
          <w:lang w:val="en-GB" w:eastAsia="en-GB"/>
        </w:rPr>
        <w:footnoteReference w:id="30"/>
      </w:r>
      <w:r w:rsidRPr="0057545E">
        <w:rPr>
          <w:lang w:val="en-GB" w:eastAsia="en-GB"/>
        </w:rPr>
        <w:t>.</w:t>
      </w:r>
      <w:r w:rsidR="000A153F">
        <w:rPr>
          <w:lang w:val="en-GB" w:eastAsia="en-GB"/>
        </w:rPr>
        <w:t xml:space="preserve"> However, in 2019 the issue of power shortage returned with load shedding of about 4 GW</w:t>
      </w:r>
      <w:r w:rsidR="000A153F">
        <w:rPr>
          <w:rStyle w:val="FootnoteReference"/>
          <w:lang w:val="en-GB" w:eastAsia="en-GB"/>
        </w:rPr>
        <w:footnoteReference w:id="31"/>
      </w:r>
      <w:r w:rsidR="000A153F">
        <w:rPr>
          <w:lang w:val="en-GB" w:eastAsia="en-GB"/>
        </w:rPr>
        <w:t>.</w:t>
      </w:r>
    </w:p>
    <w:p w:rsidR="00772A5D" w:rsidRPr="003B7D62" w:rsidRDefault="00772A5D" w:rsidP="00297A17">
      <w:pPr>
        <w:spacing w:after="0"/>
        <w:rPr>
          <w:lang w:val="en-GB" w:eastAsia="en-GB"/>
        </w:rPr>
      </w:pPr>
    </w:p>
    <w:p w:rsidR="00297A17" w:rsidRPr="003B7D62" w:rsidRDefault="00297A17" w:rsidP="00297A17">
      <w:pPr>
        <w:spacing w:after="0"/>
        <w:rPr>
          <w:lang w:val="en-GB" w:eastAsia="en-GB"/>
        </w:rPr>
      </w:pPr>
      <w:r w:rsidRPr="004722F0">
        <w:rPr>
          <w:lang w:val="en-GB" w:eastAsia="en-GB"/>
        </w:rPr>
        <w:t>However, the power supply remains in a critical situation. Most of Eskom’s coal-based power stations a</w:t>
      </w:r>
      <w:r w:rsidRPr="00666B27">
        <w:rPr>
          <w:lang w:val="en-GB" w:eastAsia="en-GB"/>
        </w:rPr>
        <w:t xml:space="preserve">re approaching the end of their lifespan, and are poorly maintained, resulting in substantial operational </w:t>
      </w:r>
      <w:r w:rsidR="0079723A" w:rsidRPr="00666B27">
        <w:rPr>
          <w:lang w:val="en-GB" w:eastAsia="en-GB"/>
        </w:rPr>
        <w:t>inefficiencies</w:t>
      </w:r>
      <w:r w:rsidRPr="0057545E">
        <w:rPr>
          <w:vertAlign w:val="superscript"/>
          <w:lang w:val="en-GB" w:eastAsia="en-GB"/>
        </w:rPr>
        <w:footnoteReference w:id="32"/>
      </w:r>
      <w:r w:rsidRPr="0057545E">
        <w:rPr>
          <w:lang w:val="en-GB" w:eastAsia="en-GB"/>
        </w:rPr>
        <w:t>. Inadequate investment during pe</w:t>
      </w:r>
      <w:r w:rsidRPr="00353542">
        <w:rPr>
          <w:lang w:val="en-GB" w:eastAsia="en-GB"/>
        </w:rPr>
        <w:t>riods of increased economic growth, rising electricity demand, and mismanagement of the sector have be</w:t>
      </w:r>
      <w:r w:rsidRPr="003B7D62">
        <w:rPr>
          <w:lang w:val="en-GB" w:eastAsia="en-GB"/>
        </w:rPr>
        <w:t xml:space="preserve">en attributed to the power failures. </w:t>
      </w:r>
    </w:p>
    <w:p w:rsidR="00297A17" w:rsidRPr="004722F0" w:rsidRDefault="00297A17" w:rsidP="00297A17">
      <w:pPr>
        <w:spacing w:after="0"/>
        <w:rPr>
          <w:lang w:val="en-GB" w:eastAsia="en-GB"/>
        </w:rPr>
      </w:pPr>
    </w:p>
    <w:p w:rsidR="00297A17" w:rsidRPr="00353542" w:rsidRDefault="00297A17" w:rsidP="00297A17">
      <w:pPr>
        <w:spacing w:after="0"/>
        <w:rPr>
          <w:lang w:val="en-GB" w:eastAsia="en-GB"/>
        </w:rPr>
      </w:pPr>
      <w:r w:rsidRPr="00666B27">
        <w:rPr>
          <w:lang w:val="en-GB" w:eastAsia="en-GB"/>
        </w:rPr>
        <w:t xml:space="preserve">The cost of energy from Eskom’s new generation capacity will be significantly higher than its historically low energy costs. As a result of ’s new build programme and the cost of essential plant maintenance, the price of electricity in South Africa has risen significantly over the past decade. This trend, coupled with market pressures for cleaner, renewable, energy sources, has been a significant driver of the growing interest in the rational use of energy. </w:t>
      </w:r>
      <w:r w:rsidR="007A2D56" w:rsidRPr="00666B27">
        <w:rPr>
          <w:lang w:val="en-GB" w:eastAsia="en-GB"/>
        </w:rPr>
        <w:t xml:space="preserve"> Tariffs have increased significantly.</w:t>
      </w:r>
      <w:r w:rsidRPr="00666B27">
        <w:rPr>
          <w:lang w:val="en-GB" w:eastAsia="en-GB"/>
        </w:rPr>
        <w:t xml:space="preserve"> The average power tariffs were R 0.596/kWh in 2011/12 and R 0.</w:t>
      </w:r>
      <w:r w:rsidR="00F67509" w:rsidRPr="00666B27">
        <w:rPr>
          <w:lang w:val="en-GB" w:eastAsia="en-GB"/>
        </w:rPr>
        <w:t>847</w:t>
      </w:r>
      <w:r w:rsidRPr="00666B27">
        <w:rPr>
          <w:lang w:val="en-GB" w:eastAsia="en-GB"/>
        </w:rPr>
        <w:t xml:space="preserve">/kWh in </w:t>
      </w:r>
      <w:r w:rsidR="00F67509" w:rsidRPr="00666B27">
        <w:rPr>
          <w:lang w:val="en-GB" w:eastAsia="en-GB"/>
        </w:rPr>
        <w:t>2016/17</w:t>
      </w:r>
      <w:r w:rsidRPr="00666B27">
        <w:rPr>
          <w:lang w:val="en-GB" w:eastAsia="en-GB"/>
        </w:rPr>
        <w:t xml:space="preserve"> with residential customers paying R 0.778/</w:t>
      </w:r>
      <w:r w:rsidR="00F67509" w:rsidRPr="00666B27">
        <w:rPr>
          <w:lang w:val="en-GB" w:eastAsia="en-GB"/>
        </w:rPr>
        <w:t>k</w:t>
      </w:r>
      <w:r w:rsidRPr="00666B27">
        <w:rPr>
          <w:lang w:val="en-GB" w:eastAsia="en-GB"/>
        </w:rPr>
        <w:t xml:space="preserve">Wh </w:t>
      </w:r>
      <w:r w:rsidR="00F67509" w:rsidRPr="00666B27">
        <w:rPr>
          <w:lang w:val="en-GB" w:eastAsia="en-GB"/>
        </w:rPr>
        <w:t xml:space="preserve">in 2011/12 </w:t>
      </w:r>
      <w:r w:rsidRPr="00666B27">
        <w:rPr>
          <w:lang w:val="en-GB" w:eastAsia="en-GB"/>
        </w:rPr>
        <w:t>(R 1.</w:t>
      </w:r>
      <w:r w:rsidR="00F67509" w:rsidRPr="00666B27">
        <w:rPr>
          <w:lang w:val="en-GB" w:eastAsia="en-GB"/>
        </w:rPr>
        <w:t>186</w:t>
      </w:r>
      <w:r w:rsidRPr="00666B27">
        <w:rPr>
          <w:lang w:val="en-GB" w:eastAsia="en-GB"/>
        </w:rPr>
        <w:t>/kWh in 20</w:t>
      </w:r>
      <w:r w:rsidR="00F67509" w:rsidRPr="00666B27">
        <w:rPr>
          <w:lang w:val="en-GB" w:eastAsia="en-GB"/>
        </w:rPr>
        <w:t>16/17)</w:t>
      </w:r>
      <w:r w:rsidRPr="00666B27">
        <w:rPr>
          <w:lang w:val="en-GB" w:eastAsia="en-GB"/>
        </w:rPr>
        <w:t>, the industrial customers R 0.401/kWh (R 0.7</w:t>
      </w:r>
      <w:r w:rsidR="00F67509" w:rsidRPr="00666B27">
        <w:rPr>
          <w:lang w:val="en-GB" w:eastAsia="en-GB"/>
        </w:rPr>
        <w:t>69</w:t>
      </w:r>
      <w:r w:rsidRPr="00666B27">
        <w:rPr>
          <w:lang w:val="en-GB" w:eastAsia="en-GB"/>
        </w:rPr>
        <w:t xml:space="preserve"> in 201</w:t>
      </w:r>
      <w:r w:rsidR="00F67509" w:rsidRPr="00666B27">
        <w:rPr>
          <w:lang w:val="en-GB" w:eastAsia="en-GB"/>
        </w:rPr>
        <w:t>6/17</w:t>
      </w:r>
      <w:r w:rsidRPr="00666B27">
        <w:rPr>
          <w:lang w:val="en-GB" w:eastAsia="en-GB"/>
        </w:rPr>
        <w:t>)</w:t>
      </w:r>
      <w:r w:rsidR="002E16CD" w:rsidRPr="00666B27">
        <w:rPr>
          <w:lang w:val="en-GB" w:eastAsia="en-GB"/>
        </w:rPr>
        <w:t xml:space="preserve">, </w:t>
      </w:r>
      <w:r w:rsidRPr="00666B27">
        <w:rPr>
          <w:lang w:val="en-GB" w:eastAsia="en-GB"/>
        </w:rPr>
        <w:t>commercial customers R 0.639/kWh (R 1.</w:t>
      </w:r>
      <w:r w:rsidR="00F67509" w:rsidRPr="00666B27">
        <w:rPr>
          <w:lang w:val="en-GB" w:eastAsia="en-GB"/>
        </w:rPr>
        <w:t>9</w:t>
      </w:r>
      <w:r w:rsidRPr="00666B27">
        <w:rPr>
          <w:lang w:val="en-GB" w:eastAsia="en-GB"/>
        </w:rPr>
        <w:t>0/kWh in 201</w:t>
      </w:r>
      <w:r w:rsidR="002E16CD" w:rsidRPr="00666B27">
        <w:rPr>
          <w:lang w:val="en-GB" w:eastAsia="en-GB"/>
        </w:rPr>
        <w:t>6/17</w:t>
      </w:r>
      <w:r w:rsidRPr="00666B27">
        <w:rPr>
          <w:lang w:val="en-GB" w:eastAsia="en-GB"/>
        </w:rPr>
        <w:t>)</w:t>
      </w:r>
      <w:r w:rsidR="002E16CD" w:rsidRPr="00666B27">
        <w:rPr>
          <w:lang w:val="en-GB" w:eastAsia="en-GB"/>
        </w:rPr>
        <w:t>, and local authorities R. 0.483/kWh (R 0.814/kWh in 2016/17)</w:t>
      </w:r>
      <w:r w:rsidR="002E16CD" w:rsidRPr="0057545E">
        <w:rPr>
          <w:rStyle w:val="FootnoteReference"/>
          <w:lang w:val="en-GB" w:eastAsia="en-GB"/>
        </w:rPr>
        <w:footnoteReference w:id="33"/>
      </w:r>
      <w:r w:rsidR="002E16CD" w:rsidRPr="0057545E">
        <w:rPr>
          <w:lang w:val="en-GB" w:eastAsia="en-GB"/>
        </w:rPr>
        <w:t>.</w:t>
      </w:r>
      <w:r w:rsidR="007A2D56" w:rsidRPr="00353542">
        <w:rPr>
          <w:lang w:val="en-GB" w:eastAsia="en-GB"/>
        </w:rPr>
        <w:t xml:space="preserve">   While tariffs have increased, South Africa’s electricity </w:t>
      </w:r>
      <w:r w:rsidR="00C86FB6" w:rsidRPr="003B7D62">
        <w:rPr>
          <w:lang w:val="en-GB" w:eastAsia="en-GB"/>
        </w:rPr>
        <w:t xml:space="preserve">generation </w:t>
      </w:r>
      <w:r w:rsidR="007A2D56" w:rsidRPr="003B7D62">
        <w:rPr>
          <w:noProof/>
          <w:lang w:val="en-GB" w:eastAsia="en-GB"/>
        </w:rPr>
        <w:t>ha</w:t>
      </w:r>
      <w:r w:rsidR="00C86FB6" w:rsidRPr="003B7D62">
        <w:rPr>
          <w:noProof/>
          <w:lang w:val="en-GB" w:eastAsia="en-GB"/>
        </w:rPr>
        <w:t>ve</w:t>
      </w:r>
      <w:r w:rsidR="00C86FB6" w:rsidRPr="008E26A0">
        <w:rPr>
          <w:lang w:val="en-GB" w:eastAsia="en-GB"/>
        </w:rPr>
        <w:t xml:space="preserve"> </w:t>
      </w:r>
      <w:r w:rsidR="007A2D56" w:rsidRPr="004722F0">
        <w:rPr>
          <w:lang w:val="en-GB" w:eastAsia="en-GB"/>
        </w:rPr>
        <w:t>declined overall from 2007 to 2016 by more than 4%</w:t>
      </w:r>
      <w:r w:rsidR="007A2D56" w:rsidRPr="0057545E">
        <w:rPr>
          <w:rStyle w:val="FootnoteReference"/>
          <w:lang w:val="en-GB" w:eastAsia="en-GB"/>
        </w:rPr>
        <w:footnoteReference w:id="34"/>
      </w:r>
      <w:r w:rsidR="007A2D56" w:rsidRPr="0057545E">
        <w:rPr>
          <w:lang w:val="en-GB" w:eastAsia="en-GB"/>
        </w:rPr>
        <w:t xml:space="preserve">. </w:t>
      </w:r>
      <w:r w:rsidR="00C86FB6" w:rsidRPr="00353542">
        <w:rPr>
          <w:lang w:val="en-GB" w:eastAsia="en-GB"/>
        </w:rPr>
        <w:t xml:space="preserve">As revenue </w:t>
      </w:r>
      <w:r w:rsidR="00C86FB6" w:rsidRPr="003B7D62">
        <w:rPr>
          <w:noProof/>
          <w:lang w:val="en-GB" w:eastAsia="en-GB"/>
        </w:rPr>
        <w:t>have</w:t>
      </w:r>
      <w:r w:rsidR="00C86FB6" w:rsidRPr="003B7D62">
        <w:rPr>
          <w:lang w:val="en-GB" w:eastAsia="en-GB"/>
        </w:rPr>
        <w:t xml:space="preserve"> remained stagnant, Eskom </w:t>
      </w:r>
      <w:r w:rsidR="007A2D56" w:rsidRPr="008E26A0">
        <w:rPr>
          <w:lang w:val="en-GB" w:eastAsia="en-GB"/>
        </w:rPr>
        <w:t>has embarked on a large power station expansion programme for which it has had to borr</w:t>
      </w:r>
      <w:r w:rsidR="007A2D56" w:rsidRPr="004722F0">
        <w:rPr>
          <w:lang w:val="en-GB" w:eastAsia="en-GB"/>
        </w:rPr>
        <w:t>ow significant amounts.</w:t>
      </w:r>
      <w:r w:rsidR="005B2A14" w:rsidRPr="00666B27">
        <w:rPr>
          <w:lang w:val="en-GB"/>
        </w:rPr>
        <w:t xml:space="preserve"> </w:t>
      </w:r>
      <w:r w:rsidR="00C86FB6" w:rsidRPr="00666B27">
        <w:rPr>
          <w:lang w:val="en-GB" w:eastAsia="en-GB"/>
        </w:rPr>
        <w:t>In 2</w:t>
      </w:r>
      <w:r w:rsidR="005B2A14" w:rsidRPr="00666B27">
        <w:rPr>
          <w:lang w:val="en-GB" w:eastAsia="en-GB"/>
        </w:rPr>
        <w:t xml:space="preserve">018 </w:t>
      </w:r>
      <w:r w:rsidR="00C86FB6" w:rsidRPr="00666B27">
        <w:rPr>
          <w:lang w:val="en-GB" w:eastAsia="en-GB"/>
        </w:rPr>
        <w:t xml:space="preserve">the utility started </w:t>
      </w:r>
      <w:r w:rsidR="005B2A14" w:rsidRPr="00666B27">
        <w:rPr>
          <w:lang w:val="en-GB" w:eastAsia="en-GB"/>
        </w:rPr>
        <w:t>teetering on the brink of financial disaster, placing the country’s entire economy at risk</w:t>
      </w:r>
      <w:r w:rsidR="005B2A14" w:rsidRPr="0057545E">
        <w:rPr>
          <w:rStyle w:val="FootnoteReference"/>
          <w:lang w:val="en-GB" w:eastAsia="en-GB"/>
        </w:rPr>
        <w:footnoteReference w:id="35"/>
      </w:r>
      <w:r w:rsidR="005B2A14" w:rsidRPr="0057545E">
        <w:rPr>
          <w:lang w:val="en-GB" w:eastAsia="en-GB"/>
        </w:rPr>
        <w:t>.</w:t>
      </w:r>
    </w:p>
    <w:p w:rsidR="00297A17" w:rsidRPr="003B7D62" w:rsidRDefault="00297A17" w:rsidP="00297A17">
      <w:pPr>
        <w:spacing w:after="0"/>
        <w:rPr>
          <w:lang w:val="en-GB" w:eastAsia="en-GB"/>
        </w:rPr>
      </w:pPr>
    </w:p>
    <w:p w:rsidR="00297A17" w:rsidRPr="00666B27" w:rsidRDefault="00297A17" w:rsidP="00297A17">
      <w:pPr>
        <w:spacing w:after="0"/>
        <w:rPr>
          <w:u w:val="single"/>
          <w:lang w:val="en-GB" w:eastAsia="en-GB"/>
        </w:rPr>
      </w:pPr>
      <w:r w:rsidRPr="004722F0">
        <w:rPr>
          <w:u w:val="single"/>
          <w:lang w:val="en-GB" w:eastAsia="en-GB"/>
        </w:rPr>
        <w:t>Electricity market structure: production, transmission, distribution; reg</w:t>
      </w:r>
      <w:r w:rsidRPr="00666B27">
        <w:rPr>
          <w:u w:val="single"/>
          <w:lang w:val="en-GB" w:eastAsia="en-GB"/>
        </w:rPr>
        <w:t>ulation</w:t>
      </w:r>
    </w:p>
    <w:p w:rsidR="00297A17" w:rsidRPr="00666B27" w:rsidRDefault="00297A17" w:rsidP="00297A17">
      <w:pPr>
        <w:spacing w:after="0"/>
        <w:rPr>
          <w:lang w:val="en-GB" w:eastAsia="en-GB"/>
        </w:rPr>
      </w:pPr>
    </w:p>
    <w:p w:rsidR="00297A17" w:rsidRPr="00353542" w:rsidRDefault="00297A17" w:rsidP="00297A17">
      <w:pPr>
        <w:spacing w:after="0"/>
        <w:rPr>
          <w:lang w:val="en-GB" w:eastAsia="en-GB"/>
        </w:rPr>
      </w:pPr>
      <w:r w:rsidRPr="00666B27">
        <w:rPr>
          <w:lang w:val="en-GB" w:eastAsia="en-GB"/>
        </w:rPr>
        <w:t>Although Eskom does not have exclusive generation rights in South Africa, it does have the practical monopoly on the bulk of electricity in the country, and it maintains the national grid (operating the integrated national high-voltage transmission system). In 2002, Eskom was converted into a public company, although it is de facto a parastatal</w:t>
      </w:r>
      <w:r w:rsidR="00C86FB6" w:rsidRPr="00666B27">
        <w:rPr>
          <w:lang w:val="en-GB" w:eastAsia="en-GB"/>
        </w:rPr>
        <w:t xml:space="preserve"> under the Department of Public </w:t>
      </w:r>
      <w:r w:rsidR="0079723A" w:rsidRPr="00666B27">
        <w:rPr>
          <w:lang w:val="en-GB" w:eastAsia="en-GB"/>
        </w:rPr>
        <w:t>Enterprises</w:t>
      </w:r>
      <w:r w:rsidRPr="00666B27">
        <w:rPr>
          <w:lang w:val="en-GB" w:eastAsia="en-GB"/>
        </w:rPr>
        <w:t xml:space="preserve">. In 2003, the Cabinet </w:t>
      </w:r>
      <w:proofErr w:type="gramStart"/>
      <w:r w:rsidRPr="00666B27">
        <w:rPr>
          <w:lang w:val="en-GB" w:eastAsia="en-GB"/>
        </w:rPr>
        <w:t>made a decision</w:t>
      </w:r>
      <w:proofErr w:type="gramEnd"/>
      <w:r w:rsidRPr="00666B27">
        <w:rPr>
          <w:lang w:val="en-GB" w:eastAsia="en-GB"/>
        </w:rPr>
        <w:t xml:space="preserve"> to increase private-sector participation in the electricity industry by dividing power generation between Eskom and IPPs. Currently, Eskom still has </w:t>
      </w:r>
      <w:proofErr w:type="gramStart"/>
      <w:r w:rsidRPr="00666B27">
        <w:rPr>
          <w:lang w:val="en-GB" w:eastAsia="en-GB"/>
        </w:rPr>
        <w:t>the majority of</w:t>
      </w:r>
      <w:proofErr w:type="gramEnd"/>
      <w:r w:rsidRPr="00666B27">
        <w:rPr>
          <w:lang w:val="en-GB" w:eastAsia="en-GB"/>
        </w:rPr>
        <w:t xml:space="preserve"> the generation rights and generates approximately 9</w:t>
      </w:r>
      <w:r w:rsidR="002E16CD" w:rsidRPr="00666B27">
        <w:rPr>
          <w:lang w:val="en-GB" w:eastAsia="en-GB"/>
        </w:rPr>
        <w:t>0</w:t>
      </w:r>
      <w:r w:rsidRPr="00666B27">
        <w:rPr>
          <w:lang w:val="en-GB" w:eastAsia="en-GB"/>
        </w:rPr>
        <w:t xml:space="preserve">% of the electricity. </w:t>
      </w:r>
      <w:r w:rsidR="002D34A4" w:rsidRPr="00666B27">
        <w:rPr>
          <w:lang w:val="en-GB" w:eastAsia="en-GB"/>
        </w:rPr>
        <w:t>Of the capacity of 5</w:t>
      </w:r>
      <w:r w:rsidR="00F67509" w:rsidRPr="00666B27">
        <w:rPr>
          <w:lang w:val="en-GB" w:eastAsia="en-GB"/>
        </w:rPr>
        <w:t>3,025</w:t>
      </w:r>
      <w:r w:rsidR="002D34A4" w:rsidRPr="00666B27">
        <w:rPr>
          <w:lang w:val="en-GB" w:eastAsia="en-GB"/>
        </w:rPr>
        <w:t xml:space="preserve"> MW in 2017, about </w:t>
      </w:r>
      <w:r w:rsidR="002E16CD" w:rsidRPr="00666B27">
        <w:rPr>
          <w:lang w:val="en-GB" w:eastAsia="en-GB"/>
        </w:rPr>
        <w:t>660</w:t>
      </w:r>
      <w:r w:rsidR="002D34A4" w:rsidRPr="00666B27">
        <w:rPr>
          <w:lang w:val="en-GB" w:eastAsia="en-GB"/>
        </w:rPr>
        <w:t xml:space="preserve"> MW was generated by municipalities and </w:t>
      </w:r>
      <w:r w:rsidR="002E16CD" w:rsidRPr="00666B27">
        <w:rPr>
          <w:lang w:val="en-GB" w:eastAsia="en-GB"/>
        </w:rPr>
        <w:t>4,431</w:t>
      </w:r>
      <w:r w:rsidR="00772A5D" w:rsidRPr="00666B27">
        <w:rPr>
          <w:lang w:val="en-GB" w:eastAsia="en-GB"/>
        </w:rPr>
        <w:t xml:space="preserve"> MW by </w:t>
      </w:r>
      <w:r w:rsidR="0079723A" w:rsidRPr="00666B27">
        <w:rPr>
          <w:lang w:val="en-GB" w:eastAsia="en-GB"/>
        </w:rPr>
        <w:t>IPPs</w:t>
      </w:r>
      <w:r w:rsidRPr="0057545E">
        <w:rPr>
          <w:vertAlign w:val="superscript"/>
          <w:lang w:val="en-GB" w:eastAsia="en-GB"/>
        </w:rPr>
        <w:footnoteReference w:id="36"/>
      </w:r>
      <w:r w:rsidR="0057479B" w:rsidRPr="0057545E">
        <w:rPr>
          <w:lang w:val="en-GB" w:eastAsia="en-GB"/>
        </w:rPr>
        <w:t>.</w:t>
      </w:r>
    </w:p>
    <w:p w:rsidR="00297A17" w:rsidRPr="003B7D62" w:rsidRDefault="00297A17" w:rsidP="00297A17">
      <w:pPr>
        <w:spacing w:after="0"/>
        <w:rPr>
          <w:lang w:val="en-GB" w:eastAsia="en-GB"/>
        </w:rPr>
      </w:pPr>
      <w:r w:rsidRPr="003B7D62">
        <w:rPr>
          <w:lang w:val="en-GB" w:eastAsia="en-GB"/>
        </w:rPr>
        <w:lastRenderedPageBreak/>
        <w:t xml:space="preserve"> </w:t>
      </w:r>
    </w:p>
    <w:p w:rsidR="00297A17" w:rsidRPr="00666B27" w:rsidRDefault="003A2690" w:rsidP="00297A17">
      <w:pPr>
        <w:spacing w:after="0"/>
        <w:rPr>
          <w:lang w:val="en-GB" w:eastAsia="en-GB"/>
        </w:rPr>
      </w:pPr>
      <w:r>
        <w:rPr>
          <w:noProof/>
        </w:rPr>
        <mc:AlternateContent>
          <mc:Choice Requires="wps">
            <w:drawing>
              <wp:anchor distT="71755" distB="107950" distL="114300" distR="114300" simplePos="0" relativeHeight="251618304" behindDoc="0" locked="0" layoutInCell="1" allowOverlap="1">
                <wp:simplePos x="0" y="0"/>
                <wp:positionH relativeFrom="margin">
                  <wp:posOffset>-191770</wp:posOffset>
                </wp:positionH>
                <wp:positionV relativeFrom="page">
                  <wp:posOffset>772160</wp:posOffset>
                </wp:positionV>
                <wp:extent cx="6771005" cy="3261360"/>
                <wp:effectExtent l="0" t="0" r="0" b="0"/>
                <wp:wrapTopAndBottom/>
                <wp:docPr id="247"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71005" cy="3261360"/>
                        </a:xfrm>
                        <a:prstGeom prst="rect">
                          <a:avLst/>
                        </a:prstGeom>
                        <a:solidFill>
                          <a:srgbClr val="FFFFFF"/>
                        </a:solidFill>
                        <a:ln w="9525">
                          <a:solidFill>
                            <a:srgbClr val="000000"/>
                          </a:solidFill>
                          <a:miter lim="800000"/>
                          <a:headEnd/>
                          <a:tailEnd/>
                        </a:ln>
                      </wps:spPr>
                      <wps:txbx>
                        <w:txbxContent>
                          <w:p w:rsidR="00540FEA" w:rsidRDefault="00540FEA" w:rsidP="00297A17">
                            <w:pPr>
                              <w:pStyle w:val="Caption"/>
                              <w:rPr>
                                <w:rFonts w:ascii="Arial" w:hAnsi="Arial" w:cs="Arial"/>
                                <w:color w:val="2E74B5"/>
                                <w:sz w:val="18"/>
                              </w:rPr>
                            </w:pPr>
                            <w:bookmarkStart w:id="209" w:name="_Ref495417624"/>
                            <w:bookmarkStart w:id="210" w:name="_Toc496967021"/>
                            <w:bookmarkStart w:id="211" w:name="_Toc17984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bookmarkEnd w:id="209"/>
                            <w:r>
                              <w:rPr>
                                <w:rFonts w:ascii="Arial" w:hAnsi="Arial" w:cs="Arial"/>
                                <w:color w:val="2E74B5"/>
                                <w:sz w:val="18"/>
                              </w:rPr>
                              <w:tab/>
                              <w:t xml:space="preserve"> Historic Eskom tariffs</w:t>
                            </w:r>
                            <w:bookmarkEnd w:id="210"/>
                            <w:bookmarkEnd w:id="211"/>
                          </w:p>
                          <w:p w:rsidR="00540FEA" w:rsidRDefault="00540FEA" w:rsidP="00297A17">
                            <w:pPr>
                              <w:rPr>
                                <w:noProof/>
                              </w:rPr>
                            </w:pPr>
                          </w:p>
                          <w:p w:rsidR="00540FEA" w:rsidRDefault="00540FEA" w:rsidP="00297A17">
                            <w:pPr>
                              <w:rPr>
                                <w:noProof/>
                              </w:rPr>
                            </w:pPr>
                            <w:r w:rsidRPr="00676649">
                              <w:rPr>
                                <w:noProof/>
                              </w:rPr>
                              <w:drawing>
                                <wp:inline distT="0" distB="0" distL="0" distR="0">
                                  <wp:extent cx="6624320" cy="2621280"/>
                                  <wp:effectExtent l="0" t="0" r="0" b="0"/>
                                  <wp:docPr id="22"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6624320" cy="2621280"/>
                                          </a:xfrm>
                                          <a:prstGeom prst="rect">
                                            <a:avLst/>
                                          </a:prstGeom>
                                          <a:noFill/>
                                          <a:ln>
                                            <a:noFill/>
                                          </a:ln>
                                        </pic:spPr>
                                      </pic:pic>
                                    </a:graphicData>
                                  </a:graphic>
                                </wp:inline>
                              </w:drawing>
                            </w:r>
                          </w:p>
                          <w:p w:rsidR="00540FEA" w:rsidRPr="002044AF" w:rsidRDefault="00540FEA" w:rsidP="00297A1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5" o:spid="_x0000_s1035" type="#_x0000_t202" style="position:absolute;left:0;text-align:left;margin-left:-15.1pt;margin-top:60.8pt;width:533.15pt;height:256.8pt;z-index:251618304;visibility:visible;mso-wrap-style:square;mso-width-percent:0;mso-height-percent:0;mso-wrap-distance-left:9pt;mso-wrap-distance-top:5.65pt;mso-wrap-distance-right:9pt;mso-wrap-distance-bottom:8.5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">
                <v:textbox>
                  <w:txbxContent>
                    <w:p w:rsidR="00540FEA" w:rsidRDefault="00540FEA" w:rsidP="00297A17">
                      <w:pPr>
                        <w:pStyle w:val="Caption"/>
                        <w:rPr>
                          <w:rFonts w:ascii="Arial" w:hAnsi="Arial" w:cs="Arial"/>
                          <w:color w:val="2E74B5"/>
                          <w:sz w:val="18"/>
                        </w:rPr>
                      </w:pPr>
                      <w:bookmarkStart w:id="237" w:name="_Ref495417624"/>
                      <w:bookmarkStart w:id="238" w:name="_Toc496967021"/>
                      <w:bookmarkStart w:id="239" w:name="_Toc17984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20</w:t>
                      </w:r>
                      <w:r w:rsidRPr="00A21E05">
                        <w:rPr>
                          <w:rFonts w:ascii="Arial" w:hAnsi="Arial" w:cs="Arial"/>
                          <w:color w:val="2E74B5"/>
                          <w:sz w:val="18"/>
                        </w:rPr>
                        <w:fldChar w:fldCharType="end"/>
                      </w:r>
                      <w:bookmarkEnd w:id="237"/>
                      <w:r>
                        <w:rPr>
                          <w:rFonts w:ascii="Arial" w:hAnsi="Arial" w:cs="Arial"/>
                          <w:color w:val="2E74B5"/>
                          <w:sz w:val="18"/>
                        </w:rPr>
                        <w:tab/>
                        <w:t xml:space="preserve"> Historic Eskom tariffs</w:t>
                      </w:r>
                      <w:bookmarkEnd w:id="238"/>
                      <w:bookmarkEnd w:id="239"/>
                    </w:p>
                    <w:p w:rsidR="00540FEA" w:rsidRDefault="00540FEA" w:rsidP="00297A17">
                      <w:pPr>
                        <w:rPr>
                          <w:noProof/>
                        </w:rPr>
                      </w:pPr>
                    </w:p>
                    <w:p w:rsidR="00540FEA" w:rsidRDefault="00540FEA" w:rsidP="00297A17">
                      <w:pPr>
                        <w:rPr>
                          <w:noProof/>
                        </w:rPr>
                      </w:pPr>
                      <w:r w:rsidRPr="00676649">
                        <w:rPr>
                          <w:noProof/>
                        </w:rPr>
                        <w:drawing>
                          <wp:inline distT="0" distB="0" distL="0" distR="0">
                            <wp:extent cx="6624320" cy="2621280"/>
                            <wp:effectExtent l="0" t="0" r="0" b="0"/>
                            <wp:docPr id="22"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6624320" cy="2621280"/>
                                    </a:xfrm>
                                    <a:prstGeom prst="rect">
                                      <a:avLst/>
                                    </a:prstGeom>
                                    <a:noFill/>
                                    <a:ln>
                                      <a:noFill/>
                                    </a:ln>
                                  </pic:spPr>
                                </pic:pic>
                              </a:graphicData>
                            </a:graphic>
                          </wp:inline>
                        </w:drawing>
                      </w:r>
                    </w:p>
                    <w:p w:rsidR="00540FEA" w:rsidRPr="002044AF" w:rsidRDefault="00540FEA" w:rsidP="00297A17">
                      <w:pPr>
                        <w:rPr>
                          <w:sz w:val="18"/>
                        </w:rPr>
                      </w:pPr>
                      <w:r w:rsidRPr="00A21E05">
                        <w:rPr>
                          <w:i/>
                          <w:noProof/>
                          <w:sz w:val="18"/>
                        </w:rPr>
                        <w:t>Source:</w:t>
                      </w:r>
                      <w:r>
                        <w:rPr>
                          <w:noProof/>
                          <w:sz w:val="18"/>
                        </w:rPr>
                        <w:t xml:space="preserve"> Eskom website (2017)</w:t>
                      </w:r>
                    </w:p>
                  </w:txbxContent>
                </v:textbox>
                <w10:wrap type="topAndBottom" anchorx="margin" anchory="page"/>
              </v:shape>
            </w:pict>
          </mc:Fallback>
        </mc:AlternateContent>
      </w:r>
      <w:r w:rsidR="00297A17" w:rsidRPr="0057545E">
        <w:rPr>
          <w:lang w:val="en-GB" w:eastAsia="en-GB"/>
        </w:rPr>
        <w:t>Distribution activities were unbundled from Eskom in 2003 and the creation of Regional Electricity Distributors (REDs) was begun under the newly-formed</w:t>
      </w:r>
      <w:bookmarkStart w:id="212" w:name="_Hlk496982202"/>
      <w:r w:rsidR="00297A17" w:rsidRPr="00353542">
        <w:rPr>
          <w:lang w:val="en-GB" w:eastAsia="en-GB"/>
        </w:rPr>
        <w:t xml:space="preserve"> Electricit</w:t>
      </w:r>
      <w:r w:rsidR="00297A17" w:rsidRPr="003B7D62">
        <w:rPr>
          <w:lang w:val="en-GB" w:eastAsia="en-GB"/>
        </w:rPr>
        <w:t>y Distribution Industry Holding Company</w:t>
      </w:r>
      <w:bookmarkEnd w:id="212"/>
      <w:r w:rsidR="00297A17" w:rsidRPr="003B7D62">
        <w:rPr>
          <w:lang w:val="en-GB" w:eastAsia="en-GB"/>
        </w:rPr>
        <w:t xml:space="preserve"> (</w:t>
      </w:r>
      <w:r w:rsidR="00297A17" w:rsidRPr="003B7D62">
        <w:rPr>
          <w:noProof/>
          <w:lang w:val="en-GB" w:eastAsia="en-GB"/>
        </w:rPr>
        <w:t>EDIH</w:t>
      </w:r>
      <w:r w:rsidR="00297A17" w:rsidRPr="003B7D62">
        <w:rPr>
          <w:lang w:val="en-GB" w:eastAsia="en-GB"/>
        </w:rPr>
        <w:t xml:space="preserve">). In 2010, after </w:t>
      </w:r>
      <w:proofErr w:type="gramStart"/>
      <w:r w:rsidR="00297A17" w:rsidRPr="003B7D62">
        <w:rPr>
          <w:lang w:val="en-GB" w:eastAsia="en-GB"/>
        </w:rPr>
        <w:t>a number of</w:t>
      </w:r>
      <w:proofErr w:type="gramEnd"/>
      <w:r w:rsidR="00297A17" w:rsidRPr="003B7D62">
        <w:rPr>
          <w:lang w:val="en-GB" w:eastAsia="en-GB"/>
        </w:rPr>
        <w:t xml:space="preserve"> issues relating to backlogs and poor performance, Cabinet decided to terminate the electricity distribution industry restructuring and to discontinue the process of creat</w:t>
      </w:r>
      <w:r w:rsidR="00297A17" w:rsidRPr="004722F0">
        <w:rPr>
          <w:lang w:val="en-GB" w:eastAsia="en-GB"/>
        </w:rPr>
        <w:t>ing ‘region</w:t>
      </w:r>
      <w:r w:rsidR="00297A17" w:rsidRPr="00666B27">
        <w:rPr>
          <w:lang w:val="en-GB" w:eastAsia="en-GB"/>
        </w:rPr>
        <w:t xml:space="preserve">al energy distributors’ with immediate effect. </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Power distribution is now in the hands of Eskom (212,107 GWh in 2012), serving 4.848 million customers, private distributors (13,581 GWh), serving 2.047 customers and 178 NERSA-licensed municipal distributors, serving 26.638 million customers (96, 537 GWh)</w:t>
      </w:r>
      <w:r w:rsidR="0079723A" w:rsidRPr="0057545E">
        <w:rPr>
          <w:rStyle w:val="FootnoteReference"/>
          <w:lang w:val="en-GB" w:eastAsia="en-GB"/>
        </w:rPr>
        <w:footnoteReference w:id="37"/>
      </w:r>
      <w:r w:rsidRPr="0057545E">
        <w:rPr>
          <w:lang w:val="en-GB" w:eastAsia="en-GB"/>
        </w:rPr>
        <w:t xml:space="preserve">. Eskom still supplies directly to large consumers (mines and large industries), commercial farmers and, through the Integrated National Electrification Programme (INEP), to </w:t>
      </w:r>
      <w:proofErr w:type="gramStart"/>
      <w:r w:rsidRPr="0057545E">
        <w:rPr>
          <w:lang w:val="en-GB" w:eastAsia="en-GB"/>
        </w:rPr>
        <w:t>a large number of</w:t>
      </w:r>
      <w:proofErr w:type="gramEnd"/>
      <w:r w:rsidRPr="0057545E">
        <w:rPr>
          <w:lang w:val="en-GB" w:eastAsia="en-GB"/>
        </w:rPr>
        <w:t xml:space="preserve"> res</w:t>
      </w:r>
      <w:r w:rsidRPr="00353542">
        <w:rPr>
          <w:lang w:val="en-GB" w:eastAsia="en-GB"/>
        </w:rPr>
        <w:t>idential co</w:t>
      </w:r>
      <w:r w:rsidRPr="003B7D62">
        <w:rPr>
          <w:lang w:val="en-GB" w:eastAsia="en-GB"/>
        </w:rPr>
        <w:t xml:space="preserve">nsumers. </w:t>
      </w:r>
      <w:r w:rsidR="002E16CD" w:rsidRPr="004722F0">
        <w:rPr>
          <w:lang w:val="en-GB" w:eastAsia="en-GB"/>
        </w:rPr>
        <w:t>M</w:t>
      </w:r>
      <w:r w:rsidRPr="00666B27">
        <w:rPr>
          <w:lang w:val="en-GB" w:eastAsia="en-GB"/>
        </w:rPr>
        <w:t>unicipalities buy electricity from Eskom at a tariff set by the National Energy Regulator of South Africa (NERSA) and aim to offer electricity at a competitive price, with efficient service.</w:t>
      </w:r>
    </w:p>
    <w:p w:rsidR="00322B04" w:rsidRPr="00666B27" w:rsidRDefault="00322B04"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Institutional framework for energy efficiency</w:t>
      </w:r>
    </w:p>
    <w:p w:rsidR="00297A17" w:rsidRPr="00666B27" w:rsidRDefault="00297A17" w:rsidP="00297A17">
      <w:pPr>
        <w:spacing w:after="0"/>
        <w:rPr>
          <w:lang w:val="en-GB" w:eastAsia="en-GB"/>
        </w:rPr>
      </w:pPr>
    </w:p>
    <w:p w:rsidR="00297A17" w:rsidRPr="00666B27" w:rsidRDefault="00297A17" w:rsidP="00297A17">
      <w:pPr>
        <w:spacing w:after="0"/>
        <w:rPr>
          <w:b/>
          <w:lang w:val="en-GB" w:eastAsia="en-GB"/>
        </w:rPr>
      </w:pPr>
      <w:r w:rsidRPr="00666B27">
        <w:rPr>
          <w:b/>
          <w:lang w:val="en-GB" w:eastAsia="en-GB"/>
        </w:rPr>
        <w:t>National government:</w:t>
      </w:r>
    </w:p>
    <w:p w:rsidR="00297A17" w:rsidRPr="00666B27" w:rsidRDefault="00297A17" w:rsidP="00731F0C">
      <w:pPr>
        <w:numPr>
          <w:ilvl w:val="0"/>
          <w:numId w:val="23"/>
        </w:numPr>
        <w:spacing w:before="60" w:after="0"/>
        <w:ind w:left="284" w:hanging="284"/>
        <w:rPr>
          <w:b/>
          <w:lang w:val="en-GB" w:eastAsia="en-GB"/>
        </w:rPr>
      </w:pPr>
      <w:r w:rsidRPr="00666B27">
        <w:rPr>
          <w:i/>
          <w:lang w:val="en-GB" w:eastAsia="en-GB"/>
        </w:rPr>
        <w:t xml:space="preserve">National Treasury </w:t>
      </w:r>
      <w:r w:rsidRPr="00666B27">
        <w:rPr>
          <w:lang w:val="en-GB" w:eastAsia="en-GB"/>
        </w:rPr>
        <w:t>provides funding to all ministries, based on applications made by them.</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 xml:space="preserve">The </w:t>
      </w:r>
      <w:r w:rsidRPr="00666B27">
        <w:rPr>
          <w:i/>
          <w:lang w:val="en-GB" w:eastAsia="en-GB"/>
        </w:rPr>
        <w:t>Department of Energy (DoE)</w:t>
      </w:r>
      <w:r w:rsidRPr="00666B27">
        <w:rPr>
          <w:lang w:val="en-GB" w:eastAsia="en-GB"/>
        </w:rPr>
        <w:t xml:space="preserve"> is the custodian of all energy policies and energy security in South Africa. The Department of Energy is the primary government institution responsible for energy regulation. </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 xml:space="preserve">The </w:t>
      </w:r>
      <w:r w:rsidRPr="00666B27">
        <w:rPr>
          <w:i/>
          <w:lang w:val="en-GB" w:eastAsia="en-GB"/>
        </w:rPr>
        <w:t>Department of Environmental Affairs (DEA)</w:t>
      </w:r>
      <w:r w:rsidRPr="00666B27">
        <w:rPr>
          <w:lang w:val="en-GB" w:eastAsia="en-GB"/>
        </w:rPr>
        <w:t xml:space="preserve"> is responsible for protecting, conserving and improving the South African environment and natural resou</w:t>
      </w:r>
      <w:r w:rsidR="00B64B4D" w:rsidRPr="00666B27">
        <w:rPr>
          <w:lang w:val="en-GB" w:eastAsia="en-GB"/>
        </w:rPr>
        <w:t xml:space="preserve">rces. Within DEA there </w:t>
      </w:r>
      <w:r w:rsidR="00322B04" w:rsidRPr="00666B27">
        <w:rPr>
          <w:lang w:val="en-GB" w:eastAsia="en-GB"/>
        </w:rPr>
        <w:t xml:space="preserve">is </w:t>
      </w:r>
      <w:r w:rsidR="00B64B4D" w:rsidRPr="00666B27">
        <w:rPr>
          <w:lang w:val="en-GB" w:eastAsia="en-GB"/>
        </w:rPr>
        <w:t xml:space="preserve">one </w:t>
      </w:r>
      <w:r w:rsidRPr="00666B27">
        <w:rPr>
          <w:lang w:val="en-GB" w:eastAsia="en-GB"/>
        </w:rPr>
        <w:t xml:space="preserve">branch </w:t>
      </w:r>
      <w:r w:rsidR="00B64B4D" w:rsidRPr="00666B27">
        <w:rPr>
          <w:lang w:val="en-GB" w:eastAsia="en-GB"/>
        </w:rPr>
        <w:t>specifically assigned to deal</w:t>
      </w:r>
      <w:r w:rsidRPr="00666B27">
        <w:rPr>
          <w:lang w:val="en-GB" w:eastAsia="en-GB"/>
        </w:rPr>
        <w:t xml:space="preserve"> with air quality and climate change. </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 xml:space="preserve">The </w:t>
      </w:r>
      <w:r w:rsidRPr="00666B27">
        <w:rPr>
          <w:i/>
          <w:lang w:val="en-GB" w:eastAsia="en-GB"/>
        </w:rPr>
        <w:t>Department of Public Enterprises (DPE)</w:t>
      </w:r>
      <w:r w:rsidRPr="00666B27">
        <w:rPr>
          <w:lang w:val="en-GB" w:eastAsia="en-GB"/>
        </w:rPr>
        <w:t xml:space="preserve"> is responsible for the country’s energy infrastructure, primarily through its responsibility for state-owned entities such as Eskom. The state utility</w:t>
      </w:r>
      <w:r w:rsidRPr="00666B27">
        <w:rPr>
          <w:i/>
          <w:lang w:val="en-GB" w:eastAsia="en-GB"/>
        </w:rPr>
        <w:t xml:space="preserve"> Eskom</w:t>
      </w:r>
      <w:r w:rsidRPr="00666B27">
        <w:rPr>
          <w:lang w:val="en-GB" w:eastAsia="en-GB"/>
        </w:rPr>
        <w:t xml:space="preserve"> currently owns most of the electricity </w:t>
      </w:r>
      <w:r w:rsidR="004A0524" w:rsidRPr="00666B27">
        <w:rPr>
          <w:lang w:val="en-GB" w:eastAsia="en-GB"/>
        </w:rPr>
        <w:t>production and transmission</w:t>
      </w:r>
      <w:r w:rsidRPr="00666B27">
        <w:rPr>
          <w:lang w:val="en-GB" w:eastAsia="en-GB"/>
        </w:rPr>
        <w:t xml:space="preserve"> </w:t>
      </w:r>
      <w:r w:rsidR="004A0524" w:rsidRPr="00666B27">
        <w:rPr>
          <w:lang w:val="en-GB" w:eastAsia="en-GB"/>
        </w:rPr>
        <w:t xml:space="preserve">and </w:t>
      </w:r>
      <w:r w:rsidR="00C45283" w:rsidRPr="00666B27">
        <w:rPr>
          <w:lang w:val="en-GB" w:eastAsia="en-GB"/>
        </w:rPr>
        <w:t xml:space="preserve">a </w:t>
      </w:r>
      <w:r w:rsidR="004A0524" w:rsidRPr="00666B27">
        <w:rPr>
          <w:noProof/>
          <w:lang w:val="en-GB" w:eastAsia="en-GB"/>
        </w:rPr>
        <w:t>large</w:t>
      </w:r>
      <w:r w:rsidR="004A0524" w:rsidRPr="00666B27">
        <w:rPr>
          <w:lang w:val="en-GB" w:eastAsia="en-GB"/>
        </w:rPr>
        <w:t xml:space="preserve"> part of the</w:t>
      </w:r>
      <w:r w:rsidRPr="00666B27">
        <w:rPr>
          <w:lang w:val="en-GB" w:eastAsia="en-GB"/>
        </w:rPr>
        <w:t xml:space="preserve"> distribution infrastructure. </w:t>
      </w:r>
      <w:r w:rsidR="00B64B4D" w:rsidRPr="00666B27">
        <w:rPr>
          <w:lang w:val="en-GB" w:eastAsia="en-GB"/>
        </w:rPr>
        <w:t xml:space="preserve">It </w:t>
      </w:r>
      <w:r w:rsidRPr="00666B27">
        <w:rPr>
          <w:lang w:val="en-GB" w:eastAsia="en-GB"/>
        </w:rPr>
        <w:t>is an essential player in the electricity sector – especially as a delivery vehicle for numerous government programmes, including energy efficiency and demand-</w:t>
      </w:r>
      <w:r w:rsidRPr="00666B27">
        <w:rPr>
          <w:lang w:val="en-GB" w:eastAsia="en-GB"/>
        </w:rPr>
        <w:lastRenderedPageBreak/>
        <w:t xml:space="preserve">side management programmes. Eskom has set up an </w:t>
      </w:r>
      <w:r w:rsidRPr="00666B27">
        <w:rPr>
          <w:i/>
          <w:lang w:val="en-GB" w:eastAsia="en-GB"/>
        </w:rPr>
        <w:t>Integral Demand Management (IDM) division</w:t>
      </w:r>
      <w:r w:rsidRPr="00666B27">
        <w:rPr>
          <w:lang w:val="en-GB" w:eastAsia="en-GB"/>
        </w:rPr>
        <w:t>, formerly known as Demand-side Management (DSM) division</w:t>
      </w:r>
      <w:r w:rsidR="007A2D56" w:rsidRPr="00666B27">
        <w:rPr>
          <w:lang w:val="en-GB" w:eastAsia="en-GB"/>
        </w:rPr>
        <w:t>,</w:t>
      </w:r>
      <w:r w:rsidRPr="00666B27">
        <w:rPr>
          <w:lang w:val="en-GB" w:eastAsia="en-GB"/>
        </w:rPr>
        <w:t xml:space="preserve"> to make deliberate interventions in the marketplace </w:t>
      </w:r>
      <w:proofErr w:type="gramStart"/>
      <w:r w:rsidRPr="00666B27">
        <w:rPr>
          <w:lang w:val="en-GB" w:eastAsia="en-GB"/>
        </w:rPr>
        <w:t>so as to</w:t>
      </w:r>
      <w:proofErr w:type="gramEnd"/>
      <w:r w:rsidRPr="00666B27">
        <w:rPr>
          <w:lang w:val="en-GB" w:eastAsia="en-GB"/>
        </w:rPr>
        <w:t xml:space="preserve"> change the configuration or magnitude of the load shape in the residential, commercial, industrial and agricultural sectors.</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The</w:t>
      </w:r>
      <w:bookmarkStart w:id="213" w:name="_Hlk496982351"/>
      <w:r w:rsidRPr="00666B27">
        <w:rPr>
          <w:lang w:val="en-GB" w:eastAsia="en-GB"/>
        </w:rPr>
        <w:t xml:space="preserve"> </w:t>
      </w:r>
      <w:r w:rsidRPr="00666B27">
        <w:rPr>
          <w:i/>
          <w:lang w:val="en-GB" w:eastAsia="en-GB"/>
        </w:rPr>
        <w:t>South African National Energy Development Institute</w:t>
      </w:r>
      <w:bookmarkEnd w:id="213"/>
      <w:r w:rsidRPr="00666B27">
        <w:rPr>
          <w:i/>
          <w:lang w:val="en-GB" w:eastAsia="en-GB"/>
        </w:rPr>
        <w:t xml:space="preserve"> (SANEDI)</w:t>
      </w:r>
      <w:r w:rsidRPr="00666B27">
        <w:rPr>
          <w:lang w:val="en-GB" w:eastAsia="en-GB"/>
        </w:rPr>
        <w:t>, under DoE, is responsible for achieving the objectives of the National Energy Efficiency Strategy (NEES). SANEDI is the result of the merger of the two public research agencies South African National Energy Research Institute (SANERI) and National Energy Efficiency Agency (NEEA) in 2011.</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 xml:space="preserve">The </w:t>
      </w:r>
      <w:r w:rsidRPr="00666B27">
        <w:rPr>
          <w:i/>
          <w:lang w:val="en-GB" w:eastAsia="en-GB"/>
        </w:rPr>
        <w:t xml:space="preserve">National Energy Regulator of South Africa (NERSA) was </w:t>
      </w:r>
      <w:r w:rsidRPr="00666B27">
        <w:rPr>
          <w:lang w:val="en-GB" w:eastAsia="en-GB"/>
        </w:rPr>
        <w:t xml:space="preserve">established in terms of the National Energy Regulator Act of </w:t>
      </w:r>
      <w:r w:rsidRPr="00666B27">
        <w:rPr>
          <w:noProof/>
          <w:lang w:val="en-GB" w:eastAsia="en-GB"/>
        </w:rPr>
        <w:t>2004,</w:t>
      </w:r>
      <w:r w:rsidRPr="00666B27">
        <w:rPr>
          <w:lang w:val="en-GB" w:eastAsia="en-GB"/>
        </w:rPr>
        <w:t xml:space="preserve"> and is mandated to regulate South Africa's electricity, piped gas and petroleum industries and to collect levies from people holding title to gas and petroleum. National Energy Regulator of South Africa is of </w:t>
      </w:r>
      <w:proofErr w:type="gramStart"/>
      <w:r w:rsidRPr="00666B27">
        <w:rPr>
          <w:lang w:val="en-GB" w:eastAsia="en-GB"/>
        </w:rPr>
        <w:t>particular importance</w:t>
      </w:r>
      <w:proofErr w:type="gramEnd"/>
      <w:r w:rsidRPr="00666B27">
        <w:rPr>
          <w:lang w:val="en-GB" w:eastAsia="en-GB"/>
        </w:rPr>
        <w:t xml:space="preserve"> as it sets and approves the annual Eskom tariff, and issues licenses for power producers and distributors</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The</w:t>
      </w:r>
      <w:r w:rsidRPr="00666B27">
        <w:rPr>
          <w:i/>
          <w:lang w:val="en-GB" w:eastAsia="en-GB"/>
        </w:rPr>
        <w:t xml:space="preserve"> </w:t>
      </w:r>
      <w:bookmarkStart w:id="214" w:name="_Hlk496982372"/>
      <w:r w:rsidRPr="00666B27">
        <w:rPr>
          <w:i/>
          <w:lang w:val="en-GB" w:eastAsia="en-GB"/>
        </w:rPr>
        <w:t>Department of Trade and Industry</w:t>
      </w:r>
      <w:bookmarkEnd w:id="214"/>
      <w:r w:rsidRPr="00666B27">
        <w:rPr>
          <w:i/>
          <w:lang w:val="en-GB" w:eastAsia="en-GB"/>
        </w:rPr>
        <w:t xml:space="preserve"> (DTI)</w:t>
      </w:r>
      <w:r w:rsidRPr="00666B27">
        <w:rPr>
          <w:lang w:val="en-GB" w:eastAsia="en-GB"/>
        </w:rPr>
        <w:t xml:space="preserve"> is one of the biggest government ministries, and acts as a catalyst for the transformation and the development of the economy, in support of the government's economic goals of growth, employment, and equity. </w:t>
      </w:r>
      <w:r w:rsidR="0079723A" w:rsidRPr="00666B27">
        <w:rPr>
          <w:lang w:val="en-GB" w:eastAsia="en-GB"/>
        </w:rPr>
        <w:t xml:space="preserve">DTI’s mandate is to </w:t>
      </w:r>
      <w:r w:rsidRPr="00666B27">
        <w:rPr>
          <w:lang w:val="en-GB" w:eastAsia="en-GB"/>
        </w:rPr>
        <w:t>respond</w:t>
      </w:r>
      <w:r w:rsidR="0079723A" w:rsidRPr="00666B27">
        <w:rPr>
          <w:lang w:val="en-GB" w:eastAsia="en-GB"/>
        </w:rPr>
        <w:t>\</w:t>
      </w:r>
      <w:r w:rsidRPr="00666B27">
        <w:rPr>
          <w:lang w:val="en-GB" w:eastAsia="en-GB"/>
        </w:rPr>
        <w:t xml:space="preserve"> to challenges and opportunities in the economy and society </w:t>
      </w:r>
      <w:proofErr w:type="gramStart"/>
      <w:r w:rsidRPr="00666B27">
        <w:rPr>
          <w:lang w:val="en-GB" w:eastAsia="en-GB"/>
        </w:rPr>
        <w:t>as a whole and</w:t>
      </w:r>
      <w:proofErr w:type="gramEnd"/>
      <w:r w:rsidRPr="00666B27">
        <w:rPr>
          <w:lang w:val="en-GB" w:eastAsia="en-GB"/>
        </w:rPr>
        <w:t xml:space="preserve"> provides a predictable, competitive, equitable and socially responsible environment for investment, enterprise and trade. The following </w:t>
      </w:r>
      <w:r w:rsidRPr="00666B27">
        <w:rPr>
          <w:noProof/>
          <w:lang w:val="en-GB" w:eastAsia="en-GB"/>
        </w:rPr>
        <w:t>organisations</w:t>
      </w:r>
      <w:r w:rsidRPr="00666B27">
        <w:rPr>
          <w:lang w:val="en-GB" w:eastAsia="en-GB"/>
        </w:rPr>
        <w:t xml:space="preserve"> fall under DTI:</w:t>
      </w:r>
    </w:p>
    <w:p w:rsidR="00297A17" w:rsidRPr="00666B27" w:rsidRDefault="00297A17" w:rsidP="0079723A">
      <w:pPr>
        <w:numPr>
          <w:ilvl w:val="1"/>
          <w:numId w:val="21"/>
        </w:numPr>
        <w:spacing w:after="0"/>
        <w:ind w:left="567" w:hanging="283"/>
        <w:rPr>
          <w:lang w:val="en-GB" w:eastAsia="en-GB"/>
        </w:rPr>
      </w:pPr>
      <w:r w:rsidRPr="00666B27">
        <w:rPr>
          <w:lang w:val="en-GB" w:eastAsia="en-GB"/>
        </w:rPr>
        <w:t xml:space="preserve">The </w:t>
      </w:r>
      <w:r w:rsidRPr="00666B27">
        <w:rPr>
          <w:i/>
          <w:lang w:val="en-GB" w:eastAsia="en-GB"/>
        </w:rPr>
        <w:t>South African Bureau of Standards (SABS)</w:t>
      </w:r>
      <w:r w:rsidRPr="00666B27">
        <w:rPr>
          <w:lang w:val="en-GB" w:eastAsia="en-GB"/>
        </w:rPr>
        <w:t xml:space="preserve"> is the national standardization organization, and its core function is developing national standards and </w:t>
      </w:r>
      <w:r w:rsidRPr="00666B27">
        <w:rPr>
          <w:noProof/>
          <w:lang w:val="en-GB" w:eastAsia="en-GB"/>
        </w:rPr>
        <w:t>maximising</w:t>
      </w:r>
      <w:r w:rsidRPr="00666B27">
        <w:rPr>
          <w:lang w:val="en-GB" w:eastAsia="en-GB"/>
        </w:rPr>
        <w:t xml:space="preserve"> the benefits of international standards. Public testing facilities fall under the SABS.</w:t>
      </w:r>
      <w:r w:rsidR="0079723A" w:rsidRPr="00666B27">
        <w:rPr>
          <w:lang w:val="en-GB" w:eastAsia="en-GB"/>
        </w:rPr>
        <w:t xml:space="preserve"> National measurement laboratories are housed at the </w:t>
      </w:r>
      <w:r w:rsidR="0079723A" w:rsidRPr="00666B27">
        <w:rPr>
          <w:i/>
          <w:lang w:val="en-GB" w:eastAsia="en-GB"/>
        </w:rPr>
        <w:t>National Metrology Institute of South Africa (NMISA).</w:t>
      </w:r>
    </w:p>
    <w:p w:rsidR="00297A17" w:rsidRPr="00666B27" w:rsidRDefault="00297A17" w:rsidP="00731F0C">
      <w:pPr>
        <w:numPr>
          <w:ilvl w:val="1"/>
          <w:numId w:val="21"/>
        </w:numPr>
        <w:spacing w:after="0"/>
        <w:ind w:left="567" w:hanging="283"/>
        <w:rPr>
          <w:lang w:val="en-GB" w:eastAsia="en-GB"/>
        </w:rPr>
      </w:pPr>
      <w:r w:rsidRPr="00666B27">
        <w:rPr>
          <w:lang w:val="en-GB" w:eastAsia="en-GB"/>
        </w:rPr>
        <w:t>The</w:t>
      </w:r>
      <w:bookmarkStart w:id="215" w:name="_Hlk496982429"/>
      <w:r w:rsidRPr="00666B27">
        <w:rPr>
          <w:i/>
          <w:lang w:val="en-GB" w:eastAsia="en-GB"/>
        </w:rPr>
        <w:t xml:space="preserve"> National Regulator for Compulsory Specifications</w:t>
      </w:r>
      <w:bookmarkEnd w:id="215"/>
      <w:r w:rsidRPr="00666B27">
        <w:rPr>
          <w:lang w:val="en-GB" w:eastAsia="en-GB"/>
        </w:rPr>
        <w:t xml:space="preserve"> (NCRS) was established in 2008 and its role is to ensure that all compulsory specifications, as mandated by law, are adhered to. For this purpose, it also administrates applicable legislation in an independent, effective and efficient way. The MVE (monitoring, verification, enforcement) component of any energy efficiency standards and </w:t>
      </w:r>
      <w:r w:rsidRPr="00666B27">
        <w:rPr>
          <w:noProof/>
          <w:lang w:val="en-GB" w:eastAsia="en-GB"/>
        </w:rPr>
        <w:t>labelling</w:t>
      </w:r>
      <w:r w:rsidRPr="00666B27">
        <w:rPr>
          <w:lang w:val="en-GB" w:eastAsia="en-GB"/>
        </w:rPr>
        <w:t xml:space="preserve"> programme will fall under the NRCS mandate;</w:t>
      </w:r>
    </w:p>
    <w:p w:rsidR="00297A17" w:rsidRPr="00666B27" w:rsidRDefault="00297A17" w:rsidP="00731F0C">
      <w:pPr>
        <w:numPr>
          <w:ilvl w:val="1"/>
          <w:numId w:val="21"/>
        </w:numPr>
        <w:spacing w:after="0"/>
        <w:ind w:left="567" w:hanging="283"/>
        <w:rPr>
          <w:lang w:val="en-GB" w:eastAsia="en-GB"/>
        </w:rPr>
      </w:pPr>
      <w:r w:rsidRPr="00666B27">
        <w:rPr>
          <w:lang w:val="en-GB" w:eastAsia="en-GB"/>
        </w:rPr>
        <w:t xml:space="preserve">The </w:t>
      </w:r>
      <w:bookmarkStart w:id="216" w:name="_Hlk496982408"/>
      <w:r w:rsidRPr="00666B27">
        <w:rPr>
          <w:i/>
          <w:lang w:val="en-GB" w:eastAsia="en-GB"/>
        </w:rPr>
        <w:t>South African National Accreditation Agency</w:t>
      </w:r>
      <w:bookmarkEnd w:id="216"/>
      <w:r w:rsidRPr="00666B27">
        <w:rPr>
          <w:i/>
          <w:lang w:val="en-GB" w:eastAsia="en-GB"/>
        </w:rPr>
        <w:t xml:space="preserve"> (SANAS)</w:t>
      </w:r>
      <w:r w:rsidRPr="00666B27">
        <w:rPr>
          <w:lang w:val="en-GB" w:eastAsia="en-GB"/>
        </w:rPr>
        <w:t xml:space="preserve"> is recognized by the Government as the single National Accreditation Body giving formal recognition that laboratories, certification bodies, inspection bodies, and ‘good laboratory practice’ test facilities are competent to carry out specific tasks. SANAS is responsible for the accreditation of certification bodies under ISO 17021 and 17024; laboratories under ISO 17025; and inspection bodies under ISO 17020 standards.</w:t>
      </w:r>
    </w:p>
    <w:p w:rsidR="00297A17" w:rsidRPr="00666B27" w:rsidRDefault="00297A17" w:rsidP="00297A17">
      <w:pPr>
        <w:spacing w:after="0"/>
        <w:rPr>
          <w:lang w:val="en-GB" w:eastAsia="en-GB"/>
        </w:rPr>
      </w:pPr>
    </w:p>
    <w:p w:rsidR="00297A17" w:rsidRPr="00666B27" w:rsidRDefault="00297A17" w:rsidP="00297A17">
      <w:pPr>
        <w:spacing w:after="0"/>
        <w:rPr>
          <w:b/>
          <w:lang w:val="en-GB" w:eastAsia="en-GB"/>
        </w:rPr>
      </w:pPr>
      <w:r w:rsidRPr="00666B27">
        <w:rPr>
          <w:b/>
          <w:lang w:val="en-GB" w:eastAsia="en-GB"/>
        </w:rPr>
        <w:t xml:space="preserve">Local government and </w:t>
      </w:r>
      <w:r w:rsidRPr="00666B27">
        <w:rPr>
          <w:b/>
          <w:noProof/>
          <w:lang w:val="en-GB" w:eastAsia="en-GB"/>
        </w:rPr>
        <w:t>organisations</w:t>
      </w:r>
      <w:r w:rsidRPr="00666B27">
        <w:rPr>
          <w:b/>
          <w:lang w:val="en-GB" w:eastAsia="en-GB"/>
        </w:rPr>
        <w:t>:</w:t>
      </w:r>
    </w:p>
    <w:p w:rsidR="00297A17" w:rsidRPr="00666B27" w:rsidRDefault="00297A17" w:rsidP="00731F0C">
      <w:pPr>
        <w:numPr>
          <w:ilvl w:val="0"/>
          <w:numId w:val="21"/>
        </w:numPr>
        <w:tabs>
          <w:tab w:val="left" w:pos="284"/>
        </w:tabs>
        <w:spacing w:before="60" w:after="0"/>
        <w:ind w:left="284" w:hanging="284"/>
        <w:rPr>
          <w:lang w:val="en-GB" w:eastAsia="en-GB"/>
        </w:rPr>
      </w:pPr>
      <w:r w:rsidRPr="00666B27">
        <w:rPr>
          <w:lang w:val="en-GB" w:eastAsia="en-GB"/>
        </w:rPr>
        <w:t xml:space="preserve">South Africa </w:t>
      </w:r>
      <w:r w:rsidRPr="00666B27">
        <w:rPr>
          <w:noProof/>
          <w:lang w:val="en-GB" w:eastAsia="en-GB"/>
        </w:rPr>
        <w:t>is divided</w:t>
      </w:r>
      <w:r w:rsidRPr="00666B27">
        <w:rPr>
          <w:lang w:val="en-GB" w:eastAsia="en-GB"/>
        </w:rPr>
        <w:t xml:space="preserve"> administratively into 9 </w:t>
      </w:r>
      <w:r w:rsidRPr="00666B27">
        <w:rPr>
          <w:i/>
          <w:lang w:val="en-GB" w:eastAsia="en-GB"/>
        </w:rPr>
        <w:t>provinces</w:t>
      </w:r>
      <w:r w:rsidRPr="00666B27">
        <w:rPr>
          <w:lang w:val="en-GB" w:eastAsia="en-GB"/>
        </w:rPr>
        <w:t xml:space="preserve">. </w:t>
      </w:r>
      <w:r w:rsidRPr="00666B27">
        <w:rPr>
          <w:i/>
          <w:lang w:val="en-GB" w:eastAsia="en-GB"/>
        </w:rPr>
        <w:t xml:space="preserve">Local (municipal) governments </w:t>
      </w:r>
      <w:r w:rsidRPr="00666B27">
        <w:rPr>
          <w:lang w:val="en-GB" w:eastAsia="en-GB"/>
        </w:rPr>
        <w:t>form the third tier of government (after national and provincial government</w:t>
      </w:r>
      <w:proofErr w:type="gramStart"/>
      <w:r w:rsidRPr="00666B27">
        <w:rPr>
          <w:lang w:val="en-GB" w:eastAsia="en-GB"/>
        </w:rPr>
        <w:t>), and</w:t>
      </w:r>
      <w:proofErr w:type="gramEnd"/>
      <w:r w:rsidRPr="00666B27">
        <w:rPr>
          <w:lang w:val="en-GB" w:eastAsia="en-GB"/>
        </w:rPr>
        <w:t xml:space="preserve"> is the arm of government closest to many electricity end-users Municipalities are responsible for a large portion of electricity distribution in the country. Local government is </w:t>
      </w:r>
      <w:r w:rsidR="0079723A" w:rsidRPr="00666B27">
        <w:rPr>
          <w:lang w:val="en-GB" w:eastAsia="en-GB"/>
        </w:rPr>
        <w:t xml:space="preserve">implemented </w:t>
      </w:r>
      <w:r w:rsidRPr="00666B27">
        <w:rPr>
          <w:lang w:val="en-GB" w:eastAsia="en-GB"/>
        </w:rPr>
        <w:t xml:space="preserve">through 8 metropolitan municipalities (comprising the largest </w:t>
      </w:r>
      <w:r w:rsidRPr="00666B27">
        <w:rPr>
          <w:noProof/>
          <w:lang w:val="en-GB" w:eastAsia="en-GB"/>
        </w:rPr>
        <w:t>urbanised</w:t>
      </w:r>
      <w:r w:rsidRPr="00666B27">
        <w:rPr>
          <w:lang w:val="en-GB" w:eastAsia="en-GB"/>
        </w:rPr>
        <w:t xml:space="preserve"> and </w:t>
      </w:r>
      <w:r w:rsidRPr="00666B27">
        <w:rPr>
          <w:noProof/>
          <w:lang w:val="en-GB" w:eastAsia="en-GB"/>
        </w:rPr>
        <w:t>industrialised</w:t>
      </w:r>
      <w:r w:rsidRPr="00666B27">
        <w:rPr>
          <w:lang w:val="en-GB" w:eastAsia="en-GB"/>
        </w:rPr>
        <w:t xml:space="preserve"> </w:t>
      </w:r>
      <w:r w:rsidRPr="00666B27">
        <w:rPr>
          <w:noProof/>
          <w:lang w:val="en-GB" w:eastAsia="en-GB"/>
        </w:rPr>
        <w:t>centres</w:t>
      </w:r>
      <w:r w:rsidRPr="00666B27">
        <w:rPr>
          <w:lang w:val="en-GB" w:eastAsia="en-GB"/>
        </w:rPr>
        <w:t>)</w:t>
      </w:r>
      <w:r w:rsidR="0079723A" w:rsidRPr="00666B27">
        <w:rPr>
          <w:lang w:val="en-GB" w:eastAsia="en-GB"/>
        </w:rPr>
        <w:t>.</w:t>
      </w:r>
      <w:r w:rsidRPr="00666B27">
        <w:rPr>
          <w:lang w:val="en-GB" w:eastAsia="en-GB"/>
        </w:rPr>
        <w:t xml:space="preserve"> Outside the metropolitan areas, the local government mandate is pursued by two-tier local government: 228 local municipalities that are grouped into 44 district municipalities.</w:t>
      </w:r>
    </w:p>
    <w:p w:rsidR="00297A17" w:rsidRPr="00353542" w:rsidRDefault="00297A17" w:rsidP="00731F0C">
      <w:pPr>
        <w:numPr>
          <w:ilvl w:val="0"/>
          <w:numId w:val="21"/>
        </w:numPr>
        <w:tabs>
          <w:tab w:val="left" w:pos="284"/>
        </w:tabs>
        <w:spacing w:before="60" w:after="0"/>
        <w:ind w:left="284" w:hanging="284"/>
        <w:rPr>
          <w:lang w:val="en-GB" w:eastAsia="en-GB"/>
        </w:rPr>
      </w:pPr>
      <w:r w:rsidRPr="00666B27">
        <w:rPr>
          <w:lang w:val="en-GB" w:eastAsia="en-GB"/>
        </w:rPr>
        <w:t xml:space="preserve">The </w:t>
      </w:r>
      <w:r w:rsidRPr="00666B27">
        <w:rPr>
          <w:i/>
          <w:lang w:val="en-GB" w:eastAsia="en-GB"/>
        </w:rPr>
        <w:t>South African Cities Network (SACN)</w:t>
      </w:r>
      <w:r w:rsidRPr="00666B27">
        <w:rPr>
          <w:lang w:val="en-GB" w:eastAsia="en-GB"/>
        </w:rPr>
        <w:t xml:space="preserve"> is an established network of South African cities and partners that encourages the exchange of information, experience and best practices on urban development and city management. One working area of SACN is ‘sustainable cities’, with the focus areas of ‘sustainable energy’, ‘waste management’, ‘water management’ and ‘climate change’.  SACN has issued </w:t>
      </w:r>
      <w:proofErr w:type="gramStart"/>
      <w:r w:rsidRPr="00666B27">
        <w:rPr>
          <w:lang w:val="en-GB" w:eastAsia="en-GB"/>
        </w:rPr>
        <w:t>a number of</w:t>
      </w:r>
      <w:proofErr w:type="gramEnd"/>
      <w:r w:rsidRPr="00666B27">
        <w:rPr>
          <w:lang w:val="en-GB" w:eastAsia="en-GB"/>
        </w:rPr>
        <w:t xml:space="preserve"> publications regarding energy use in cities</w:t>
      </w:r>
      <w:r w:rsidRPr="0057545E">
        <w:rPr>
          <w:vertAlign w:val="superscript"/>
          <w:lang w:val="en-GB" w:eastAsia="en-GB"/>
        </w:rPr>
        <w:footnoteReference w:id="38"/>
      </w:r>
      <w:r w:rsidRPr="0057545E">
        <w:rPr>
          <w:lang w:val="en-GB" w:eastAsia="en-GB"/>
        </w:rPr>
        <w:t>.</w:t>
      </w:r>
    </w:p>
    <w:p w:rsidR="00297A17" w:rsidRPr="00353542" w:rsidRDefault="00297A17" w:rsidP="00731F0C">
      <w:pPr>
        <w:numPr>
          <w:ilvl w:val="0"/>
          <w:numId w:val="21"/>
        </w:numPr>
        <w:tabs>
          <w:tab w:val="left" w:pos="284"/>
        </w:tabs>
        <w:spacing w:before="60" w:after="0"/>
        <w:ind w:left="284" w:hanging="284"/>
        <w:rPr>
          <w:lang w:val="en-GB" w:eastAsia="en-GB"/>
        </w:rPr>
      </w:pPr>
      <w:r w:rsidRPr="003B7D62">
        <w:rPr>
          <w:lang w:val="en-GB" w:eastAsia="en-GB"/>
        </w:rPr>
        <w:t>The</w:t>
      </w:r>
      <w:bookmarkStart w:id="218" w:name="_Hlk496982494"/>
      <w:r w:rsidRPr="003B7D62">
        <w:rPr>
          <w:lang w:val="en-GB" w:eastAsia="en-GB"/>
        </w:rPr>
        <w:t xml:space="preserve"> </w:t>
      </w:r>
      <w:r w:rsidRPr="003B7D62">
        <w:rPr>
          <w:i/>
          <w:lang w:val="en-GB" w:eastAsia="en-GB"/>
        </w:rPr>
        <w:t>Association of Mun</w:t>
      </w:r>
      <w:r w:rsidRPr="004722F0">
        <w:rPr>
          <w:i/>
          <w:lang w:val="en-GB" w:eastAsia="en-GB"/>
        </w:rPr>
        <w:t>icipal Electrical Utilitie</w:t>
      </w:r>
      <w:bookmarkEnd w:id="218"/>
      <w:r w:rsidRPr="004722F0">
        <w:rPr>
          <w:i/>
          <w:lang w:val="en-GB" w:eastAsia="en-GB"/>
        </w:rPr>
        <w:t>s (AMEU)</w:t>
      </w:r>
      <w:r w:rsidRPr="00666B27">
        <w:rPr>
          <w:lang w:val="en-GB" w:eastAsia="en-GB"/>
        </w:rPr>
        <w:t xml:space="preserve"> is an association of municipal electricity distributors as well as national, parastatal, commercial, academic and other </w:t>
      </w:r>
      <w:r w:rsidRPr="00666B27">
        <w:rPr>
          <w:noProof/>
          <w:lang w:val="en-GB" w:eastAsia="en-GB"/>
        </w:rPr>
        <w:t>organisations</w:t>
      </w:r>
      <w:r w:rsidRPr="00666B27">
        <w:rPr>
          <w:lang w:val="en-GB" w:eastAsia="en-GB"/>
        </w:rPr>
        <w:t xml:space="preserve"> that have a direct interest in the electricity supply industry in Southern Africa</w:t>
      </w:r>
      <w:r w:rsidRPr="0057545E">
        <w:rPr>
          <w:vertAlign w:val="superscript"/>
          <w:lang w:val="en-GB" w:eastAsia="en-GB"/>
        </w:rPr>
        <w:footnoteReference w:id="39"/>
      </w:r>
      <w:r w:rsidRPr="0057545E">
        <w:rPr>
          <w:lang w:val="en-GB" w:eastAsia="en-GB"/>
        </w:rPr>
        <w:t>;</w:t>
      </w:r>
    </w:p>
    <w:p w:rsidR="008D0E78" w:rsidRPr="00666B27" w:rsidRDefault="008D0E78" w:rsidP="008D0E78">
      <w:pPr>
        <w:numPr>
          <w:ilvl w:val="0"/>
          <w:numId w:val="21"/>
        </w:numPr>
        <w:tabs>
          <w:tab w:val="left" w:pos="284"/>
        </w:tabs>
        <w:spacing w:before="60" w:after="0"/>
        <w:ind w:left="284" w:hanging="284"/>
        <w:rPr>
          <w:lang w:val="en-GB" w:eastAsia="en-GB"/>
        </w:rPr>
      </w:pPr>
      <w:r w:rsidRPr="00353542">
        <w:rPr>
          <w:lang w:val="en-GB" w:eastAsia="en-GB"/>
        </w:rPr>
        <w:lastRenderedPageBreak/>
        <w:t xml:space="preserve">Municipalities have </w:t>
      </w:r>
      <w:r w:rsidRPr="003B7D62">
        <w:rPr>
          <w:noProof/>
          <w:lang w:val="en-GB" w:eastAsia="en-GB"/>
        </w:rPr>
        <w:t>organised</w:t>
      </w:r>
      <w:r w:rsidRPr="003B7D62">
        <w:rPr>
          <w:lang w:val="en-GB" w:eastAsia="en-GB"/>
        </w:rPr>
        <w:t xml:space="preserve"> themselves in the </w:t>
      </w:r>
      <w:r w:rsidRPr="004722F0">
        <w:rPr>
          <w:i/>
          <w:lang w:val="en-GB" w:eastAsia="en-GB"/>
        </w:rPr>
        <w:t xml:space="preserve">South </w:t>
      </w:r>
      <w:r w:rsidRPr="00666B27">
        <w:rPr>
          <w:i/>
          <w:lang w:val="en-GB" w:eastAsia="en-GB"/>
        </w:rPr>
        <w:t xml:space="preserve">African Local Government Association (SALGA). </w:t>
      </w:r>
      <w:r w:rsidRPr="00666B27">
        <w:rPr>
          <w:lang w:val="en-GB" w:eastAsia="en-GB"/>
        </w:rPr>
        <w:t xml:space="preserve"> SALGA has set up ‘knowledge hubs’ to service its members, of which one focuses on ‘energy efficiency and renewable energy’.</w:t>
      </w:r>
    </w:p>
    <w:p w:rsidR="00297A17" w:rsidRPr="00666B27" w:rsidRDefault="00297A17" w:rsidP="00297A17">
      <w:pPr>
        <w:spacing w:after="0"/>
        <w:rPr>
          <w:lang w:val="en-GB" w:eastAsia="en-GB"/>
        </w:rPr>
      </w:pPr>
    </w:p>
    <w:p w:rsidR="00297A17" w:rsidRPr="00666B27" w:rsidRDefault="00297A17" w:rsidP="00297A17">
      <w:pPr>
        <w:spacing w:after="0"/>
        <w:rPr>
          <w:b/>
          <w:lang w:val="en-GB" w:eastAsia="en-GB"/>
        </w:rPr>
      </w:pPr>
      <w:r w:rsidRPr="00666B27">
        <w:rPr>
          <w:b/>
          <w:lang w:val="en-GB" w:eastAsia="en-GB"/>
        </w:rPr>
        <w:t>Development and commercial banks</w:t>
      </w:r>
    </w:p>
    <w:p w:rsidR="003A0751" w:rsidRPr="00666B27" w:rsidRDefault="00297A17" w:rsidP="00182F08">
      <w:pPr>
        <w:numPr>
          <w:ilvl w:val="0"/>
          <w:numId w:val="24"/>
        </w:numPr>
        <w:spacing w:after="0"/>
        <w:ind w:left="284" w:hanging="284"/>
        <w:rPr>
          <w:lang w:val="en-GB" w:eastAsia="en-GB"/>
        </w:rPr>
      </w:pPr>
      <w:r w:rsidRPr="00666B27">
        <w:rPr>
          <w:lang w:val="en-GB" w:eastAsia="en-GB"/>
        </w:rPr>
        <w:t xml:space="preserve">The </w:t>
      </w:r>
      <w:r w:rsidRPr="00666B27">
        <w:rPr>
          <w:i/>
          <w:lang w:val="en-GB" w:eastAsia="en-GB"/>
        </w:rPr>
        <w:t xml:space="preserve">Development Bank of South Africa (DBSA) </w:t>
      </w:r>
      <w:r w:rsidRPr="00666B27">
        <w:rPr>
          <w:lang w:val="en-GB" w:eastAsia="en-GB"/>
        </w:rPr>
        <w:t>is a state-owned financing inst</w:t>
      </w:r>
      <w:r w:rsidR="00B64B4D" w:rsidRPr="00666B27">
        <w:rPr>
          <w:lang w:val="en-GB" w:eastAsia="en-GB"/>
        </w:rPr>
        <w:t xml:space="preserve">itution, whose main </w:t>
      </w:r>
      <w:r w:rsidRPr="00666B27">
        <w:rPr>
          <w:lang w:val="en-GB" w:eastAsia="en-GB"/>
        </w:rPr>
        <w:t xml:space="preserve">purpose is to promote economic development and growth, improve the quality of lives of people and promote regional integration in the (southern) African region through infrastructure finance and development. The DBSA provides planning, financing and implementation support to municipalities in sectors that include water and sanitation, electricity, roads, and </w:t>
      </w:r>
      <w:r w:rsidR="00B64B4D" w:rsidRPr="00666B27">
        <w:rPr>
          <w:lang w:val="en-GB" w:eastAsia="en-GB"/>
        </w:rPr>
        <w:t>telecommunication networks.</w:t>
      </w:r>
      <w:r w:rsidR="007F0998" w:rsidRPr="00666B27">
        <w:rPr>
          <w:lang w:val="en-GB" w:eastAsia="en-GB"/>
        </w:rPr>
        <w:t xml:space="preserve"> </w:t>
      </w:r>
      <w:r w:rsidRPr="00666B27">
        <w:rPr>
          <w:lang w:val="en-GB" w:eastAsia="en-GB"/>
        </w:rPr>
        <w:t>DBSA’s approach to the municipal sector is to strengthen the capacity of under-resourced municipalities in areas such as project planning, preparation, and packaging, to increase focus on areas with the biggest unfunded gap through project origination initiatives and to providing affordable funding through development subsidies to secondary municipalities and under-resourced municipalities. For this purpose, it has grouped country’s municipalities in secondary (market, M2) and under-resourced (M3) municipalities, in which ‘market 2’ consists of about 27 large and 19 secondary cities (that generally have a moderate to strong economic base and ability to raise capital), 44 districts (that in general tend to attract little interest from commercial; banks and require support in project identification a</w:t>
      </w:r>
      <w:r w:rsidR="00CD3228" w:rsidRPr="00666B27">
        <w:rPr>
          <w:lang w:val="en-GB" w:eastAsia="en-GB"/>
        </w:rPr>
        <w:t>nd preparation planning), and ‘</w:t>
      </w:r>
      <w:r w:rsidRPr="00666B27">
        <w:rPr>
          <w:lang w:val="en-GB" w:eastAsia="en-GB"/>
        </w:rPr>
        <w:t>market 3’  is formed by 190 small towns and rural municipalities (with usually a weak economic base, little ability to raise capital and requiring extensive support in all aspects of infrastructure project delivery, planning and implementation).</w:t>
      </w:r>
    </w:p>
    <w:p w:rsidR="00297A17" w:rsidRPr="00666B27" w:rsidRDefault="00297A17" w:rsidP="00731F0C">
      <w:pPr>
        <w:numPr>
          <w:ilvl w:val="0"/>
          <w:numId w:val="24"/>
        </w:numPr>
        <w:spacing w:before="60" w:after="0"/>
        <w:ind w:left="284" w:hanging="284"/>
        <w:rPr>
          <w:lang w:val="en-GB" w:eastAsia="en-GB"/>
        </w:rPr>
      </w:pPr>
      <w:r w:rsidRPr="00666B27">
        <w:rPr>
          <w:lang w:val="en-GB" w:eastAsia="en-GB"/>
        </w:rPr>
        <w:t>The</w:t>
      </w:r>
      <w:r w:rsidRPr="00666B27">
        <w:rPr>
          <w:i/>
          <w:lang w:val="en-GB" w:eastAsia="en-GB"/>
        </w:rPr>
        <w:t xml:space="preserve"> Industrial Development Corporation</w:t>
      </w:r>
      <w:r w:rsidRPr="00666B27">
        <w:rPr>
          <w:lang w:val="en-GB" w:eastAsia="en-GB"/>
        </w:rPr>
        <w:t xml:space="preserve"> is the state-owned national development finance institution set up to promote economic growth and industrial development. The IDC's funding is generated through income from loan and equity investments and exits from mature investments, as well as borrowings from commercial banks, development finance institutions (DFIs) and other lenders. The IDC funds start-up and existing businesses with a minimum funding requirement of R1 million and a maximum of R1 billion, by means of debt, equity, guarantees, bridging finance and venture capital. Energy is one of IDC’s industrial infrastructure strategic priorities. IDC has provided support to the country’s Renewable Energy Independent </w:t>
      </w:r>
      <w:r w:rsidR="0079723A" w:rsidRPr="00666B27">
        <w:rPr>
          <w:lang w:val="en-GB" w:eastAsia="en-GB"/>
        </w:rPr>
        <w:t>Power</w:t>
      </w:r>
      <w:r w:rsidRPr="00666B27">
        <w:rPr>
          <w:lang w:val="en-GB" w:eastAsia="en-GB"/>
        </w:rPr>
        <w:t xml:space="preserve"> Producer Programme (REIPPPP). </w:t>
      </w:r>
    </w:p>
    <w:p w:rsidR="00297A17" w:rsidRPr="00666B27" w:rsidRDefault="00297A17" w:rsidP="00297A17">
      <w:pPr>
        <w:spacing w:after="0"/>
        <w:rPr>
          <w:lang w:val="en-GB" w:eastAsia="en-GB"/>
        </w:rPr>
      </w:pPr>
    </w:p>
    <w:p w:rsidR="00297A17" w:rsidRPr="00666B27" w:rsidRDefault="00297A17" w:rsidP="00297A17">
      <w:pPr>
        <w:spacing w:after="0"/>
        <w:rPr>
          <w:b/>
          <w:lang w:val="en-GB" w:eastAsia="en-GB"/>
        </w:rPr>
      </w:pPr>
      <w:r w:rsidRPr="00666B27">
        <w:rPr>
          <w:b/>
          <w:lang w:val="en-GB" w:eastAsia="en-GB"/>
        </w:rPr>
        <w:t xml:space="preserve">NGOs and private sector </w:t>
      </w:r>
      <w:r w:rsidRPr="00666B27">
        <w:rPr>
          <w:b/>
          <w:noProof/>
          <w:lang w:val="en-GB" w:eastAsia="en-GB"/>
        </w:rPr>
        <w:t>organisations</w:t>
      </w:r>
      <w:r w:rsidRPr="00666B27">
        <w:rPr>
          <w:b/>
          <w:lang w:val="en-GB" w:eastAsia="en-GB"/>
        </w:rPr>
        <w:t>:</w:t>
      </w:r>
    </w:p>
    <w:p w:rsidR="00297A17" w:rsidRPr="00666B27" w:rsidRDefault="00297A17" w:rsidP="00731F0C">
      <w:pPr>
        <w:numPr>
          <w:ilvl w:val="0"/>
          <w:numId w:val="21"/>
        </w:numPr>
        <w:spacing w:before="60" w:after="0"/>
        <w:ind w:left="284" w:hanging="284"/>
        <w:rPr>
          <w:lang w:val="en-GB" w:eastAsia="en-GB"/>
        </w:rPr>
      </w:pPr>
      <w:r w:rsidRPr="00666B27">
        <w:rPr>
          <w:lang w:val="en-GB" w:eastAsia="en-GB"/>
        </w:rPr>
        <w:t xml:space="preserve">The </w:t>
      </w:r>
      <w:r w:rsidRPr="00666B27">
        <w:rPr>
          <w:i/>
          <w:lang w:val="en-GB" w:eastAsia="en-GB"/>
        </w:rPr>
        <w:t>e-Waste Association of South Africa (</w:t>
      </w:r>
      <w:proofErr w:type="spellStart"/>
      <w:r w:rsidRPr="00666B27">
        <w:rPr>
          <w:i/>
          <w:noProof/>
          <w:lang w:val="en-GB" w:eastAsia="en-GB"/>
        </w:rPr>
        <w:t>eWASA</w:t>
      </w:r>
      <w:proofErr w:type="spellEnd"/>
      <w:r w:rsidRPr="00666B27">
        <w:rPr>
          <w:i/>
          <w:lang w:val="en-GB" w:eastAsia="en-GB"/>
        </w:rPr>
        <w:t>)</w:t>
      </w:r>
      <w:r w:rsidRPr="00666B27">
        <w:rPr>
          <w:lang w:val="en-GB" w:eastAsia="en-GB"/>
        </w:rPr>
        <w:t xml:space="preserve"> is working with stakeholders and interested parties to establish a sustainable environmentally sound e-waste management system. Electronic and electrical waste (e-waste) includes ICT equipment, consumer electronics, small household appliances and large household appliances, including lamps and lighting devices. Some e-waste can be considered hazardous waste. For example, mercury is one of the most toxic, yet widely used metals in the production of electrical and electronic applications (mercury </w:t>
      </w:r>
      <w:r w:rsidRPr="00666B27">
        <w:rPr>
          <w:noProof/>
          <w:lang w:val="en-GB" w:eastAsia="en-GB"/>
        </w:rPr>
        <w:t>vapour</w:t>
      </w:r>
      <w:r w:rsidRPr="00666B27">
        <w:rPr>
          <w:lang w:val="en-GB" w:eastAsia="en-GB"/>
        </w:rPr>
        <w:t xml:space="preserve"> and fluorescent lamps). </w:t>
      </w:r>
    </w:p>
    <w:p w:rsidR="00297A17" w:rsidRPr="00666B27" w:rsidRDefault="00297A17" w:rsidP="00731F0C">
      <w:pPr>
        <w:numPr>
          <w:ilvl w:val="0"/>
          <w:numId w:val="6"/>
        </w:numPr>
        <w:spacing w:after="0"/>
        <w:ind w:left="284" w:hanging="284"/>
        <w:rPr>
          <w:lang w:val="en-GB" w:eastAsia="en-GB"/>
        </w:rPr>
      </w:pPr>
      <w:r w:rsidRPr="00666B27">
        <w:rPr>
          <w:lang w:val="en-GB" w:eastAsia="en-GB"/>
        </w:rPr>
        <w:t xml:space="preserve">The </w:t>
      </w:r>
      <w:r w:rsidRPr="00666B27">
        <w:rPr>
          <w:i/>
          <w:lang w:val="en-GB" w:eastAsia="en-GB"/>
        </w:rPr>
        <w:t>National Business Initiative (NBI)</w:t>
      </w:r>
      <w:r w:rsidRPr="00666B27">
        <w:rPr>
          <w:lang w:val="en-GB" w:eastAsia="en-GB"/>
        </w:rPr>
        <w:t>, is a voluntary coalition of South African and multinational companies, working towards sustainable growth and development in South Africa, including environmental sustainability. Its, now discontinued, Private Sector Energy Efficiency (PSEE) programme identified and facilitated the implementation of the energy saving opportunities.</w:t>
      </w:r>
    </w:p>
    <w:p w:rsidR="00297A17" w:rsidRPr="00666B27" w:rsidRDefault="00297A17" w:rsidP="00297A17">
      <w:pPr>
        <w:spacing w:after="0"/>
        <w:rPr>
          <w:b/>
          <w:lang w:val="en-GB" w:eastAsia="en-GB"/>
        </w:rPr>
      </w:pPr>
    </w:p>
    <w:p w:rsidR="00297A17" w:rsidRPr="00666B27" w:rsidRDefault="00297A17" w:rsidP="00297A17">
      <w:pPr>
        <w:spacing w:after="0"/>
        <w:rPr>
          <w:b/>
          <w:lang w:val="en-GB" w:eastAsia="en-GB"/>
        </w:rPr>
      </w:pPr>
      <w:r w:rsidRPr="00666B27">
        <w:rPr>
          <w:b/>
          <w:lang w:val="en-GB" w:eastAsia="en-GB"/>
        </w:rPr>
        <w:t>International cooperation</w:t>
      </w:r>
      <w:r w:rsidRPr="00666B27">
        <w:rPr>
          <w:lang w:val="en-GB" w:eastAsia="en-GB"/>
        </w:rPr>
        <w:t xml:space="preserve"> (relevant to the topics of LEDs and power distribution):</w:t>
      </w:r>
    </w:p>
    <w:p w:rsidR="00297A17" w:rsidRPr="00666B27" w:rsidRDefault="00297A17" w:rsidP="00731F0C">
      <w:pPr>
        <w:numPr>
          <w:ilvl w:val="0"/>
          <w:numId w:val="6"/>
        </w:numPr>
        <w:spacing w:before="60" w:after="0"/>
        <w:ind w:left="284" w:hanging="284"/>
        <w:rPr>
          <w:lang w:val="en-GB" w:eastAsia="en-GB"/>
        </w:rPr>
      </w:pPr>
      <w:r w:rsidRPr="00666B27">
        <w:rPr>
          <w:lang w:val="en-GB" w:eastAsia="en-GB"/>
        </w:rPr>
        <w:t xml:space="preserve">The Swiss </w:t>
      </w:r>
      <w:r w:rsidRPr="00666B27">
        <w:rPr>
          <w:i/>
          <w:lang w:val="en-GB" w:eastAsia="en-GB"/>
        </w:rPr>
        <w:t xml:space="preserve">Secretariat for Economic Affairs (SECO) </w:t>
      </w:r>
      <w:r w:rsidRPr="00666B27">
        <w:rPr>
          <w:lang w:val="en-GB" w:eastAsia="en-GB"/>
        </w:rPr>
        <w:t xml:space="preserve">supports ‘climate-friendly and green growth through the development of a low-carbon in South Africa with as sub-priorities a ‘resource-rich private sector’ and ‘sustainable energy’, including the </w:t>
      </w:r>
      <w:r w:rsidR="00182F08" w:rsidRPr="00666B27">
        <w:rPr>
          <w:lang w:val="en-GB" w:eastAsia="en-GB"/>
        </w:rPr>
        <w:t>promotion of</w:t>
      </w:r>
      <w:r w:rsidRPr="00666B27">
        <w:rPr>
          <w:lang w:val="en-GB" w:eastAsia="en-GB"/>
        </w:rPr>
        <w:t xml:space="preserve"> sustainable and clean technologies, especially in energy, but also water and waste; energy efficiency and cleaner production.</w:t>
      </w:r>
    </w:p>
    <w:p w:rsidR="00AF49B9" w:rsidRPr="00666B27" w:rsidRDefault="00297A17" w:rsidP="00731F0C">
      <w:pPr>
        <w:numPr>
          <w:ilvl w:val="0"/>
          <w:numId w:val="6"/>
        </w:numPr>
        <w:spacing w:before="60" w:after="0"/>
        <w:ind w:left="284" w:hanging="284"/>
        <w:rPr>
          <w:lang w:val="en-GB" w:eastAsia="en-GB"/>
        </w:rPr>
      </w:pPr>
      <w:r w:rsidRPr="00666B27">
        <w:rPr>
          <w:lang w:val="en-GB" w:eastAsia="en-GB"/>
        </w:rPr>
        <w:t xml:space="preserve">The German government </w:t>
      </w:r>
      <w:r w:rsidR="00BD2EA5" w:rsidRPr="00666B27">
        <w:rPr>
          <w:lang w:val="en-GB" w:eastAsia="en-GB"/>
        </w:rPr>
        <w:t xml:space="preserve">development </w:t>
      </w:r>
      <w:r w:rsidRPr="00666B27">
        <w:rPr>
          <w:lang w:val="en-GB" w:eastAsia="en-GB"/>
        </w:rPr>
        <w:t xml:space="preserve">agency </w:t>
      </w:r>
      <w:r w:rsidRPr="00666B27">
        <w:rPr>
          <w:i/>
          <w:lang w:val="en-GB" w:eastAsia="en-GB"/>
        </w:rPr>
        <w:t>GIZ</w:t>
      </w:r>
      <w:r w:rsidRPr="00666B27">
        <w:rPr>
          <w:lang w:val="en-GB" w:eastAsia="en-GB"/>
        </w:rPr>
        <w:t xml:space="preserve"> has launched the South African-German Energy Programme (SAGEN), in cooperation with DoE and SANEDI, focussing on renewable energy and energy efficiency. The budget for Phase 1 (2011-14) was </w:t>
      </w:r>
      <w:r w:rsidR="00182F08" w:rsidRPr="00666B27">
        <w:rPr>
          <w:lang w:val="en-GB" w:eastAsia="en-GB"/>
        </w:rPr>
        <w:t>EUR</w:t>
      </w:r>
      <w:r w:rsidRPr="00666B27">
        <w:rPr>
          <w:lang w:val="en-GB" w:eastAsia="en-GB"/>
        </w:rPr>
        <w:t xml:space="preserve"> 12 million and now Phase 2 will be implemented until 2010.  Regarding energy efficiency, activities have been a) institutional capacity development and support to national EE incentive programmes, such as DoE’s Municipal DSM (</w:t>
      </w:r>
      <w:r w:rsidR="00322B04" w:rsidRPr="00666B27">
        <w:rPr>
          <w:lang w:val="en-GB" w:eastAsia="en-GB"/>
        </w:rPr>
        <w:t xml:space="preserve">MEESM, </w:t>
      </w:r>
      <w:r w:rsidRPr="00666B27">
        <w:rPr>
          <w:lang w:val="en-GB" w:eastAsia="en-GB"/>
        </w:rPr>
        <w:t>see further in the text), support to selected demonstration projects, such as the street lighting retrofit project (see further) and strengthening of investments in energy efficiency, for instance through the development of a market for ESCOs (</w:t>
      </w:r>
      <w:r w:rsidR="00182F08" w:rsidRPr="00666B27">
        <w:rPr>
          <w:lang w:val="en-GB" w:eastAsia="en-GB"/>
        </w:rPr>
        <w:t>energy service companies</w:t>
      </w:r>
      <w:r w:rsidRPr="00666B27">
        <w:rPr>
          <w:lang w:val="en-GB" w:eastAsia="en-GB"/>
        </w:rPr>
        <w:t xml:space="preserve">). With DEA, GIZ has been supporting the Climate Support Programme (CSP) during 2013-17. For example, the mitigation potential has been determined for different sectors of </w:t>
      </w:r>
      <w:r w:rsidRPr="00666B27">
        <w:rPr>
          <w:lang w:val="en-GB" w:eastAsia="en-GB"/>
        </w:rPr>
        <w:lastRenderedPageBreak/>
        <w:t>the economy, such as energy, industry, and transport, and mitigation targets have been set and approved by the Cabinet. Supported by GIZ and the NAMA Support Facility, the V-NAMA “Energy Efficiency in Public Building</w:t>
      </w:r>
      <w:r w:rsidR="00322B04" w:rsidRPr="00666B27">
        <w:rPr>
          <w:lang w:val="en-GB" w:eastAsia="en-GB"/>
        </w:rPr>
        <w:t xml:space="preserve"> and Infrastructure Programme (EEBIP)</w:t>
      </w:r>
      <w:r w:rsidR="00330818" w:rsidRPr="00666B27">
        <w:rPr>
          <w:lang w:val="en-GB" w:eastAsia="en-GB"/>
        </w:rPr>
        <w:t>”</w:t>
      </w:r>
      <w:r w:rsidR="00322B04" w:rsidRPr="00666B27">
        <w:rPr>
          <w:lang w:val="en-GB" w:eastAsia="en-GB"/>
        </w:rPr>
        <w:t xml:space="preserve"> </w:t>
      </w:r>
      <w:r w:rsidRPr="00666B27">
        <w:rPr>
          <w:lang w:val="en-GB" w:eastAsia="en-GB"/>
        </w:rPr>
        <w:t xml:space="preserve">was </w:t>
      </w:r>
      <w:r w:rsidR="00322B04" w:rsidRPr="00666B27">
        <w:rPr>
          <w:lang w:val="en-GB" w:eastAsia="en-GB"/>
        </w:rPr>
        <w:t>formulated during 2</w:t>
      </w:r>
      <w:r w:rsidRPr="00666B27">
        <w:rPr>
          <w:lang w:val="en-GB" w:eastAsia="en-GB"/>
        </w:rPr>
        <w:t>012-2015</w:t>
      </w:r>
      <w:r w:rsidR="00BD2EA5" w:rsidRPr="00666B27">
        <w:rPr>
          <w:lang w:val="en-GB" w:eastAsia="en-GB"/>
        </w:rPr>
        <w:t xml:space="preserve"> and will be implemented during 201</w:t>
      </w:r>
      <w:r w:rsidR="00182F08" w:rsidRPr="00666B27">
        <w:rPr>
          <w:lang w:val="en-GB" w:eastAsia="en-GB"/>
        </w:rPr>
        <w:t>9</w:t>
      </w:r>
      <w:r w:rsidR="00BD2EA5" w:rsidRPr="00666B27">
        <w:rPr>
          <w:lang w:val="en-GB" w:eastAsia="en-GB"/>
        </w:rPr>
        <w:t>-202</w:t>
      </w:r>
      <w:r w:rsidR="00182F08" w:rsidRPr="00666B27">
        <w:rPr>
          <w:lang w:val="en-GB" w:eastAsia="en-GB"/>
        </w:rPr>
        <w:t>3</w:t>
      </w:r>
      <w:r w:rsidR="00BD2EA5" w:rsidRPr="00666B27">
        <w:rPr>
          <w:lang w:val="en-GB" w:eastAsia="en-GB"/>
        </w:rPr>
        <w:t xml:space="preserve"> with </w:t>
      </w:r>
      <w:r w:rsidR="00BD2EA5" w:rsidRPr="00666B27">
        <w:rPr>
          <w:noProof/>
          <w:lang w:val="en-GB" w:eastAsia="en-GB"/>
        </w:rPr>
        <w:t>an EUR</w:t>
      </w:r>
      <w:r w:rsidR="00BD2EA5" w:rsidRPr="00666B27">
        <w:rPr>
          <w:lang w:val="en-GB" w:eastAsia="en-GB"/>
        </w:rPr>
        <w:t xml:space="preserve"> 20 million budget </w:t>
      </w:r>
      <w:r w:rsidR="00CD3228" w:rsidRPr="00666B27">
        <w:rPr>
          <w:lang w:val="en-GB" w:eastAsia="en-GB"/>
        </w:rPr>
        <w:t>(discussed further in Section E</w:t>
      </w:r>
      <w:r w:rsidRPr="00666B27">
        <w:rPr>
          <w:lang w:val="en-GB" w:eastAsia="en-GB"/>
        </w:rPr>
        <w:t>.3).</w:t>
      </w:r>
    </w:p>
    <w:p w:rsidR="00297A17" w:rsidRPr="00666B27" w:rsidRDefault="00297A17" w:rsidP="00731F0C">
      <w:pPr>
        <w:numPr>
          <w:ilvl w:val="0"/>
          <w:numId w:val="6"/>
        </w:numPr>
        <w:spacing w:before="60" w:after="0"/>
        <w:ind w:left="284" w:hanging="284"/>
        <w:rPr>
          <w:lang w:val="en-GB" w:eastAsia="en-GB"/>
        </w:rPr>
      </w:pPr>
      <w:r w:rsidRPr="00666B27">
        <w:rPr>
          <w:lang w:val="en-GB" w:eastAsia="en-GB"/>
        </w:rPr>
        <w:t xml:space="preserve">With the aim of strengthening the development of renewable and energy efficiency markets, the French </w:t>
      </w:r>
      <w:r w:rsidRPr="00666B27">
        <w:rPr>
          <w:i/>
          <w:lang w:val="en-GB" w:eastAsia="en-GB"/>
        </w:rPr>
        <w:t>Development Agency (ADF)</w:t>
      </w:r>
      <w:r w:rsidR="00CD3228" w:rsidRPr="00666B27">
        <w:rPr>
          <w:lang w:val="en-GB" w:eastAsia="en-GB"/>
        </w:rPr>
        <w:t xml:space="preserve"> has provided a EUR</w:t>
      </w:r>
      <w:r w:rsidRPr="00666B27">
        <w:rPr>
          <w:lang w:val="en-GB" w:eastAsia="en-GB"/>
        </w:rPr>
        <w:t xml:space="preserve"> 120 million green credit facility (concessional loan) to the Industrial Development Corporation (IDC) and the two banks (Absa and Nedbank) for the financing of RE and EE projects. Besides, AFD is setting up a technical assistance facility with SANEDI to support the participating banks in the use of the credit facility by organizing dissemination workshops or by providing them with expertise for the savings verification for example. </w:t>
      </w:r>
    </w:p>
    <w:p w:rsidR="00297A17" w:rsidRPr="00666B27" w:rsidRDefault="00297A17" w:rsidP="00731F0C">
      <w:pPr>
        <w:numPr>
          <w:ilvl w:val="0"/>
          <w:numId w:val="6"/>
        </w:numPr>
        <w:spacing w:before="60" w:after="0"/>
        <w:ind w:left="284" w:hanging="284"/>
        <w:rPr>
          <w:lang w:val="en-GB" w:eastAsia="en-GB"/>
        </w:rPr>
      </w:pPr>
      <w:r w:rsidRPr="00666B27">
        <w:rPr>
          <w:lang w:val="en-GB" w:eastAsia="en-GB"/>
        </w:rPr>
        <w:t xml:space="preserve">The Danish-South Africa Energy Partnership Program is being phased out. There are still </w:t>
      </w:r>
      <w:proofErr w:type="gramStart"/>
      <w:r w:rsidRPr="00666B27">
        <w:rPr>
          <w:lang w:val="en-GB" w:eastAsia="en-GB"/>
        </w:rPr>
        <w:t>a number of</w:t>
      </w:r>
      <w:proofErr w:type="gramEnd"/>
      <w:r w:rsidRPr="00666B27">
        <w:rPr>
          <w:lang w:val="en-GB" w:eastAsia="en-GB"/>
        </w:rPr>
        <w:t xml:space="preserve"> ongoing DANIDA projects waiting to be finalized according to the project plans, where Denmark provides support to strategic areas. The programme has provided technical assistance to DOE in renewable energy (e.g. wind energy) and, in energy efficiency, has supported the development of the Efficiency Strategy (NEES) and Action Plan, the EE awareness campaign, development of a centralized smart metering management and monitoring system, and a study to identify, assess and design a market based economic incentive(s) for energy efficiency appliances in South Africa (see further).</w:t>
      </w:r>
    </w:p>
    <w:p w:rsidR="00297A17" w:rsidRPr="00666B27" w:rsidRDefault="00297A17" w:rsidP="00297A17">
      <w:pPr>
        <w:spacing w:after="0"/>
        <w:rPr>
          <w:lang w:val="en-GB" w:eastAsia="en-GB"/>
        </w:rPr>
      </w:pPr>
      <w:bookmarkStart w:id="219" w:name="_Hlk536210002"/>
    </w:p>
    <w:p w:rsidR="00297A17" w:rsidRPr="00666B27" w:rsidRDefault="00297A17" w:rsidP="00297A17">
      <w:pPr>
        <w:spacing w:after="0"/>
        <w:rPr>
          <w:u w:val="single"/>
          <w:lang w:val="en-GB" w:eastAsia="en-GB"/>
        </w:rPr>
      </w:pPr>
      <w:r w:rsidRPr="00666B27">
        <w:rPr>
          <w:u w:val="single"/>
          <w:lang w:val="en-GB" w:eastAsia="en-GB"/>
        </w:rPr>
        <w:t>Relevant policy, legislation and regulation</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In </w:t>
      </w:r>
      <w:r w:rsidRPr="00666B27">
        <w:rPr>
          <w:noProof/>
          <w:lang w:val="en-GB" w:eastAsia="en-GB"/>
        </w:rPr>
        <w:t>recent</w:t>
      </w:r>
      <w:r w:rsidRPr="00666B27">
        <w:rPr>
          <w:lang w:val="en-GB" w:eastAsia="en-GB"/>
        </w:rPr>
        <w:t xml:space="preserve"> </w:t>
      </w:r>
      <w:r w:rsidRPr="00666B27">
        <w:rPr>
          <w:noProof/>
          <w:lang w:val="en-GB" w:eastAsia="en-GB"/>
        </w:rPr>
        <w:t>years</w:t>
      </w:r>
      <w:r w:rsidRPr="00666B27">
        <w:rPr>
          <w:lang w:val="en-GB" w:eastAsia="en-GB"/>
        </w:rPr>
        <w:t xml:space="preserve"> South Africa developed a considerable energy policy framework, including the mandatory S&amp;L programme for 12 appliance groups. Important with respect to energy efficiency are the following</w:t>
      </w:r>
      <w:r w:rsidRPr="00666B27">
        <w:rPr>
          <w:b/>
          <w:lang w:val="en-GB" w:eastAsia="en-GB"/>
        </w:rPr>
        <w:t xml:space="preserve"> policies and national plans</w:t>
      </w:r>
      <w:r w:rsidRPr="00666B27">
        <w:rPr>
          <w:lang w:val="en-GB" w:eastAsia="en-GB"/>
        </w:rPr>
        <w:t>:</w:t>
      </w:r>
    </w:p>
    <w:p w:rsidR="00297A17" w:rsidRPr="00666B27" w:rsidRDefault="00297A17" w:rsidP="00731F0C">
      <w:pPr>
        <w:numPr>
          <w:ilvl w:val="0"/>
          <w:numId w:val="21"/>
        </w:numPr>
        <w:spacing w:before="60" w:after="0"/>
        <w:ind w:left="284" w:hanging="284"/>
        <w:rPr>
          <w:lang w:val="en-GB" w:eastAsia="en-GB"/>
        </w:rPr>
      </w:pPr>
      <w:r w:rsidRPr="00666B27">
        <w:rPr>
          <w:i/>
          <w:lang w:val="en-GB" w:eastAsia="en-GB"/>
        </w:rPr>
        <w:t xml:space="preserve">White Paper on the Energy Policy of the Republic of South Africa 1998. </w:t>
      </w:r>
      <w:r w:rsidRPr="00666B27">
        <w:rPr>
          <w:lang w:val="en-GB" w:eastAsia="en-GB"/>
        </w:rPr>
        <w:t xml:space="preserve">Describes the government’s general policy for the supply and consumption of energy until, approximately, the year 2010. This policy sets out the path for development of renewable energy and </w:t>
      </w:r>
      <w:r w:rsidR="00C45283" w:rsidRPr="00666B27">
        <w:rPr>
          <w:lang w:val="en-GB" w:eastAsia="en-GB"/>
        </w:rPr>
        <w:t xml:space="preserve">the </w:t>
      </w:r>
      <w:r w:rsidRPr="00666B27">
        <w:rPr>
          <w:noProof/>
          <w:lang w:val="en-GB" w:eastAsia="en-GB"/>
        </w:rPr>
        <w:t>improvement</w:t>
      </w:r>
      <w:r w:rsidRPr="00666B27">
        <w:rPr>
          <w:lang w:val="en-GB" w:eastAsia="en-GB"/>
        </w:rPr>
        <w:t xml:space="preserve"> of energy efficiency with the </w:t>
      </w:r>
      <w:proofErr w:type="gramStart"/>
      <w:r w:rsidRPr="00666B27">
        <w:rPr>
          <w:lang w:val="en-GB" w:eastAsia="en-GB"/>
        </w:rPr>
        <w:t>ultimate goal</w:t>
      </w:r>
      <w:proofErr w:type="gramEnd"/>
      <w:r w:rsidRPr="00666B27">
        <w:rPr>
          <w:lang w:val="en-GB" w:eastAsia="en-GB"/>
        </w:rPr>
        <w:t xml:space="preserve"> of reaching a more sustainable energy mix, in order to achieve South Africa’s macro-economic goals. A successor to this policy was released in September 2009 and aims to overhaul the fiscal, legislative and regulatory regimes in the energy sector, to further promote renewable energy development, and reduce carbon emissions.</w:t>
      </w:r>
    </w:p>
    <w:p w:rsidR="00297A17" w:rsidRPr="00666B27" w:rsidRDefault="00297A17" w:rsidP="00731F0C">
      <w:pPr>
        <w:numPr>
          <w:ilvl w:val="0"/>
          <w:numId w:val="21"/>
        </w:numPr>
        <w:spacing w:after="0"/>
        <w:ind w:left="284" w:hanging="284"/>
        <w:rPr>
          <w:lang w:val="en-GB" w:eastAsia="en-GB"/>
        </w:rPr>
      </w:pPr>
      <w:r w:rsidRPr="00666B27">
        <w:rPr>
          <w:i/>
          <w:lang w:val="en-GB" w:eastAsia="en-GB"/>
        </w:rPr>
        <w:t xml:space="preserve">National Energy Efficiency Strategy (NEES, 2015). </w:t>
      </w:r>
      <w:r w:rsidRPr="00666B27">
        <w:rPr>
          <w:lang w:val="en-GB" w:eastAsia="en-GB"/>
        </w:rPr>
        <w:t xml:space="preserve">The draft post-2015 NEES Sets build on the earlier national target (as laid down in the 2008 update of the NEES, 2015) for energy efficiency improvement of 12% provides for </w:t>
      </w:r>
      <w:proofErr w:type="gramStart"/>
      <w:r w:rsidRPr="00666B27">
        <w:rPr>
          <w:lang w:val="en-GB" w:eastAsia="en-GB"/>
        </w:rPr>
        <w:t>a number of</w:t>
      </w:r>
      <w:proofErr w:type="gramEnd"/>
      <w:r w:rsidRPr="00666B27">
        <w:rPr>
          <w:lang w:val="en-GB" w:eastAsia="en-GB"/>
        </w:rPr>
        <w:t xml:space="preserve"> “enabling instruments”</w:t>
      </w:r>
    </w:p>
    <w:p w:rsidR="00297A17" w:rsidRPr="00666B27" w:rsidRDefault="00297A17" w:rsidP="00731F0C">
      <w:pPr>
        <w:numPr>
          <w:ilvl w:val="0"/>
          <w:numId w:val="21"/>
        </w:numPr>
        <w:spacing w:after="0"/>
        <w:ind w:left="284" w:hanging="284"/>
        <w:rPr>
          <w:lang w:val="en-GB" w:eastAsia="en-GB"/>
        </w:rPr>
      </w:pPr>
      <w:r w:rsidRPr="00666B27">
        <w:rPr>
          <w:i/>
          <w:lang w:val="en-GB" w:eastAsia="en-GB"/>
        </w:rPr>
        <w:t>Electricity Regulation Act (Act 4 of 2006</w:t>
      </w:r>
      <w:r w:rsidRPr="00666B27">
        <w:rPr>
          <w:lang w:val="en-GB" w:eastAsia="en-GB"/>
        </w:rPr>
        <w:t xml:space="preserve">). The Act established a national regulatory framework for the electricity supply industry and NERSA as the custodian of this framework. The Act states that NERSA must encourage energy efficiency initiatives. </w:t>
      </w:r>
    </w:p>
    <w:p w:rsidR="00297A17" w:rsidRPr="00666B27" w:rsidRDefault="00297A17" w:rsidP="00731F0C">
      <w:pPr>
        <w:numPr>
          <w:ilvl w:val="0"/>
          <w:numId w:val="21"/>
        </w:numPr>
        <w:spacing w:after="0"/>
        <w:ind w:left="284" w:hanging="284"/>
        <w:rPr>
          <w:lang w:val="en-GB" w:eastAsia="en-GB"/>
        </w:rPr>
      </w:pPr>
      <w:r w:rsidRPr="00666B27">
        <w:rPr>
          <w:lang w:val="en-GB" w:eastAsia="en-GB"/>
        </w:rPr>
        <w:t xml:space="preserve">The </w:t>
      </w:r>
      <w:r w:rsidRPr="00666B27">
        <w:rPr>
          <w:i/>
          <w:lang w:val="en-GB" w:eastAsia="en-GB"/>
        </w:rPr>
        <w:t>National Energy Act (Act 34 of 2008</w:t>
      </w:r>
      <w:r w:rsidRPr="00666B27">
        <w:rPr>
          <w:lang w:val="en-GB" w:eastAsia="en-GB"/>
        </w:rPr>
        <w:t xml:space="preserve">) was legislated to ensure that diverse energy resources are available to the South African economy, in sustainable quantities and at affordable prices, in support of economic growth and poverty alleviation. The Act </w:t>
      </w:r>
      <w:proofErr w:type="gramStart"/>
      <w:r w:rsidRPr="00666B27">
        <w:rPr>
          <w:lang w:val="en-GB" w:eastAsia="en-GB"/>
        </w:rPr>
        <w:t>takes into account</w:t>
      </w:r>
      <w:proofErr w:type="gramEnd"/>
      <w:r w:rsidRPr="00666B27">
        <w:rPr>
          <w:lang w:val="en-GB" w:eastAsia="en-GB"/>
        </w:rPr>
        <w:t xml:space="preserve"> environmental management requirements and interactions among economic sectors. It provides for the development of the </w:t>
      </w:r>
      <w:r w:rsidRPr="00666B27">
        <w:rPr>
          <w:i/>
          <w:lang w:val="en-GB" w:eastAsia="en-GB"/>
        </w:rPr>
        <w:t>Integrated Energy Plan (IEP)</w:t>
      </w:r>
      <w:r w:rsidRPr="00666B27">
        <w:rPr>
          <w:lang w:val="en-GB" w:eastAsia="en-GB"/>
        </w:rPr>
        <w:t xml:space="preserve"> and the formation of SANEDI. The IRP (2010) presents scenarios that set out specific targets for renewable energy and the proposed new-build options including renewables, as well as the energy savings expected from demand-side management programmes.</w:t>
      </w:r>
    </w:p>
    <w:p w:rsidR="00297A17" w:rsidRPr="00666B27" w:rsidRDefault="00297A17" w:rsidP="00731F0C">
      <w:pPr>
        <w:numPr>
          <w:ilvl w:val="0"/>
          <w:numId w:val="21"/>
        </w:numPr>
        <w:spacing w:after="0"/>
        <w:ind w:left="284" w:hanging="284"/>
        <w:rPr>
          <w:lang w:val="en-GB" w:eastAsia="en-GB"/>
        </w:rPr>
      </w:pPr>
      <w:r w:rsidRPr="00666B27">
        <w:rPr>
          <w:lang w:val="en-GB" w:eastAsia="en-GB"/>
        </w:rPr>
        <w:t xml:space="preserve">The </w:t>
      </w:r>
      <w:r w:rsidRPr="00666B27">
        <w:rPr>
          <w:i/>
          <w:lang w:val="en-GB" w:eastAsia="en-GB"/>
        </w:rPr>
        <w:t>Industrial Policy Action Plan (IPAP) 2014/2015</w:t>
      </w:r>
      <w:r w:rsidRPr="00666B27">
        <w:rPr>
          <w:lang w:val="en-GB" w:eastAsia="en-GB"/>
        </w:rPr>
        <w:t xml:space="preserve"> includes the Production Incentive (PI) programme includes a Green Technology Upgrading Grant of between 30-50% for investments in technology and processes that improve energy efficiency and greener production processes.</w:t>
      </w:r>
    </w:p>
    <w:p w:rsidR="00297A17" w:rsidRPr="00666B27" w:rsidRDefault="00297A17" w:rsidP="00731F0C">
      <w:pPr>
        <w:numPr>
          <w:ilvl w:val="0"/>
          <w:numId w:val="21"/>
        </w:numPr>
        <w:spacing w:after="0"/>
        <w:ind w:left="284" w:hanging="284"/>
        <w:rPr>
          <w:i/>
          <w:lang w:val="en-GB" w:eastAsia="en-GB"/>
        </w:rPr>
      </w:pPr>
      <w:r w:rsidRPr="00666B27">
        <w:rPr>
          <w:i/>
          <w:lang w:val="en-GB" w:eastAsia="en-GB"/>
        </w:rPr>
        <w:t>Income Tax Act – regulations on tax allowances for energy efficiency savings</w:t>
      </w:r>
      <w:r w:rsidRPr="00666B27">
        <w:rPr>
          <w:lang w:val="en-GB" w:eastAsia="en-GB"/>
        </w:rPr>
        <w:t>. S12L allows for additional</w:t>
      </w:r>
      <w:r w:rsidRPr="00666B27">
        <w:rPr>
          <w:i/>
          <w:lang w:val="en-GB" w:eastAsia="en-GB"/>
        </w:rPr>
        <w:t xml:space="preserve"> </w:t>
      </w:r>
      <w:r w:rsidRPr="00666B27">
        <w:rPr>
          <w:lang w:val="en-GB" w:eastAsia="en-GB"/>
        </w:rPr>
        <w:t xml:space="preserve">depreciation allowances of up to 55% for greenfield projects over </w:t>
      </w:r>
      <w:r w:rsidR="00896601" w:rsidRPr="00666B27">
        <w:rPr>
          <w:lang w:val="en-GB" w:eastAsia="en-GB"/>
        </w:rPr>
        <w:t>ZA</w:t>
      </w:r>
      <w:r w:rsidRPr="00666B27">
        <w:rPr>
          <w:lang w:val="en-GB" w:eastAsia="en-GB"/>
        </w:rPr>
        <w:t>R 200 million, with energy efficiency savings being one of the rating criteria. S12L provides a tax deduction to a taxpayer who is energy efficient, with a focus on renewable energy. Provisions S12C, S11E and S13 stipulate tax allowances for ESCOs and other compliant businesses that provide for general depreciation of asset allowances.</w:t>
      </w:r>
    </w:p>
    <w:p w:rsidR="00297A17" w:rsidRPr="00666B27" w:rsidRDefault="00297A17" w:rsidP="00731F0C">
      <w:pPr>
        <w:numPr>
          <w:ilvl w:val="0"/>
          <w:numId w:val="21"/>
        </w:numPr>
        <w:spacing w:after="0"/>
        <w:ind w:left="284" w:hanging="284"/>
        <w:rPr>
          <w:lang w:val="en-GB" w:eastAsia="en-GB"/>
        </w:rPr>
      </w:pPr>
      <w:r w:rsidRPr="00666B27">
        <w:rPr>
          <w:lang w:val="en-GB" w:eastAsia="en-GB"/>
        </w:rPr>
        <w:t xml:space="preserve">The </w:t>
      </w:r>
      <w:r w:rsidRPr="00666B27">
        <w:rPr>
          <w:i/>
          <w:lang w:val="en-GB" w:eastAsia="en-GB"/>
        </w:rPr>
        <w:t xml:space="preserve">National Environmental Management Act </w:t>
      </w:r>
      <w:r w:rsidRPr="00666B27">
        <w:rPr>
          <w:lang w:val="en-GB" w:eastAsia="en-GB"/>
        </w:rPr>
        <w:t xml:space="preserve">(Act 107 of 1998) (NEMA) provides a principal framework for sound environmental management practices for all development activities. Waste management is provided for in the Act with principles such as </w:t>
      </w:r>
      <w:r w:rsidR="00896601" w:rsidRPr="00666B27">
        <w:rPr>
          <w:lang w:val="en-GB" w:eastAsia="en-GB"/>
        </w:rPr>
        <w:t>‘</w:t>
      </w:r>
      <w:r w:rsidR="008D0E78" w:rsidRPr="00666B27">
        <w:rPr>
          <w:lang w:val="en-GB" w:eastAsia="en-GB"/>
        </w:rPr>
        <w:t xml:space="preserve">the </w:t>
      </w:r>
      <w:r w:rsidRPr="00666B27">
        <w:rPr>
          <w:lang w:val="en-GB" w:eastAsia="en-GB"/>
        </w:rPr>
        <w:t xml:space="preserve">polluter </w:t>
      </w:r>
      <w:proofErr w:type="gramStart"/>
      <w:r w:rsidRPr="00666B27">
        <w:rPr>
          <w:lang w:val="en-GB" w:eastAsia="en-GB"/>
        </w:rPr>
        <w:t>pays</w:t>
      </w:r>
      <w:r w:rsidR="00896601" w:rsidRPr="00666B27">
        <w:rPr>
          <w:lang w:val="en-GB" w:eastAsia="en-GB"/>
        </w:rPr>
        <w:t>’</w:t>
      </w:r>
      <w:proofErr w:type="gramEnd"/>
      <w:r w:rsidR="00896601" w:rsidRPr="00666B27">
        <w:rPr>
          <w:lang w:val="en-GB" w:eastAsia="en-GB"/>
        </w:rPr>
        <w:t>.</w:t>
      </w:r>
    </w:p>
    <w:p w:rsidR="00297A17" w:rsidRPr="00666B27" w:rsidRDefault="00297A17" w:rsidP="00731F0C">
      <w:pPr>
        <w:numPr>
          <w:ilvl w:val="0"/>
          <w:numId w:val="21"/>
        </w:numPr>
        <w:spacing w:after="0"/>
        <w:ind w:left="284" w:hanging="284"/>
        <w:rPr>
          <w:lang w:val="en-GB" w:eastAsia="en-GB"/>
        </w:rPr>
      </w:pPr>
      <w:r w:rsidRPr="00666B27">
        <w:rPr>
          <w:lang w:val="en-GB" w:eastAsia="en-GB"/>
        </w:rPr>
        <w:lastRenderedPageBreak/>
        <w:t>It is envisaged that a</w:t>
      </w:r>
      <w:r w:rsidRPr="00666B27">
        <w:rPr>
          <w:i/>
          <w:lang w:val="en-GB" w:eastAsia="en-GB"/>
        </w:rPr>
        <w:t xml:space="preserve"> </w:t>
      </w:r>
      <w:r w:rsidR="00896601" w:rsidRPr="00666B27">
        <w:rPr>
          <w:i/>
          <w:lang w:val="en-GB" w:eastAsia="en-GB"/>
        </w:rPr>
        <w:t>C</w:t>
      </w:r>
      <w:r w:rsidRPr="00666B27">
        <w:rPr>
          <w:i/>
          <w:lang w:val="en-GB" w:eastAsia="en-GB"/>
        </w:rPr>
        <w:t xml:space="preserve">arbon </w:t>
      </w:r>
      <w:r w:rsidR="00896601" w:rsidRPr="00666B27">
        <w:rPr>
          <w:i/>
          <w:lang w:val="en-GB" w:eastAsia="en-GB"/>
        </w:rPr>
        <w:t>T</w:t>
      </w:r>
      <w:r w:rsidRPr="00666B27">
        <w:rPr>
          <w:i/>
          <w:lang w:val="en-GB" w:eastAsia="en-GB"/>
        </w:rPr>
        <w:t xml:space="preserve">ax </w:t>
      </w:r>
      <w:r w:rsidRPr="00666B27">
        <w:rPr>
          <w:lang w:val="en-GB" w:eastAsia="en-GB"/>
        </w:rPr>
        <w:t>proposed by the National Treasury will be implemented, commencing in 201</w:t>
      </w:r>
      <w:r w:rsidR="00896601" w:rsidRPr="00666B27">
        <w:rPr>
          <w:lang w:val="en-GB" w:eastAsia="en-GB"/>
        </w:rPr>
        <w:t>9</w:t>
      </w:r>
      <w:r w:rsidRPr="00666B27">
        <w:rPr>
          <w:lang w:val="en-GB" w:eastAsia="en-GB"/>
        </w:rPr>
        <w:t xml:space="preserve"> at a rate of </w:t>
      </w:r>
      <w:r w:rsidR="00896601" w:rsidRPr="00666B27">
        <w:rPr>
          <w:lang w:val="en-GB" w:eastAsia="en-GB"/>
        </w:rPr>
        <w:t>ZAR</w:t>
      </w:r>
      <w:r w:rsidRPr="00666B27">
        <w:rPr>
          <w:lang w:val="en-GB" w:eastAsia="en-GB"/>
        </w:rPr>
        <w:t xml:space="preserve"> 120 per ton of carbon dioxide equivalent (CO</w:t>
      </w:r>
      <w:r w:rsidRPr="00666B27">
        <w:rPr>
          <w:vertAlign w:val="subscript"/>
          <w:lang w:val="en-GB" w:eastAsia="en-GB"/>
        </w:rPr>
        <w:t>2</w:t>
      </w:r>
      <w:r w:rsidRPr="00666B27">
        <w:rPr>
          <w:lang w:val="en-GB" w:eastAsia="en-GB"/>
        </w:rPr>
        <w:t xml:space="preserve">) on direct emissions, increasing by 10% per annum until 2020. Tax-free allowances of between 60% and 95% will be provided, based on trade exposure, fugitive emissions, carbon budgets compliance </w:t>
      </w:r>
      <w:r w:rsidRPr="00666B27">
        <w:rPr>
          <w:noProof/>
          <w:lang w:val="en-GB" w:eastAsia="en-GB"/>
        </w:rPr>
        <w:t>and</w:t>
      </w:r>
      <w:r w:rsidRPr="00666B27">
        <w:rPr>
          <w:lang w:val="en-GB" w:eastAsia="en-GB"/>
        </w:rPr>
        <w:t xml:space="preserve"> other factors. See the </w:t>
      </w:r>
      <w:r w:rsidRPr="00666B27">
        <w:rPr>
          <w:i/>
          <w:lang w:val="en-GB" w:eastAsia="en-GB"/>
        </w:rPr>
        <w:t>Carbon Tax Policy Paper</w:t>
      </w:r>
      <w:r w:rsidRPr="00666B27">
        <w:rPr>
          <w:lang w:val="en-GB" w:eastAsia="en-GB"/>
        </w:rPr>
        <w:t xml:space="preserve"> (National Treasury, 2013).</w:t>
      </w:r>
    </w:p>
    <w:p w:rsidR="00297A17" w:rsidRPr="00666B27" w:rsidRDefault="00297A17" w:rsidP="00297A17">
      <w:pPr>
        <w:spacing w:after="0"/>
        <w:rPr>
          <w:i/>
          <w:lang w:val="en-GB" w:eastAsia="en-GB"/>
        </w:rPr>
      </w:pPr>
    </w:p>
    <w:p w:rsidR="00297A17" w:rsidRPr="00666B27" w:rsidRDefault="00297A17" w:rsidP="00297A17">
      <w:pPr>
        <w:spacing w:after="0"/>
        <w:rPr>
          <w:lang w:val="en-GB" w:eastAsia="en-GB"/>
        </w:rPr>
      </w:pPr>
      <w:proofErr w:type="gramStart"/>
      <w:r w:rsidRPr="00666B27">
        <w:rPr>
          <w:lang w:val="en-GB" w:eastAsia="en-GB"/>
        </w:rPr>
        <w:t>A number of</w:t>
      </w:r>
      <w:proofErr w:type="gramEnd"/>
      <w:r w:rsidRPr="00666B27">
        <w:rPr>
          <w:lang w:val="en-GB" w:eastAsia="en-GB"/>
        </w:rPr>
        <w:t xml:space="preserve"> </w:t>
      </w:r>
      <w:r w:rsidRPr="00666B27">
        <w:rPr>
          <w:b/>
          <w:lang w:val="en-GB" w:eastAsia="en-GB"/>
        </w:rPr>
        <w:t>national standard</w:t>
      </w:r>
      <w:r w:rsidRPr="00666B27">
        <w:rPr>
          <w:lang w:val="en-GB" w:eastAsia="en-GB"/>
        </w:rPr>
        <w:t>s are relevant:</w:t>
      </w:r>
    </w:p>
    <w:p w:rsidR="00297A17" w:rsidRPr="00666B27" w:rsidRDefault="00297A17" w:rsidP="00731F0C">
      <w:pPr>
        <w:numPr>
          <w:ilvl w:val="0"/>
          <w:numId w:val="22"/>
        </w:numPr>
        <w:spacing w:before="60" w:after="0"/>
        <w:ind w:left="284" w:hanging="284"/>
        <w:rPr>
          <w:lang w:val="en-GB" w:eastAsia="en-GB"/>
        </w:rPr>
      </w:pPr>
      <w:r w:rsidRPr="00666B27">
        <w:rPr>
          <w:i/>
          <w:lang w:val="en-GB" w:eastAsia="en-GB"/>
        </w:rPr>
        <w:t>SANS 941 - Energy efficiency of electrical and electronic apparatu</w:t>
      </w:r>
      <w:r w:rsidRPr="00666B27">
        <w:rPr>
          <w:lang w:val="en-GB" w:eastAsia="en-GB"/>
        </w:rPr>
        <w:t>s is the national standard that covers energy</w:t>
      </w:r>
      <w:r w:rsidRPr="00666B27">
        <w:rPr>
          <w:i/>
          <w:lang w:val="en-GB" w:eastAsia="en-GB"/>
        </w:rPr>
        <w:t xml:space="preserve"> </w:t>
      </w:r>
      <w:r w:rsidRPr="00666B27">
        <w:rPr>
          <w:lang w:val="en-GB" w:eastAsia="en-GB"/>
        </w:rPr>
        <w:t xml:space="preserve">efficiency requirements, measurement methods and appropriate </w:t>
      </w:r>
      <w:r w:rsidRPr="00666B27">
        <w:rPr>
          <w:noProof/>
          <w:lang w:val="en-GB" w:eastAsia="en-GB"/>
        </w:rPr>
        <w:t>labelling</w:t>
      </w:r>
      <w:r w:rsidRPr="00666B27">
        <w:rPr>
          <w:lang w:val="en-GB" w:eastAsia="en-GB"/>
        </w:rPr>
        <w:t xml:space="preserve"> of energy-efficient electrical and electronic apparatus.</w:t>
      </w:r>
    </w:p>
    <w:p w:rsidR="00297A17" w:rsidRPr="00666B27" w:rsidRDefault="00297A17" w:rsidP="00731F0C">
      <w:pPr>
        <w:numPr>
          <w:ilvl w:val="0"/>
          <w:numId w:val="22"/>
        </w:numPr>
        <w:spacing w:before="60" w:after="0"/>
        <w:ind w:left="284" w:hanging="284"/>
        <w:rPr>
          <w:lang w:val="en-GB" w:eastAsia="en-GB"/>
        </w:rPr>
      </w:pPr>
      <w:r w:rsidRPr="00666B27">
        <w:rPr>
          <w:lang w:val="en-GB" w:eastAsia="en-GB"/>
        </w:rPr>
        <w:t xml:space="preserve">The </w:t>
      </w:r>
      <w:r w:rsidRPr="00666B27">
        <w:rPr>
          <w:i/>
          <w:lang w:val="en-GB" w:eastAsia="en-GB"/>
        </w:rPr>
        <w:t xml:space="preserve">Compulsory specification for energy efficiency and </w:t>
      </w:r>
      <w:r w:rsidRPr="00666B27">
        <w:rPr>
          <w:i/>
          <w:noProof/>
          <w:lang w:val="en-GB" w:eastAsia="en-GB"/>
        </w:rPr>
        <w:t>labelling</w:t>
      </w:r>
      <w:r w:rsidRPr="00666B27">
        <w:rPr>
          <w:i/>
          <w:lang w:val="en-GB" w:eastAsia="en-GB"/>
        </w:rPr>
        <w:t xml:space="preserve"> of electrical and electronic apparatus (VC 9008)</w:t>
      </w:r>
      <w:r w:rsidRPr="00666B27">
        <w:rPr>
          <w:lang w:val="en-GB" w:eastAsia="en-GB"/>
        </w:rPr>
        <w:t xml:space="preserve"> was enacted in 2014 and came into force in 2015, making the SANS 941 a compulsory standard. It requires that a range of electrical and electronic apparatus (dishwashers, washing machines, tumble dryers and/or washer-dryers, refrigerators and</w:t>
      </w:r>
      <w:r w:rsidR="00426F17" w:rsidRPr="00666B27">
        <w:rPr>
          <w:lang w:val="en-GB" w:eastAsia="en-GB"/>
        </w:rPr>
        <w:t>/or</w:t>
      </w:r>
      <w:r w:rsidRPr="00666B27">
        <w:rPr>
          <w:lang w:val="en-GB" w:eastAsia="en-GB"/>
        </w:rPr>
        <w:t xml:space="preserve"> freezers, electric ovens</w:t>
      </w:r>
      <w:r w:rsidR="00426F17" w:rsidRPr="00666B27">
        <w:rPr>
          <w:lang w:val="en-GB" w:eastAsia="en-GB"/>
        </w:rPr>
        <w:t>, storage water heaters</w:t>
      </w:r>
      <w:r w:rsidRPr="00666B27">
        <w:rPr>
          <w:lang w:val="en-GB" w:eastAsia="en-GB"/>
        </w:rPr>
        <w:t xml:space="preserve">) adhere to certain minimum energy performance standards. It also requires that all appliances listed display the energy efficiency rating on the appliance. </w:t>
      </w:r>
      <w:proofErr w:type="gramStart"/>
      <w:r w:rsidRPr="00666B27">
        <w:rPr>
          <w:lang w:val="en-GB" w:eastAsia="en-GB"/>
        </w:rPr>
        <w:t xml:space="preserve">A </w:t>
      </w:r>
      <w:r w:rsidRPr="00666B27">
        <w:rPr>
          <w:i/>
          <w:lang w:val="en-GB" w:eastAsia="en-GB"/>
        </w:rPr>
        <w:t>Guide for Energy Efficiency Labelling</w:t>
      </w:r>
      <w:r w:rsidRPr="00666B27">
        <w:rPr>
          <w:lang w:val="en-GB" w:eastAsia="en-GB"/>
        </w:rPr>
        <w:t>,</w:t>
      </w:r>
      <w:proofErr w:type="gramEnd"/>
      <w:r w:rsidRPr="00666B27">
        <w:rPr>
          <w:lang w:val="en-GB" w:eastAsia="en-GB"/>
        </w:rPr>
        <w:t xml:space="preserve"> published by DoE/DTI provides the basis for the </w:t>
      </w:r>
      <w:r w:rsidRPr="00666B27">
        <w:rPr>
          <w:noProof/>
          <w:lang w:val="en-GB" w:eastAsia="en-GB"/>
        </w:rPr>
        <w:t>labelling</w:t>
      </w:r>
      <w:r w:rsidRPr="00666B27">
        <w:rPr>
          <w:lang w:val="en-GB" w:eastAsia="en-GB"/>
        </w:rPr>
        <w:t xml:space="preserve"> system in South Africa of above-mentioned electric appliances.</w:t>
      </w:r>
    </w:p>
    <w:p w:rsidR="00297A17" w:rsidRPr="00666B27" w:rsidRDefault="00297A17" w:rsidP="00731F0C">
      <w:pPr>
        <w:numPr>
          <w:ilvl w:val="0"/>
          <w:numId w:val="22"/>
        </w:numPr>
        <w:spacing w:before="60" w:after="0"/>
        <w:ind w:left="284" w:hanging="284"/>
        <w:rPr>
          <w:i/>
          <w:lang w:val="en-GB" w:eastAsia="en-GB"/>
        </w:rPr>
      </w:pPr>
      <w:r w:rsidRPr="00666B27">
        <w:rPr>
          <w:i/>
          <w:lang w:val="en-GB" w:eastAsia="en-GB"/>
        </w:rPr>
        <w:t>SANS 50010 – Measurement and verification of energy saving</w:t>
      </w:r>
      <w:r w:rsidRPr="00666B27">
        <w:rPr>
          <w:lang w:val="en-GB" w:eastAsia="en-GB"/>
        </w:rPr>
        <w:t>s, published in 2011, specifies the</w:t>
      </w:r>
      <w:r w:rsidRPr="00666B27">
        <w:rPr>
          <w:i/>
          <w:lang w:val="en-GB" w:eastAsia="en-GB"/>
        </w:rPr>
        <w:t xml:space="preserve"> </w:t>
      </w:r>
      <w:r w:rsidRPr="00666B27">
        <w:rPr>
          <w:lang w:val="en-GB" w:eastAsia="en-GB"/>
        </w:rPr>
        <w:t>methodology for calculating energy savings. This is</w:t>
      </w:r>
      <w:r w:rsidRPr="00666B27">
        <w:rPr>
          <w:i/>
          <w:lang w:val="en-GB" w:eastAsia="en-GB"/>
        </w:rPr>
        <w:t xml:space="preserve"> </w:t>
      </w:r>
      <w:r w:rsidRPr="00666B27">
        <w:rPr>
          <w:lang w:val="en-GB" w:eastAsia="en-GB"/>
        </w:rPr>
        <w:t>a required tool for calculating savings for projects</w:t>
      </w:r>
      <w:r w:rsidRPr="00666B27">
        <w:rPr>
          <w:i/>
          <w:lang w:val="en-GB" w:eastAsia="en-GB"/>
        </w:rPr>
        <w:t xml:space="preserve"> </w:t>
      </w:r>
      <w:r w:rsidRPr="00666B27">
        <w:rPr>
          <w:lang w:val="en-GB" w:eastAsia="en-GB"/>
        </w:rPr>
        <w:t>submitted on the 12L energy efficiency tax rebate</w:t>
      </w:r>
      <w:r w:rsidRPr="00666B27">
        <w:rPr>
          <w:i/>
          <w:lang w:val="en-GB" w:eastAsia="en-GB"/>
        </w:rPr>
        <w:t xml:space="preserve"> </w:t>
      </w:r>
      <w:r w:rsidRPr="00666B27">
        <w:rPr>
          <w:lang w:val="en-GB" w:eastAsia="en-GB"/>
        </w:rPr>
        <w:t>programme.</w:t>
      </w:r>
    </w:p>
    <w:p w:rsidR="00720365" w:rsidRPr="00666B27" w:rsidRDefault="00720365" w:rsidP="00731F0C">
      <w:pPr>
        <w:numPr>
          <w:ilvl w:val="0"/>
          <w:numId w:val="22"/>
        </w:numPr>
        <w:spacing w:before="60" w:after="0"/>
        <w:ind w:left="284" w:hanging="284"/>
        <w:rPr>
          <w:lang w:val="en-GB" w:eastAsia="en-GB"/>
        </w:rPr>
      </w:pPr>
      <w:r w:rsidRPr="00666B27">
        <w:rPr>
          <w:i/>
          <w:lang w:val="en-GB" w:eastAsia="en-GB"/>
        </w:rPr>
        <w:t>SANS 104</w:t>
      </w:r>
      <w:r w:rsidR="008671BD">
        <w:rPr>
          <w:i/>
          <w:lang w:val="en-GB" w:eastAsia="en-GB"/>
        </w:rPr>
        <w:t>0</w:t>
      </w:r>
      <w:r w:rsidRPr="00666B27">
        <w:rPr>
          <w:i/>
          <w:lang w:val="en-GB" w:eastAsia="en-GB"/>
        </w:rPr>
        <w:t xml:space="preserve">0-XA - </w:t>
      </w:r>
      <w:r w:rsidRPr="00666B27">
        <w:rPr>
          <w:lang w:val="en-GB" w:eastAsia="en-GB"/>
        </w:rPr>
        <w:t>These construction standards require mandatory compliance on energy efficiency and energy use in the built environment, with all new buildings and extensions to buildings requiring energy efficiency initiatives before receiving municipal approval.</w:t>
      </w:r>
    </w:p>
    <w:p w:rsidR="00297A17" w:rsidRPr="00666B27" w:rsidRDefault="00297A17" w:rsidP="00731F0C">
      <w:pPr>
        <w:numPr>
          <w:ilvl w:val="0"/>
          <w:numId w:val="22"/>
        </w:numPr>
        <w:spacing w:before="60" w:after="0"/>
        <w:ind w:left="284" w:hanging="284"/>
        <w:rPr>
          <w:i/>
          <w:lang w:val="en-GB" w:eastAsia="en-GB"/>
        </w:rPr>
      </w:pPr>
      <w:r w:rsidRPr="00666B27">
        <w:rPr>
          <w:lang w:val="en-GB" w:eastAsia="en-GB"/>
        </w:rPr>
        <w:t xml:space="preserve">SANS 1544 – Energy performance certificates </w:t>
      </w:r>
      <w:r w:rsidRPr="00666B27">
        <w:rPr>
          <w:i/>
          <w:lang w:val="en-GB" w:eastAsia="en-GB"/>
        </w:rPr>
        <w:t>for buildings</w:t>
      </w:r>
      <w:r w:rsidRPr="00666B27">
        <w:rPr>
          <w:lang w:val="en-GB" w:eastAsia="en-GB"/>
        </w:rPr>
        <w:t>. This is a new standard that specifies the methodology for calculating energy performance in existing buildings. It will initially be a voluntary standard but may become a mandatory standard through the NRCS regulation process.</w:t>
      </w:r>
    </w:p>
    <w:p w:rsidR="00297A17" w:rsidRPr="00666B27" w:rsidRDefault="00297A17" w:rsidP="00731F0C">
      <w:pPr>
        <w:numPr>
          <w:ilvl w:val="0"/>
          <w:numId w:val="22"/>
        </w:numPr>
        <w:spacing w:before="60" w:after="0"/>
        <w:ind w:left="284" w:hanging="284"/>
        <w:rPr>
          <w:i/>
          <w:lang w:val="en-GB" w:eastAsia="en-GB"/>
        </w:rPr>
      </w:pPr>
      <w:r w:rsidRPr="00666B27">
        <w:rPr>
          <w:lang w:val="en-GB" w:eastAsia="en-GB"/>
        </w:rPr>
        <w:t>There exist also compulsory specifications for incandescent lamps (VC 8043) and compacts fluorescent lamp (VC 9091). These set MEPs for CFLs (according to SANS 60969 and SANS 60901) and minimum life requirements of 1000 hrs and 6000 hrs for incandescent and CFL respectively. In addition, incandescent lamps &gt; 40 W will be phased out.</w:t>
      </w:r>
    </w:p>
    <w:p w:rsidR="00297A17" w:rsidRPr="00666B27" w:rsidRDefault="00297A17" w:rsidP="00297A17">
      <w:pPr>
        <w:spacing w:after="0"/>
        <w:rPr>
          <w:lang w:val="en-GB" w:eastAsia="en-GB"/>
        </w:rPr>
      </w:pPr>
    </w:p>
    <w:p w:rsidR="00BD2EA5" w:rsidRPr="00666B27" w:rsidRDefault="00BD2EA5" w:rsidP="00297A17">
      <w:pPr>
        <w:spacing w:after="0"/>
        <w:rPr>
          <w:u w:val="single"/>
          <w:lang w:val="en-GB" w:eastAsia="en-GB"/>
        </w:rPr>
      </w:pPr>
      <w:r w:rsidRPr="00666B27">
        <w:rPr>
          <w:u w:val="single"/>
          <w:lang w:val="en-GB" w:eastAsia="en-GB"/>
        </w:rPr>
        <w:t>Energy efficiency targets</w:t>
      </w:r>
    </w:p>
    <w:p w:rsidR="00BD2EA5" w:rsidRPr="00666B27" w:rsidRDefault="00BD2EA5" w:rsidP="00297A17">
      <w:pPr>
        <w:spacing w:after="0"/>
        <w:rPr>
          <w:u w:val="single"/>
          <w:lang w:val="en-GB" w:eastAsia="en-GB"/>
        </w:rPr>
      </w:pPr>
    </w:p>
    <w:p w:rsidR="00F84E9A" w:rsidRPr="00F737AD" w:rsidRDefault="00F84E9A" w:rsidP="00F84E9A">
      <w:pPr>
        <w:spacing w:after="0"/>
        <w:rPr>
          <w:rFonts w:cs="Calibri"/>
          <w:szCs w:val="20"/>
          <w:lang w:val="en-GB" w:eastAsia="en-GB"/>
        </w:rPr>
      </w:pPr>
      <w:r w:rsidRPr="00F737AD">
        <w:rPr>
          <w:rFonts w:cs="Calibri"/>
          <w:szCs w:val="20"/>
          <w:lang w:val="en-GB" w:eastAsia="en-GB"/>
        </w:rPr>
        <w:t xml:space="preserve">The </w:t>
      </w:r>
      <w:r w:rsidRPr="00F737AD">
        <w:rPr>
          <w:rFonts w:cs="Calibri"/>
          <w:b/>
          <w:szCs w:val="20"/>
          <w:lang w:val="en-GB" w:eastAsia="en-GB"/>
        </w:rPr>
        <w:t>National Energy Efficiency Strategy (NEES)</w:t>
      </w:r>
      <w:r w:rsidRPr="00F737AD">
        <w:rPr>
          <w:rFonts w:cs="Calibri"/>
          <w:szCs w:val="20"/>
          <w:lang w:val="en-GB" w:eastAsia="en-GB"/>
        </w:rPr>
        <w:t xml:space="preserve"> was published in 2005 and aimed at achieving overall sectoral energy intensity reduction targets of 12% by 2015. In 2008 and 2011, the NEES was reviewed to discuss its scope and elements.  The </w:t>
      </w:r>
      <w:r w:rsidRPr="00F737AD">
        <w:rPr>
          <w:rFonts w:cs="Calibri"/>
          <w:i/>
          <w:szCs w:val="20"/>
          <w:lang w:val="en-GB" w:eastAsia="en-GB"/>
        </w:rPr>
        <w:t>draft Post-2015 NEES</w:t>
      </w:r>
      <w:r w:rsidRPr="00F737AD">
        <w:rPr>
          <w:rFonts w:cs="Calibri"/>
          <w:szCs w:val="20"/>
          <w:lang w:val="en-GB" w:eastAsia="en-GB"/>
        </w:rPr>
        <w:t xml:space="preserve"> builds on the earlier national target (as laid down in the 2008 update of the NEES, 2015) for energy efficiency improvement of 12% provides for seven priority areas: buildings, appliance &amp; equipment, lighting, transport, industry, energy utilities, and cross-sectoral. The draft document was published for public comment in December 2016 but has not yet been </w:t>
      </w:r>
      <w:r w:rsidRPr="00F737AD">
        <w:rPr>
          <w:rFonts w:cs="Calibri"/>
          <w:noProof/>
          <w:szCs w:val="20"/>
          <w:lang w:val="en-GB" w:eastAsia="en-GB"/>
        </w:rPr>
        <w:t>finalised</w:t>
      </w:r>
      <w:r w:rsidR="008D0E78" w:rsidRPr="00F737AD">
        <w:rPr>
          <w:rFonts w:cs="Calibri"/>
          <w:szCs w:val="20"/>
          <w:lang w:val="en-GB" w:eastAsia="en-GB"/>
        </w:rPr>
        <w:t xml:space="preserve"> yet</w:t>
      </w:r>
      <w:r w:rsidRPr="00F737AD">
        <w:rPr>
          <w:rFonts w:cs="Calibri"/>
          <w:szCs w:val="20"/>
          <w:lang w:val="en-GB" w:eastAsia="en-GB"/>
        </w:rPr>
        <w:t>. The Post-2015 NEES sets specific targets for individual sectors:</w:t>
      </w:r>
    </w:p>
    <w:p w:rsidR="00F84E9A" w:rsidRPr="00F737AD" w:rsidRDefault="00F84E9A" w:rsidP="00731F0C">
      <w:pPr>
        <w:pStyle w:val="ListParagraph"/>
        <w:numPr>
          <w:ilvl w:val="0"/>
          <w:numId w:val="41"/>
        </w:numPr>
        <w:ind w:left="284" w:hanging="284"/>
        <w:jc w:val="both"/>
        <w:rPr>
          <w:rFonts w:ascii="Calibri" w:hAnsi="Calibri" w:cs="Calibri"/>
          <w:sz w:val="20"/>
          <w:szCs w:val="20"/>
          <w:lang w:val="en-GB" w:eastAsia="en-GB"/>
        </w:rPr>
      </w:pPr>
      <w:r w:rsidRPr="00F737AD">
        <w:rPr>
          <w:rFonts w:ascii="Calibri" w:hAnsi="Calibri" w:cs="Calibri"/>
          <w:sz w:val="20"/>
          <w:szCs w:val="20"/>
          <w:lang w:val="en-GB" w:eastAsia="en-GB"/>
        </w:rPr>
        <w:t xml:space="preserve">End-use energy consumption within the </w:t>
      </w:r>
      <w:r w:rsidRPr="00F737AD">
        <w:rPr>
          <w:rFonts w:ascii="Calibri" w:hAnsi="Calibri" w:cs="Calibri"/>
          <w:i/>
          <w:sz w:val="20"/>
          <w:szCs w:val="20"/>
          <w:lang w:val="en-GB" w:eastAsia="en-GB"/>
        </w:rPr>
        <w:t xml:space="preserve">public building sector </w:t>
      </w:r>
      <w:r w:rsidRPr="00F737AD">
        <w:rPr>
          <w:rFonts w:ascii="Calibri" w:hAnsi="Calibri" w:cs="Calibri"/>
          <w:sz w:val="20"/>
          <w:szCs w:val="20"/>
          <w:lang w:val="en-GB" w:eastAsia="en-GB"/>
        </w:rPr>
        <w:t>is expected to increase to 125.13</w:t>
      </w:r>
      <w:r w:rsidR="00F14DDC" w:rsidRPr="00F737AD">
        <w:rPr>
          <w:rFonts w:ascii="Calibri" w:hAnsi="Calibri" w:cs="Calibri"/>
          <w:sz w:val="20"/>
          <w:szCs w:val="20"/>
          <w:lang w:val="en-GB" w:eastAsia="en-GB"/>
        </w:rPr>
        <w:t xml:space="preserve"> petajoules (PJ)</w:t>
      </w:r>
      <w:r w:rsidRPr="00F737AD">
        <w:rPr>
          <w:rFonts w:ascii="Calibri" w:hAnsi="Calibri" w:cs="Calibri"/>
          <w:sz w:val="20"/>
          <w:szCs w:val="20"/>
          <w:lang w:val="en-GB" w:eastAsia="en-GB"/>
        </w:rPr>
        <w:t xml:space="preserve"> in 2030 from 62.4PJ in 2012 levels</w:t>
      </w:r>
      <w:r w:rsidR="00720365" w:rsidRPr="00F737AD">
        <w:rPr>
          <w:rFonts w:ascii="Calibri" w:hAnsi="Calibri" w:cs="Calibri"/>
          <w:sz w:val="20"/>
          <w:szCs w:val="20"/>
          <w:lang w:val="en-GB" w:eastAsia="en-GB"/>
        </w:rPr>
        <w:t xml:space="preserve"> (50% reduction)</w:t>
      </w:r>
      <w:r w:rsidRPr="00F737AD">
        <w:rPr>
          <w:rFonts w:ascii="Calibri" w:hAnsi="Calibri" w:cs="Calibri"/>
          <w:sz w:val="20"/>
          <w:szCs w:val="20"/>
          <w:lang w:val="en-GB" w:eastAsia="en-GB"/>
        </w:rPr>
        <w:t>. These increases can be curtailed by 19.7PJ, which</w:t>
      </w:r>
      <w:r w:rsidR="008F194C" w:rsidRPr="00F737AD">
        <w:rPr>
          <w:rFonts w:ascii="Calibri" w:hAnsi="Calibri" w:cs="Calibri"/>
          <w:sz w:val="20"/>
          <w:szCs w:val="20"/>
          <w:lang w:val="en-GB"/>
        </w:rPr>
        <w:t xml:space="preserve"> </w:t>
      </w:r>
      <w:r w:rsidR="008F194C" w:rsidRPr="00F737AD">
        <w:rPr>
          <w:rFonts w:ascii="Calibri" w:hAnsi="Calibri" w:cs="Calibri"/>
          <w:sz w:val="20"/>
          <w:szCs w:val="20"/>
          <w:lang w:val="en-GB" w:eastAsia="en-GB"/>
        </w:rPr>
        <w:t>is a decrease of roughly 16%, by conducting</w:t>
      </w:r>
      <w:r w:rsidR="00720365" w:rsidRPr="00F737AD">
        <w:rPr>
          <w:rFonts w:ascii="Calibri" w:hAnsi="Calibri" w:cs="Calibri"/>
          <w:sz w:val="20"/>
          <w:szCs w:val="20"/>
          <w:lang w:val="en-GB" w:eastAsia="en-GB"/>
        </w:rPr>
        <w:t xml:space="preserve"> </w:t>
      </w:r>
      <w:r w:rsidR="008F194C" w:rsidRPr="00F737AD">
        <w:rPr>
          <w:rFonts w:ascii="Calibri" w:hAnsi="Calibri" w:cs="Calibri"/>
          <w:sz w:val="20"/>
          <w:szCs w:val="20"/>
          <w:lang w:val="en-GB" w:eastAsia="en-GB"/>
        </w:rPr>
        <w:t>refurbishments and interventions in space heating, lighting and improved building</w:t>
      </w:r>
      <w:r w:rsidR="00720365" w:rsidRPr="00F737AD">
        <w:rPr>
          <w:rFonts w:ascii="Calibri" w:hAnsi="Calibri" w:cs="Calibri"/>
          <w:sz w:val="20"/>
          <w:szCs w:val="20"/>
          <w:lang w:val="en-GB" w:eastAsia="en-GB"/>
        </w:rPr>
        <w:t xml:space="preserve"> </w:t>
      </w:r>
      <w:r w:rsidR="008F194C" w:rsidRPr="00F737AD">
        <w:rPr>
          <w:rFonts w:ascii="Calibri" w:hAnsi="Calibri" w:cs="Calibri"/>
          <w:sz w:val="20"/>
          <w:szCs w:val="20"/>
          <w:lang w:val="en-GB" w:eastAsia="en-GB"/>
        </w:rPr>
        <w:t>practices based on the current version of the SANS10400-XA.</w:t>
      </w:r>
      <w:r w:rsidR="00720365" w:rsidRPr="00F737AD">
        <w:rPr>
          <w:rFonts w:ascii="Calibri" w:hAnsi="Calibri" w:cs="Calibri"/>
          <w:sz w:val="20"/>
          <w:szCs w:val="20"/>
          <w:lang w:val="en-GB"/>
        </w:rPr>
        <w:t xml:space="preserve"> </w:t>
      </w:r>
      <w:r w:rsidR="00720365" w:rsidRPr="00F737AD">
        <w:rPr>
          <w:rFonts w:ascii="Calibri" w:hAnsi="Calibri" w:cs="Calibri"/>
          <w:sz w:val="20"/>
          <w:szCs w:val="20"/>
          <w:lang w:val="en-GB" w:eastAsia="en-GB"/>
        </w:rPr>
        <w:t xml:space="preserve">Within </w:t>
      </w:r>
      <w:r w:rsidR="00720365" w:rsidRPr="00F737AD">
        <w:rPr>
          <w:rFonts w:ascii="Calibri" w:hAnsi="Calibri" w:cs="Calibri"/>
          <w:i/>
          <w:sz w:val="20"/>
          <w:szCs w:val="20"/>
          <w:lang w:val="en-GB" w:eastAsia="en-GB"/>
        </w:rPr>
        <w:t>municipal services,</w:t>
      </w:r>
      <w:r w:rsidR="00720365" w:rsidRPr="00F737AD">
        <w:rPr>
          <w:rFonts w:ascii="Calibri" w:hAnsi="Calibri" w:cs="Calibri"/>
          <w:sz w:val="20"/>
          <w:szCs w:val="20"/>
          <w:lang w:val="en-GB" w:eastAsia="en-GB"/>
        </w:rPr>
        <w:t xml:space="preserve"> based on interventions in a sample of major municipalities, energy savings of 47% for bulk-water supply and water treatment, 32% for the municipal vehicle fleet, 25% for street lighting and 16% for buildings and facilities could be achieved. </w:t>
      </w:r>
    </w:p>
    <w:p w:rsidR="00720365" w:rsidRPr="00F737AD" w:rsidRDefault="00720365" w:rsidP="00731F0C">
      <w:pPr>
        <w:pStyle w:val="ListParagraph"/>
        <w:numPr>
          <w:ilvl w:val="0"/>
          <w:numId w:val="41"/>
        </w:numPr>
        <w:ind w:left="284" w:hanging="284"/>
        <w:jc w:val="both"/>
        <w:rPr>
          <w:rFonts w:ascii="Calibri" w:hAnsi="Calibri" w:cs="Calibri"/>
          <w:sz w:val="20"/>
          <w:szCs w:val="20"/>
          <w:lang w:val="en-GB" w:eastAsia="en-GB"/>
        </w:rPr>
      </w:pPr>
      <w:r w:rsidRPr="00F737AD">
        <w:rPr>
          <w:rFonts w:ascii="Calibri" w:hAnsi="Calibri" w:cs="Calibri"/>
          <w:sz w:val="20"/>
          <w:szCs w:val="20"/>
          <w:lang w:val="en-GB" w:eastAsia="en-GB"/>
        </w:rPr>
        <w:t xml:space="preserve">In the </w:t>
      </w:r>
      <w:r w:rsidRPr="00F737AD">
        <w:rPr>
          <w:rFonts w:ascii="Calibri" w:hAnsi="Calibri" w:cs="Calibri"/>
          <w:i/>
          <w:sz w:val="20"/>
          <w:szCs w:val="20"/>
          <w:lang w:val="en-GB" w:eastAsia="en-GB"/>
        </w:rPr>
        <w:t>residential sector</w:t>
      </w:r>
      <w:r w:rsidRPr="00F737AD">
        <w:rPr>
          <w:rFonts w:ascii="Calibri" w:hAnsi="Calibri" w:cs="Calibri"/>
          <w:sz w:val="20"/>
          <w:szCs w:val="20"/>
          <w:lang w:val="en-GB" w:eastAsia="en-GB"/>
        </w:rPr>
        <w:t>, three energy savings opportunities were identified as having sizeable potential, namely appliances, lighting</w:t>
      </w:r>
      <w:r w:rsidR="00C45283" w:rsidRPr="00F737AD">
        <w:rPr>
          <w:rFonts w:ascii="Calibri" w:hAnsi="Calibri" w:cs="Calibri"/>
          <w:sz w:val="20"/>
          <w:szCs w:val="20"/>
          <w:lang w:val="en-GB" w:eastAsia="en-GB"/>
        </w:rPr>
        <w:t>,</w:t>
      </w:r>
      <w:r w:rsidRPr="00F737AD">
        <w:rPr>
          <w:rFonts w:ascii="Calibri" w:hAnsi="Calibri" w:cs="Calibri"/>
          <w:sz w:val="20"/>
          <w:szCs w:val="20"/>
          <w:lang w:val="en-GB" w:eastAsia="en-GB"/>
        </w:rPr>
        <w:t xml:space="preserve"> </w:t>
      </w:r>
      <w:r w:rsidRPr="00F737AD">
        <w:rPr>
          <w:rFonts w:ascii="Calibri" w:hAnsi="Calibri" w:cs="Calibri"/>
          <w:noProof/>
          <w:sz w:val="20"/>
          <w:szCs w:val="20"/>
          <w:lang w:val="en-GB" w:eastAsia="en-GB"/>
        </w:rPr>
        <w:t>and</w:t>
      </w:r>
      <w:r w:rsidRPr="00F737AD">
        <w:rPr>
          <w:rFonts w:ascii="Calibri" w:hAnsi="Calibri" w:cs="Calibri"/>
          <w:sz w:val="20"/>
          <w:szCs w:val="20"/>
          <w:lang w:val="en-GB" w:eastAsia="en-GB"/>
        </w:rPr>
        <w:t xml:space="preserve"> buildings. Significant energy savings are possible if the Solar Water Heating</w:t>
      </w:r>
      <w:r w:rsidR="009D4090" w:rsidRPr="00F737AD">
        <w:rPr>
          <w:rFonts w:ascii="Calibri" w:hAnsi="Calibri" w:cs="Calibri"/>
          <w:sz w:val="20"/>
          <w:szCs w:val="20"/>
          <w:lang w:val="en-GB" w:eastAsia="en-GB"/>
        </w:rPr>
        <w:t xml:space="preserve"> </w:t>
      </w:r>
      <w:r w:rsidRPr="00F737AD">
        <w:rPr>
          <w:rFonts w:ascii="Calibri" w:hAnsi="Calibri" w:cs="Calibri"/>
          <w:sz w:val="20"/>
          <w:szCs w:val="20"/>
          <w:lang w:val="en-GB" w:eastAsia="en-GB"/>
        </w:rPr>
        <w:t>and Mass Roll</w:t>
      </w:r>
      <w:r w:rsidR="009D4090" w:rsidRPr="00F737AD">
        <w:rPr>
          <w:rFonts w:ascii="Calibri" w:hAnsi="Calibri" w:cs="Calibri"/>
          <w:sz w:val="20"/>
          <w:szCs w:val="20"/>
          <w:lang w:val="en-GB" w:eastAsia="en-GB"/>
        </w:rPr>
        <w:t>-</w:t>
      </w:r>
      <w:r w:rsidRPr="00F737AD">
        <w:rPr>
          <w:rFonts w:ascii="Calibri" w:hAnsi="Calibri" w:cs="Calibri"/>
          <w:sz w:val="20"/>
          <w:szCs w:val="20"/>
          <w:lang w:val="en-GB" w:eastAsia="en-GB"/>
        </w:rPr>
        <w:t>Out programmes are continued within the residential sector.</w:t>
      </w:r>
      <w:r w:rsidRPr="00F737AD">
        <w:rPr>
          <w:rFonts w:ascii="Calibri" w:hAnsi="Calibri" w:cs="Calibri"/>
          <w:sz w:val="20"/>
          <w:szCs w:val="20"/>
          <w:lang w:val="en-GB"/>
        </w:rPr>
        <w:t xml:space="preserve"> </w:t>
      </w:r>
      <w:r w:rsidRPr="00F737AD">
        <w:rPr>
          <w:rFonts w:ascii="Calibri" w:hAnsi="Calibri" w:cs="Calibri"/>
          <w:sz w:val="20"/>
          <w:szCs w:val="20"/>
          <w:lang w:val="en-GB" w:eastAsia="en-GB"/>
        </w:rPr>
        <w:t xml:space="preserve">The electricity savings (12.1 </w:t>
      </w:r>
      <w:proofErr w:type="spellStart"/>
      <w:r w:rsidRPr="00F737AD">
        <w:rPr>
          <w:rFonts w:ascii="Calibri" w:hAnsi="Calibri" w:cs="Calibri"/>
          <w:sz w:val="20"/>
          <w:szCs w:val="20"/>
          <w:lang w:val="en-GB" w:eastAsia="en-GB"/>
        </w:rPr>
        <w:t>TWh</w:t>
      </w:r>
      <w:proofErr w:type="spellEnd"/>
      <w:r w:rsidRPr="00F737AD">
        <w:rPr>
          <w:rFonts w:ascii="Calibri" w:hAnsi="Calibri" w:cs="Calibri"/>
          <w:sz w:val="20"/>
          <w:szCs w:val="20"/>
          <w:lang w:val="en-GB" w:eastAsia="en-GB"/>
        </w:rPr>
        <w:t>) proposed within the cost-effective scenario would contribute to roughly 20% of revised 2030 baselines. These savings would then translate to roughly 12.75 Mt of CO2 emissions. The proposed savings would mean a 6.8% decrease in household electricity intensity between 2010 and 2030.</w:t>
      </w:r>
    </w:p>
    <w:bookmarkEnd w:id="219"/>
    <w:p w:rsidR="00161D0E" w:rsidRPr="00F737AD" w:rsidRDefault="00161D0E" w:rsidP="00161D0E">
      <w:pPr>
        <w:pStyle w:val="ListParagraph"/>
        <w:ind w:left="284"/>
        <w:jc w:val="both"/>
        <w:rPr>
          <w:rFonts w:ascii="Calibri" w:hAnsi="Calibri" w:cs="Calibri"/>
          <w:sz w:val="20"/>
          <w:szCs w:val="20"/>
          <w:lang w:val="en-GB" w:eastAsia="en-GB"/>
        </w:rPr>
      </w:pPr>
    </w:p>
    <w:p w:rsidR="00F172FF" w:rsidRPr="00666B27" w:rsidRDefault="00F172FF">
      <w:pPr>
        <w:spacing w:after="0"/>
        <w:jc w:val="left"/>
        <w:rPr>
          <w:lang w:val="en-GB" w:eastAsia="en-GB"/>
        </w:rPr>
      </w:pPr>
    </w:p>
    <w:p w:rsidR="00F172FF" w:rsidRPr="00353542" w:rsidRDefault="003A2690">
      <w:pPr>
        <w:spacing w:after="0"/>
        <w:jc w:val="left"/>
        <w:rPr>
          <w:lang w:val="en-GB" w:eastAsia="en-GB"/>
        </w:rPr>
      </w:pPr>
      <w:r>
        <w:rPr>
          <w:noProof/>
        </w:rPr>
        <w:lastRenderedPageBreak/>
        <mc:AlternateContent>
          <mc:Choice Requires="wps">
            <w:drawing>
              <wp:anchor distT="45720" distB="45720" distL="114300" distR="114300" simplePos="0" relativeHeight="251631616" behindDoc="0" locked="0" layoutInCell="1" allowOverlap="1">
                <wp:simplePos x="0" y="0"/>
                <wp:positionH relativeFrom="page">
                  <wp:posOffset>568960</wp:posOffset>
                </wp:positionH>
                <wp:positionV relativeFrom="margin">
                  <wp:align>bottom</wp:align>
                </wp:positionV>
                <wp:extent cx="6786880" cy="8686800"/>
                <wp:effectExtent l="0" t="0" r="0" b="0"/>
                <wp:wrapTopAndBottom/>
                <wp:docPr id="246"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6880" cy="8686800"/>
                        </a:xfrm>
                        <a:prstGeom prst="rect">
                          <a:avLst/>
                        </a:prstGeom>
                        <a:solidFill>
                          <a:srgbClr val="ED7D31">
                            <a:lumMod val="20000"/>
                            <a:lumOff val="80000"/>
                          </a:srgbClr>
                        </a:solidFill>
                        <a:ln>
                          <a:noFill/>
                        </a:ln>
                      </wps:spPr>
                      <wps:txbx>
                        <w:txbxContent>
                          <w:p w:rsidR="00540FEA" w:rsidRDefault="00540FEA" w:rsidP="00F172FF">
                            <w:pPr>
                              <w:pStyle w:val="Caption"/>
                              <w:rPr>
                                <w:rFonts w:ascii="Arial" w:hAnsi="Arial" w:cs="Arial"/>
                                <w:color w:val="2E74B5"/>
                                <w:sz w:val="18"/>
                              </w:rPr>
                            </w:pPr>
                            <w:bookmarkStart w:id="220" w:name="_Ref496016749"/>
                            <w:bookmarkStart w:id="221" w:name="_Ref496016743"/>
                            <w:bookmarkStart w:id="222" w:name="_Toc496967022"/>
                            <w:bookmarkStart w:id="223" w:name="_Toc17984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bookmarkEnd w:id="220"/>
                            <w:r>
                              <w:rPr>
                                <w:rFonts w:ascii="Arial" w:hAnsi="Arial" w:cs="Arial"/>
                                <w:color w:val="2E74B5"/>
                                <w:sz w:val="18"/>
                              </w:rPr>
                              <w:tab/>
                              <w:t>Energy efficiency standards and labelling in South Africa</w:t>
                            </w:r>
                            <w:bookmarkEnd w:id="221"/>
                            <w:bookmarkEnd w:id="222"/>
                            <w:bookmarkEnd w:id="223"/>
                          </w:p>
                          <w:p w:rsidR="00540FEA" w:rsidRDefault="00540FEA" w:rsidP="00F172FF">
                            <w:pPr>
                              <w:spacing w:after="0"/>
                              <w:rPr>
                                <w:noProof/>
                              </w:rPr>
                            </w:pPr>
                          </w:p>
                          <w:p w:rsidR="00540FEA" w:rsidRPr="00D7157A" w:rsidRDefault="00540FEA" w:rsidP="00F172FF">
                            <w:pPr>
                              <w:spacing w:after="0"/>
                              <w:rPr>
                                <w:noProof/>
                                <w:sz w:val="19"/>
                                <w:szCs w:val="19"/>
                                <w:lang w:val="en-GB"/>
                              </w:rPr>
                            </w:pPr>
                            <w:r w:rsidRPr="00D7157A">
                              <w:rPr>
                                <w:noProof/>
                                <w:sz w:val="19"/>
                                <w:szCs w:val="19"/>
                                <w:lang w:val="en-GB"/>
                              </w:rPr>
                              <w:t>The ‘</w:t>
                            </w:r>
                            <w:r>
                              <w:rPr>
                                <w:noProof/>
                                <w:sz w:val="19"/>
                                <w:szCs w:val="19"/>
                                <w:lang w:val="en-GB"/>
                              </w:rPr>
                              <w:t>Leapfrogging High-Efficiency Lighting and Distribution Transformer’  P</w:t>
                            </w:r>
                            <w:r w:rsidRPr="00D7157A">
                              <w:rPr>
                                <w:noProof/>
                                <w:sz w:val="19"/>
                                <w:szCs w:val="19"/>
                                <w:lang w:val="en-GB"/>
                              </w:rPr>
                              <w:t xml:space="preserve">roject will build on the existing infrastructure and results of the GEF-financed, UNDP-implemented project </w:t>
                            </w:r>
                            <w:r w:rsidRPr="00D7157A">
                              <w:rPr>
                                <w:i/>
                                <w:noProof/>
                                <w:sz w:val="19"/>
                                <w:szCs w:val="19"/>
                                <w:lang w:val="en-GB"/>
                              </w:rPr>
                              <w:t>Market Transformation through Energy Efficiency Standards &amp; Labeling of Appliances in South Africa</w:t>
                            </w:r>
                            <w:r w:rsidRPr="00D7157A">
                              <w:rPr>
                                <w:noProof/>
                                <w:sz w:val="19"/>
                                <w:szCs w:val="19"/>
                                <w:lang w:val="en-GB"/>
                              </w:rPr>
                              <w:t xml:space="preserve"> (GEF 2692, UNDP PIMS 32</w:t>
                            </w:r>
                            <w:r>
                              <w:rPr>
                                <w:noProof/>
                                <w:sz w:val="19"/>
                                <w:szCs w:val="19"/>
                                <w:lang w:val="en-GB"/>
                              </w:rPr>
                              <w:t>77), implemented from 2013 to 2019.</w:t>
                            </w:r>
                            <w:r w:rsidRPr="00D7157A">
                              <w:rPr>
                                <w:noProof/>
                                <w:sz w:val="19"/>
                                <w:szCs w:val="19"/>
                                <w:lang w:val="en-GB"/>
                              </w:rPr>
                              <w:t xml:space="preserve"> The project aims at facilitating a comprehensive transformation of the home appliance market through the introduction of a combination of two regulatory tools, minimum energy performance standards and information labels (S&amp;L), accompanied by a series of associated awareness-building and monitoring activities.</w:t>
                            </w:r>
                            <w:r>
                              <w:rPr>
                                <w:noProof/>
                                <w:sz w:val="19"/>
                                <w:szCs w:val="19"/>
                                <w:lang w:val="en-GB"/>
                              </w:rPr>
                              <w:t xml:space="preserve"> </w:t>
                            </w:r>
                            <w:r w:rsidRPr="00D7157A">
                              <w:rPr>
                                <w:noProof/>
                                <w:sz w:val="19"/>
                                <w:szCs w:val="19"/>
                                <w:lang w:val="en-GB"/>
                              </w:rPr>
                              <w:t>The project has focussed on a number of 12 electric appliances: refrigerators, freezers, refrigerator-freezer combinations, front-load washing machines, top-load washing machines, tumble dryers, washer-dryer combinations, dishwashers, air conditioners, electric ovens, audio-visual equipment, and electric water heaters (geysers).</w:t>
                            </w:r>
                            <w:r>
                              <w:rPr>
                                <w:noProof/>
                                <w:sz w:val="19"/>
                                <w:szCs w:val="19"/>
                                <w:lang w:val="en-GB"/>
                              </w:rPr>
                              <w:t xml:space="preserve">  The following table gives a summary:</w:t>
                            </w:r>
                          </w:p>
                          <w:p w:rsidR="00540FEA" w:rsidRPr="00D7157A" w:rsidRDefault="00540FEA" w:rsidP="00F172FF">
                            <w:pPr>
                              <w:spacing w:after="0"/>
                              <w:rPr>
                                <w:noProof/>
                                <w:lang w:val="en-GB"/>
                              </w:rPr>
                            </w:pP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1"/>
                              <w:gridCol w:w="6441"/>
                            </w:tblGrid>
                            <w:tr w:rsidR="00540FEA" w:rsidRPr="00D7157A" w:rsidTr="001C729F">
                              <w:tc>
                                <w:tcPr>
                                  <w:tcW w:w="4191" w:type="dxa"/>
                                  <w:shd w:val="clear" w:color="auto" w:fill="auto"/>
                                </w:tcPr>
                                <w:p w:rsidR="00540FEA" w:rsidRPr="00D7157A" w:rsidRDefault="00540FEA" w:rsidP="001C729F">
                                  <w:pPr>
                                    <w:spacing w:after="0"/>
                                    <w:jc w:val="left"/>
                                    <w:rPr>
                                      <w:rFonts w:ascii="Arial Narrow" w:hAnsi="Arial Narrow"/>
                                      <w:b/>
                                      <w:noProof/>
                                      <w:sz w:val="18"/>
                                      <w:szCs w:val="18"/>
                                      <w:lang w:val="en-GB"/>
                                    </w:rPr>
                                  </w:pPr>
                                  <w:r w:rsidRPr="00D7157A">
                                    <w:rPr>
                                      <w:rFonts w:ascii="Arial Narrow" w:hAnsi="Arial Narrow"/>
                                      <w:b/>
                                      <w:noProof/>
                                      <w:sz w:val="18"/>
                                      <w:szCs w:val="18"/>
                                      <w:lang w:val="en-GB"/>
                                    </w:rPr>
                                    <w:t>Outputs</w:t>
                                  </w:r>
                                </w:p>
                              </w:tc>
                              <w:tc>
                                <w:tcPr>
                                  <w:tcW w:w="6441" w:type="dxa"/>
                                  <w:shd w:val="clear" w:color="auto" w:fill="auto"/>
                                </w:tcPr>
                                <w:p w:rsidR="00540FEA" w:rsidRPr="00D7157A" w:rsidRDefault="00540FEA" w:rsidP="001C729F">
                                  <w:pPr>
                                    <w:spacing w:after="0"/>
                                    <w:jc w:val="left"/>
                                    <w:rPr>
                                      <w:rFonts w:ascii="Arial Narrow" w:hAnsi="Arial Narrow"/>
                                      <w:b/>
                                      <w:noProof/>
                                      <w:sz w:val="18"/>
                                      <w:szCs w:val="18"/>
                                      <w:lang w:val="en-GB"/>
                                    </w:rPr>
                                  </w:pPr>
                                  <w:r>
                                    <w:rPr>
                                      <w:rFonts w:ascii="Arial Narrow" w:hAnsi="Arial Narrow"/>
                                      <w:b/>
                                      <w:noProof/>
                                      <w:sz w:val="18"/>
                                      <w:szCs w:val="18"/>
                                      <w:lang w:val="en-GB"/>
                                    </w:rPr>
                                    <w:t>Main results and</w:t>
                                  </w:r>
                                  <w:r w:rsidRPr="00D7157A">
                                    <w:rPr>
                                      <w:rFonts w:ascii="Arial Narrow" w:hAnsi="Arial Narrow"/>
                                      <w:b/>
                                      <w:noProof/>
                                      <w:sz w:val="18"/>
                                      <w:szCs w:val="18"/>
                                      <w:lang w:val="en-GB"/>
                                    </w:rPr>
                                    <w:t xml:space="preserve"> achievements by mid-2017</w:t>
                                  </w:r>
                                </w:p>
                              </w:tc>
                            </w:tr>
                            <w:tr w:rsidR="00540FEA" w:rsidRPr="00D7157A" w:rsidTr="001C729F">
                              <w:tc>
                                <w:tcPr>
                                  <w:tcW w:w="4191" w:type="dxa"/>
                                  <w:shd w:val="clear" w:color="auto" w:fill="auto"/>
                                </w:tcPr>
                                <w:p w:rsidR="00540FEA" w:rsidRPr="00B3588A" w:rsidRDefault="00540FEA" w:rsidP="001C729F">
                                  <w:pPr>
                                    <w:tabs>
                                      <w:tab w:val="left" w:pos="993"/>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1</w:t>
                                  </w:r>
                                  <w:r w:rsidRPr="00B3588A">
                                    <w:rPr>
                                      <w:rFonts w:ascii="Arial Narrow" w:hAnsi="Arial Narrow"/>
                                      <w:i/>
                                      <w:noProof/>
                                      <w:sz w:val="18"/>
                                      <w:szCs w:val="18"/>
                                      <w:lang w:val="en-GB"/>
                                    </w:rPr>
                                    <w:tab/>
                                    <w:t>Policy and regulatory framework for the S&amp;L programme: Strengthen structures and mechanisms for appliance EE S&amp;L</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1.1</w:t>
                                  </w:r>
                                  <w:r w:rsidRPr="00D7157A">
                                    <w:rPr>
                                      <w:rFonts w:ascii="Arial Narrow" w:hAnsi="Arial Narrow"/>
                                      <w:noProof/>
                                      <w:sz w:val="18"/>
                                      <w:szCs w:val="18"/>
                                      <w:lang w:val="en-GB"/>
                                    </w:rPr>
                                    <w:tab/>
                                    <w:t xml:space="preserve">Review of existing policies and regulations. </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1.2</w:t>
                                  </w:r>
                                  <w:r w:rsidRPr="00D7157A">
                                    <w:rPr>
                                      <w:rFonts w:ascii="Arial Narrow" w:hAnsi="Arial Narrow"/>
                                      <w:noProof/>
                                      <w:sz w:val="18"/>
                                      <w:szCs w:val="18"/>
                                      <w:lang w:val="en-GB"/>
                                    </w:rPr>
                                    <w:tab/>
                                    <w:t>Evaluation of financial incentives such as the rebate program operated by the Eskom DSM for purchasing efficient appliances.</w:t>
                                  </w:r>
                                </w:p>
                              </w:tc>
                              <w:tc>
                                <w:tcPr>
                                  <w:tcW w:w="6441" w:type="dxa"/>
                                  <w:shd w:val="clear" w:color="auto" w:fill="auto"/>
                                </w:tcPr>
                                <w:p w:rsidR="00540FEA" w:rsidRPr="00D7157A" w:rsidRDefault="00540FEA" w:rsidP="001C729F">
                                  <w:pPr>
                                    <w:widowControl w:val="0"/>
                                    <w:numPr>
                                      <w:ilvl w:val="0"/>
                                      <w:numId w:val="29"/>
                                    </w:numPr>
                                    <w:tabs>
                                      <w:tab w:val="left" w:pos="175"/>
                                      <w:tab w:val="num" w:pos="360"/>
                                    </w:tabs>
                                    <w:autoSpaceDE w:val="0"/>
                                    <w:autoSpaceDN w:val="0"/>
                                    <w:spacing w:after="0"/>
                                    <w:ind w:left="0" w:firstLine="0"/>
                                    <w:jc w:val="left"/>
                                    <w:rPr>
                                      <w:rFonts w:ascii="Arial Narrow" w:hAnsi="Arial Narrow"/>
                                      <w:noProof/>
                                      <w:sz w:val="18"/>
                                      <w:szCs w:val="18"/>
                                      <w:lang w:val="en-GB"/>
                                    </w:rPr>
                                  </w:pPr>
                                  <w:r w:rsidRPr="00D7157A">
                                    <w:rPr>
                                      <w:rFonts w:ascii="Arial Narrow" w:hAnsi="Arial Narrow"/>
                                      <w:noProof/>
                                      <w:sz w:val="18"/>
                                      <w:szCs w:val="18"/>
                                      <w:lang w:val="en-GB"/>
                                    </w:rPr>
                                    <w:t xml:space="preserve">Four studies have </w:t>
                                  </w:r>
                                  <w:r>
                                    <w:rPr>
                                      <w:rFonts w:ascii="Arial Narrow" w:hAnsi="Arial Narrow"/>
                                      <w:noProof/>
                                      <w:sz w:val="18"/>
                                      <w:szCs w:val="18"/>
                                      <w:lang w:val="en-GB"/>
                                    </w:rPr>
                                    <w:t>identified a number of incentive schemes (standards offfer for LED lights, subvention of electric geysers, swap programme, for refrigerators and a rebate system for purchasingg EE appliances), assessed cost and benefits and a fourth study (2017) will assess in the light of current situation and new government policies.</w:t>
                                  </w:r>
                                </w:p>
                              </w:tc>
                            </w:tr>
                            <w:tr w:rsidR="00540FEA" w:rsidRPr="00D7157A" w:rsidTr="001C729F">
                              <w:tc>
                                <w:tcPr>
                                  <w:tcW w:w="4191" w:type="dxa"/>
                                  <w:shd w:val="clear" w:color="auto" w:fill="auto"/>
                                </w:tcPr>
                                <w:p w:rsidR="00540FEA" w:rsidRPr="00B3588A" w:rsidRDefault="00540FEA" w:rsidP="001C729F">
                                  <w:pPr>
                                    <w:tabs>
                                      <w:tab w:val="left" w:pos="851"/>
                                      <w:tab w:val="left" w:pos="885"/>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2</w:t>
                                  </w:r>
                                  <w:r w:rsidRPr="00B3588A">
                                    <w:rPr>
                                      <w:rFonts w:ascii="Arial Narrow" w:hAnsi="Arial Narrow"/>
                                      <w:i/>
                                      <w:noProof/>
                                      <w:sz w:val="18"/>
                                      <w:szCs w:val="18"/>
                                      <w:lang w:val="en-GB"/>
                                    </w:rPr>
                                    <w:tab/>
                                    <w:t>Define labeling specifications and MEPS thresholds for the products considered by the DoE &amp; DTI for S&amp;L regulation</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2.1</w:t>
                                  </w:r>
                                  <w:r w:rsidRPr="00D7157A">
                                    <w:rPr>
                                      <w:rFonts w:ascii="Arial Narrow" w:hAnsi="Arial Narrow"/>
                                      <w:noProof/>
                                      <w:sz w:val="18"/>
                                      <w:szCs w:val="18"/>
                                      <w:lang w:val="en-GB"/>
                                    </w:rPr>
                                    <w:tab/>
                                    <w:t>Conduct market and engineering analysis for the products selected for S&amp;L regulation</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2.2</w:t>
                                  </w:r>
                                  <w:r w:rsidRPr="00D7157A">
                                    <w:rPr>
                                      <w:rFonts w:ascii="Arial Narrow" w:hAnsi="Arial Narrow"/>
                                      <w:noProof/>
                                      <w:sz w:val="18"/>
                                      <w:szCs w:val="18"/>
                                      <w:lang w:val="en-GB"/>
                                    </w:rPr>
                                    <w:tab/>
                                    <w:t>Adopt labeling specifications and MEPS thresholds for the 12 products selected for S&amp;L regulations</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M</w:t>
                                  </w:r>
                                  <w:r w:rsidRPr="005545CE">
                                    <w:rPr>
                                      <w:rFonts w:ascii="Arial Narrow" w:hAnsi="Arial Narrow"/>
                                      <w:noProof/>
                                      <w:sz w:val="18"/>
                                      <w:szCs w:val="18"/>
                                      <w:lang w:val="en-GB"/>
                                    </w:rPr>
                                    <w:t>arket and engineering analysis for all products has now been completed.The Minimum Energy Per</w:t>
                                  </w:r>
                                  <w:r>
                                    <w:rPr>
                                      <w:rFonts w:ascii="Arial Narrow" w:hAnsi="Arial Narrow"/>
                                      <w:noProof/>
                                      <w:sz w:val="18"/>
                                      <w:szCs w:val="18"/>
                                      <w:lang w:val="en-GB"/>
                                    </w:rPr>
                                    <w:t>formance Standards (MEPS) for household electric</w:t>
                                  </w:r>
                                  <w:r w:rsidRPr="005545CE">
                                    <w:rPr>
                                      <w:rFonts w:ascii="Arial Narrow" w:hAnsi="Arial Narrow"/>
                                      <w:noProof/>
                                      <w:sz w:val="18"/>
                                      <w:szCs w:val="18"/>
                                      <w:lang w:val="en-GB"/>
                                    </w:rPr>
                                    <w:t xml:space="preserve"> appliances have been set and promulgated through NRCS regulations </w:t>
                                  </w:r>
                                  <w:r>
                                    <w:rPr>
                                      <w:rFonts w:ascii="Arial Narrow" w:hAnsi="Arial Narrow"/>
                                      <w:noProof/>
                                      <w:sz w:val="18"/>
                                      <w:szCs w:val="18"/>
                                      <w:lang w:val="en-GB"/>
                                    </w:rPr>
                                    <w:t>VC9008 (described in the main text), MEPS have been approved, and started to be enforced since March 2015 (a</w:t>
                                  </w:r>
                                  <w:r w:rsidRPr="000D1199">
                                    <w:rPr>
                                      <w:rFonts w:ascii="Arial Narrow" w:hAnsi="Arial Narrow"/>
                                      <w:noProof/>
                                      <w:sz w:val="18"/>
                                      <w:szCs w:val="18"/>
                                      <w:lang w:val="en-GB"/>
                                    </w:rPr>
                                    <w:t>udio-visual equipment</w:t>
                                  </w:r>
                                  <w:r>
                                    <w:rPr>
                                      <w:rFonts w:ascii="Arial Narrow" w:hAnsi="Arial Narrow"/>
                                      <w:noProof/>
                                      <w:sz w:val="18"/>
                                      <w:szCs w:val="18"/>
                                      <w:lang w:val="en-GB"/>
                                    </w:rPr>
                                    <w:t>); February 2016 (</w:t>
                                  </w:r>
                                  <w:r w:rsidRPr="00270A6C">
                                    <w:rPr>
                                      <w:rFonts w:ascii="Arial Narrow" w:hAnsi="Arial Narrow"/>
                                      <w:noProof/>
                                      <w:sz w:val="18"/>
                                      <w:szCs w:val="18"/>
                                      <w:lang w:val="en-GB"/>
                                    </w:rPr>
                                    <w:t>dishwashers, washing machines, tumble dryers and/or washer-dryers, refrigerators and freezers</w:t>
                                  </w:r>
                                  <w:r>
                                    <w:rPr>
                                      <w:rFonts w:ascii="Arial Narrow" w:hAnsi="Arial Narrow"/>
                                      <w:noProof/>
                                      <w:sz w:val="18"/>
                                      <w:szCs w:val="18"/>
                                      <w:lang w:val="en-GB"/>
                                    </w:rPr>
                                    <w:t>), August 2016 (air</w:t>
                                  </w:r>
                                  <w:r w:rsidRPr="000D1199">
                                    <w:rPr>
                                      <w:rFonts w:ascii="Arial Narrow" w:hAnsi="Arial Narrow"/>
                                      <w:noProof/>
                                      <w:sz w:val="18"/>
                                      <w:szCs w:val="18"/>
                                      <w:lang w:val="en-GB"/>
                                    </w:rPr>
                                    <w:t xml:space="preserve"> conditioners</w:t>
                                  </w:r>
                                  <w:r>
                                    <w:rPr>
                                      <w:rFonts w:ascii="Arial Narrow" w:hAnsi="Arial Narrow"/>
                                      <w:noProof/>
                                      <w:sz w:val="18"/>
                                      <w:szCs w:val="18"/>
                                      <w:lang w:val="en-GB"/>
                                    </w:rPr>
                                    <w:t>); and August 2017 (water heaters/geysers)</w:t>
                                  </w:r>
                                </w:p>
                                <w:p w:rsidR="00540FEA" w:rsidRDefault="00540FEA" w:rsidP="001C729F">
                                  <w:pPr>
                                    <w:widowControl w:val="0"/>
                                    <w:numPr>
                                      <w:ilvl w:val="0"/>
                                      <w:numId w:val="29"/>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8A134C">
                                    <w:rPr>
                                      <w:rFonts w:ascii="Arial Narrow" w:hAnsi="Arial Narrow"/>
                                      <w:noProof/>
                                      <w:sz w:val="18"/>
                                      <w:szCs w:val="18"/>
                                      <w:lang w:val="en-GB"/>
                                    </w:rPr>
                                    <w:t>The EE label design was completed in September 2015 through a consultative process with appliance manufacturers and relevant government authorities</w:t>
                                  </w:r>
                                  <w:r>
                                    <w:rPr>
                                      <w:rFonts w:ascii="Arial Narrow" w:hAnsi="Arial Narrow"/>
                                      <w:noProof/>
                                      <w:sz w:val="18"/>
                                      <w:szCs w:val="18"/>
                                      <w:lang w:val="en-GB"/>
                                    </w:rPr>
                                    <w:t xml:space="preserve"> The </w:t>
                                  </w:r>
                                  <w:r w:rsidRPr="000D1D65">
                                    <w:rPr>
                                      <w:rFonts w:ascii="Arial Narrow" w:hAnsi="Arial Narrow"/>
                                      <w:i/>
                                      <w:noProof/>
                                      <w:sz w:val="18"/>
                                      <w:szCs w:val="18"/>
                                      <w:lang w:val="en-GB"/>
                                    </w:rPr>
                                    <w:t>Guide for Energy Efficiency Labelling</w:t>
                                  </w:r>
                                  <w:r w:rsidRPr="000D1D65">
                                    <w:rPr>
                                      <w:rFonts w:ascii="Arial Narrow" w:hAnsi="Arial Narrow"/>
                                      <w:noProof/>
                                      <w:sz w:val="18"/>
                                      <w:szCs w:val="18"/>
                                      <w:lang w:val="en-GB"/>
                                    </w:rPr>
                                    <w:t xml:space="preserve">, published by DoE/DTI </w:t>
                                  </w:r>
                                  <w:r>
                                    <w:rPr>
                                      <w:rFonts w:ascii="Arial Narrow" w:hAnsi="Arial Narrow"/>
                                      <w:noProof/>
                                      <w:sz w:val="18"/>
                                      <w:szCs w:val="18"/>
                                      <w:lang w:val="en-GB"/>
                                    </w:rPr>
                                    <w:t xml:space="preserve">was launched in 2016 and </w:t>
                                  </w:r>
                                  <w:r w:rsidRPr="000D1D65">
                                    <w:rPr>
                                      <w:rFonts w:ascii="Arial Narrow" w:hAnsi="Arial Narrow"/>
                                      <w:noProof/>
                                      <w:sz w:val="18"/>
                                      <w:szCs w:val="18"/>
                                      <w:lang w:val="en-GB"/>
                                    </w:rPr>
                                    <w:t>provides the basis for the labelling system in South Africa of above-mentioned electric appliances.</w:t>
                                  </w:r>
                                </w:p>
                                <w:p w:rsidR="00540FEA" w:rsidRPr="008A134C" w:rsidRDefault="00540FEA" w:rsidP="001C729F">
                                  <w:pPr>
                                    <w:widowControl w:val="0"/>
                                    <w:numPr>
                                      <w:ilvl w:val="0"/>
                                      <w:numId w:val="29"/>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1C729F">
                                    <w:rPr>
                                      <w:rFonts w:ascii="Arial Narrow" w:hAnsi="Arial Narrow"/>
                                      <w:noProof/>
                                      <w:sz w:val="18"/>
                                      <w:szCs w:val="18"/>
                                      <w:lang w:val="en-GB"/>
                                    </w:rPr>
                                    <w:t>A trial incentive programme is being designed for Gauteng (starting 2nd half 2018). This would go together with a survey on consumer attitudes and preferences</w:t>
                                  </w:r>
                                  <w:r>
                                    <w:rPr>
                                      <w:rFonts w:ascii="Arial Narrow" w:hAnsi="Arial Narrow"/>
                                      <w:noProof/>
                                      <w:sz w:val="18"/>
                                      <w:szCs w:val="18"/>
                                      <w:lang w:val="en-GB"/>
                                    </w:rPr>
                                    <w:t xml:space="preserve">, and </w:t>
                                  </w:r>
                                  <w:r w:rsidRPr="001C729F">
                                    <w:rPr>
                                      <w:rFonts w:ascii="Arial Narrow" w:hAnsi="Arial Narrow"/>
                                      <w:noProof/>
                                      <w:sz w:val="18"/>
                                      <w:szCs w:val="18"/>
                                      <w:lang w:val="en-GB"/>
                                    </w:rPr>
                                    <w:t>will be linked with the presentation of endorsement labels</w:t>
                                  </w:r>
                                  <w:r>
                                    <w:rPr>
                                      <w:rFonts w:ascii="Arial Narrow" w:hAnsi="Arial Narrow"/>
                                      <w:noProof/>
                                      <w:sz w:val="18"/>
                                      <w:szCs w:val="18"/>
                                      <w:lang w:val="en-GB"/>
                                    </w:rPr>
                                    <w:t xml:space="preserve"> (see also main text at the end of Section E.3)</w:t>
                                  </w:r>
                                </w:p>
                              </w:tc>
                            </w:tr>
                            <w:tr w:rsidR="00540FEA" w:rsidRPr="00D7157A" w:rsidTr="001C729F">
                              <w:tc>
                                <w:tcPr>
                                  <w:tcW w:w="4191" w:type="dxa"/>
                                  <w:shd w:val="clear" w:color="auto" w:fill="auto"/>
                                </w:tcPr>
                                <w:p w:rsidR="00540FEA" w:rsidRPr="00D31FB9" w:rsidRDefault="00540FEA" w:rsidP="001C729F">
                                  <w:pPr>
                                    <w:tabs>
                                      <w:tab w:val="left" w:pos="851"/>
                                    </w:tabs>
                                    <w:spacing w:after="0"/>
                                    <w:ind w:left="851" w:hanging="851"/>
                                    <w:jc w:val="left"/>
                                    <w:rPr>
                                      <w:rFonts w:ascii="Arial Narrow" w:hAnsi="Arial Narrow"/>
                                      <w:i/>
                                      <w:noProof/>
                                      <w:sz w:val="18"/>
                                      <w:szCs w:val="18"/>
                                      <w:lang w:val="en-GB"/>
                                    </w:rPr>
                                  </w:pPr>
                                  <w:r w:rsidRPr="00D31FB9">
                                    <w:rPr>
                                      <w:rFonts w:ascii="Arial Narrow" w:hAnsi="Arial Narrow"/>
                                      <w:i/>
                                      <w:noProof/>
                                      <w:sz w:val="18"/>
                                      <w:szCs w:val="18"/>
                                      <w:lang w:val="en-GB"/>
                                    </w:rPr>
                                    <w:t>Outcome 3</w:t>
                                  </w:r>
                                  <w:r w:rsidRPr="00D31FB9">
                                    <w:rPr>
                                      <w:rFonts w:ascii="Arial Narrow" w:hAnsi="Arial Narrow"/>
                                      <w:i/>
                                      <w:noProof/>
                                      <w:sz w:val="18"/>
                                      <w:szCs w:val="18"/>
                                      <w:lang w:val="en-GB"/>
                                    </w:rPr>
                                    <w:tab/>
                                    <w:t>Strengthen the capacity of institutions and individuals involved in the S&amp;L programme</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3.1</w:t>
                                  </w:r>
                                  <w:r>
                                    <w:rPr>
                                      <w:rFonts w:ascii="Arial Narrow" w:hAnsi="Arial Narrow"/>
                                      <w:noProof/>
                                      <w:sz w:val="18"/>
                                      <w:szCs w:val="18"/>
                                      <w:lang w:val="en-GB"/>
                                    </w:rPr>
                                    <w:tab/>
                                  </w:r>
                                  <w:r w:rsidRPr="00D7157A">
                                    <w:rPr>
                                      <w:rFonts w:ascii="Arial Narrow" w:hAnsi="Arial Narrow"/>
                                      <w:noProof/>
                                      <w:sz w:val="18"/>
                                      <w:szCs w:val="18"/>
                                      <w:lang w:val="en-GB"/>
                                    </w:rPr>
                                    <w:t>Strengthen</w:t>
                                  </w:r>
                                  <w:r>
                                    <w:rPr>
                                      <w:rFonts w:ascii="Arial Narrow" w:hAnsi="Arial Narrow"/>
                                      <w:noProof/>
                                      <w:sz w:val="18"/>
                                      <w:szCs w:val="18"/>
                                      <w:lang w:val="en-GB"/>
                                    </w:rPr>
                                    <w:t xml:space="preserve"> </w:t>
                                  </w:r>
                                  <w:r w:rsidRPr="00D7157A">
                                    <w:rPr>
                                      <w:rFonts w:ascii="Arial Narrow" w:hAnsi="Arial Narrow"/>
                                      <w:noProof/>
                                      <w:sz w:val="18"/>
                                      <w:szCs w:val="18"/>
                                      <w:lang w:val="en-GB"/>
                                    </w:rPr>
                                    <w:t>institutions (testing facilities,</w:t>
                                  </w:r>
                                  <w:r>
                                    <w:rPr>
                                      <w:rFonts w:ascii="Arial Narrow" w:hAnsi="Arial Narrow"/>
                                      <w:noProof/>
                                      <w:sz w:val="18"/>
                                      <w:szCs w:val="18"/>
                                      <w:lang w:val="en-GB"/>
                                    </w:rPr>
                                    <w:t xml:space="preserve"> enforcement institution</w:t>
                                  </w:r>
                                  <w:r w:rsidRPr="00D7157A">
                                    <w:rPr>
                                      <w:rFonts w:ascii="Arial Narrow" w:hAnsi="Arial Narrow"/>
                                      <w:noProof/>
                                      <w:sz w:val="18"/>
                                      <w:szCs w:val="18"/>
                                      <w:lang w:val="en-GB"/>
                                    </w:rPr>
                                    <w:t>)</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3.2</w:t>
                                  </w:r>
                                  <w:r>
                                    <w:rPr>
                                      <w:rFonts w:ascii="Arial Narrow" w:hAnsi="Arial Narrow"/>
                                      <w:noProof/>
                                      <w:sz w:val="18"/>
                                      <w:szCs w:val="18"/>
                                      <w:lang w:val="en-GB"/>
                                    </w:rPr>
                                    <w:tab/>
                                    <w:t>Strengthen employee skills</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33"/>
                                    <w:jc w:val="left"/>
                                    <w:rPr>
                                      <w:rFonts w:ascii="Arial Narrow" w:hAnsi="Arial Narrow"/>
                                      <w:noProof/>
                                      <w:sz w:val="18"/>
                                      <w:szCs w:val="18"/>
                                      <w:lang w:val="en-GB"/>
                                    </w:rPr>
                                  </w:pPr>
                                  <w:r w:rsidRPr="000D1199">
                                    <w:rPr>
                                      <w:rFonts w:ascii="Arial Narrow" w:hAnsi="Arial Narrow"/>
                                      <w:noProof/>
                                      <w:sz w:val="18"/>
                                      <w:szCs w:val="18"/>
                                      <w:lang w:val="en-GB"/>
                                    </w:rPr>
                                    <w:t>A private laboratory (Test Africa) is accredited to test the energy efficiency of electric water heaters, ovens and standby power</w:t>
                                  </w:r>
                                  <w:r>
                                    <w:rPr>
                                      <w:rFonts w:ascii="Arial Narrow" w:hAnsi="Arial Narrow"/>
                                      <w:noProof/>
                                      <w:sz w:val="18"/>
                                      <w:szCs w:val="18"/>
                                      <w:lang w:val="en-GB"/>
                                    </w:rPr>
                                    <w:t xml:space="preserve">. </w:t>
                                  </w:r>
                                  <w:r w:rsidRPr="005545CE">
                                    <w:rPr>
                                      <w:rFonts w:ascii="Arial Narrow" w:hAnsi="Arial Narrow"/>
                                      <w:noProof/>
                                      <w:sz w:val="18"/>
                                      <w:szCs w:val="18"/>
                                      <w:lang w:val="en-GB"/>
                                    </w:rPr>
                                    <w:t>SABS is accredited to test for energy efficiency of standby power (audio and visual), lighting, water heaters, ovens and refrigerators</w:t>
                                  </w:r>
                                  <w:r>
                                    <w:rPr>
                                      <w:rFonts w:ascii="Arial Narrow" w:hAnsi="Arial Narrow"/>
                                      <w:noProof/>
                                      <w:sz w:val="18"/>
                                      <w:szCs w:val="18"/>
                                      <w:lang w:val="en-GB"/>
                                    </w:rPr>
                                    <w:t xml:space="preserve">, however, </w:t>
                                  </w:r>
                                  <w:r w:rsidRPr="005545CE">
                                    <w:rPr>
                                      <w:rFonts w:ascii="Arial Narrow" w:hAnsi="Arial Narrow"/>
                                      <w:noProof/>
                                      <w:sz w:val="18"/>
                                      <w:szCs w:val="18"/>
                                      <w:lang w:val="en-GB"/>
                                    </w:rPr>
                                    <w:t xml:space="preserve"> </w:t>
                                  </w:r>
                                  <w:r w:rsidRPr="000D1D65">
                                    <w:rPr>
                                      <w:rFonts w:ascii="Arial Narrow" w:hAnsi="Arial Narrow"/>
                                      <w:noProof/>
                                      <w:sz w:val="18"/>
                                      <w:szCs w:val="18"/>
                                      <w:lang w:val="en-GB"/>
                                    </w:rPr>
                                    <w:t>only the water heater, lighting and audio/visual labs were operationa</w:t>
                                  </w:r>
                                  <w:r>
                                    <w:rPr>
                                      <w:rFonts w:ascii="Arial Narrow" w:hAnsi="Arial Narrow"/>
                                      <w:noProof/>
                                      <w:sz w:val="18"/>
                                      <w:szCs w:val="18"/>
                                      <w:lang w:val="en-GB"/>
                                    </w:rPr>
                                    <w:t>l by mid-2017.</w:t>
                                  </w:r>
                                  <w:r w:rsidRPr="000D1D65">
                                    <w:rPr>
                                      <w:rFonts w:ascii="Arial Narrow" w:hAnsi="Arial Narrow"/>
                                      <w:noProof/>
                                      <w:sz w:val="18"/>
                                      <w:szCs w:val="18"/>
                                      <w:lang w:val="en-GB"/>
                                    </w:rPr>
                                    <w:t xml:space="preserve"> SANAS assessed SABS </w:t>
                                  </w:r>
                                  <w:r>
                                    <w:rPr>
                                      <w:rFonts w:ascii="Arial Narrow" w:hAnsi="Arial Narrow"/>
                                      <w:noProof/>
                                      <w:sz w:val="18"/>
                                      <w:szCs w:val="18"/>
                                      <w:lang w:val="en-GB"/>
                                    </w:rPr>
                                    <w:t xml:space="preserve">for accreditation in </w:t>
                                  </w:r>
                                  <w:r w:rsidRPr="000D1D65">
                                    <w:rPr>
                                      <w:rFonts w:ascii="Arial Narrow" w:hAnsi="Arial Narrow"/>
                                      <w:noProof/>
                                      <w:sz w:val="18"/>
                                      <w:szCs w:val="18"/>
                                      <w:lang w:val="en-GB"/>
                                    </w:rPr>
                                    <w:t>February 2016</w:t>
                                  </w:r>
                                  <w:r>
                                    <w:rPr>
                                      <w:rFonts w:ascii="Arial Narrow" w:hAnsi="Arial Narrow"/>
                                      <w:noProof/>
                                      <w:sz w:val="18"/>
                                      <w:szCs w:val="18"/>
                                      <w:lang w:val="en-GB"/>
                                    </w:rPr>
                                    <w:t xml:space="preserve">. </w:t>
                                  </w:r>
                                  <w:r w:rsidRPr="005545CE">
                                    <w:rPr>
                                      <w:rFonts w:ascii="Arial Narrow" w:hAnsi="Arial Narrow"/>
                                      <w:noProof/>
                                      <w:sz w:val="18"/>
                                      <w:szCs w:val="18"/>
                                      <w:lang w:val="en-GB"/>
                                    </w:rPr>
                                    <w:t>The test laboratories for dishwasher and laundry will be operational in 2017.</w:t>
                                  </w:r>
                                  <w:r>
                                    <w:t xml:space="preserve"> </w:t>
                                  </w:r>
                                  <w:r w:rsidRPr="008A134C">
                                    <w:rPr>
                                      <w:rFonts w:ascii="Arial Narrow" w:hAnsi="Arial Narrow"/>
                                      <w:noProof/>
                                      <w:sz w:val="18"/>
                                      <w:szCs w:val="18"/>
                                      <w:lang w:val="en-GB"/>
                                    </w:rPr>
                                    <w:t>The project assisted SABS with institutional and individual capacity-building</w:t>
                                  </w:r>
                                  <w:r>
                                    <w:rPr>
                                      <w:rFonts w:ascii="Arial Narrow" w:hAnsi="Arial Narrow"/>
                                      <w:noProof/>
                                      <w:sz w:val="18"/>
                                      <w:szCs w:val="18"/>
                                      <w:lang w:val="en-GB"/>
                                    </w:rPr>
                                    <w:t>.</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sidRPr="00D57985">
                                    <w:rPr>
                                      <w:rFonts w:ascii="Arial Narrow" w:hAnsi="Arial Narrow"/>
                                      <w:noProof/>
                                      <w:sz w:val="18"/>
                                      <w:szCs w:val="18"/>
                                      <w:lang w:val="en-GB"/>
                                    </w:rPr>
                                    <w:t>NRCS developed modules and training materials to training its inspectors. The modules include the learners’ materials, the trainers’ guide and assessment modules. Modules were completed for audio-visual equipment and white goods</w:t>
                                  </w:r>
                                </w:p>
                              </w:tc>
                            </w:tr>
                            <w:tr w:rsidR="00540FEA" w:rsidRPr="00D7157A" w:rsidTr="001C729F">
                              <w:tc>
                                <w:tcPr>
                                  <w:tcW w:w="4191" w:type="dxa"/>
                                  <w:shd w:val="clear" w:color="auto" w:fill="auto"/>
                                </w:tcPr>
                                <w:p w:rsidR="00540FEA" w:rsidRPr="00D31FB9" w:rsidRDefault="00540FEA" w:rsidP="001C729F">
                                  <w:pPr>
                                    <w:tabs>
                                      <w:tab w:val="left" w:pos="567"/>
                                    </w:tabs>
                                    <w:spacing w:after="0"/>
                                    <w:ind w:left="993" w:hanging="993"/>
                                    <w:jc w:val="left"/>
                                    <w:rPr>
                                      <w:rFonts w:ascii="Arial Narrow" w:hAnsi="Arial Narrow"/>
                                      <w:i/>
                                      <w:noProof/>
                                      <w:sz w:val="18"/>
                                      <w:szCs w:val="18"/>
                                      <w:lang w:val="en-GB"/>
                                    </w:rPr>
                                  </w:pPr>
                                  <w:r w:rsidRPr="00D31FB9">
                                    <w:rPr>
                                      <w:rFonts w:ascii="Arial Narrow" w:hAnsi="Arial Narrow"/>
                                      <w:i/>
                                      <w:noProof/>
                                      <w:sz w:val="18"/>
                                      <w:szCs w:val="18"/>
                                      <w:lang w:val="en-GB"/>
                                    </w:rPr>
                                    <w:t>Outcome 4</w:t>
                                  </w:r>
                                  <w:r w:rsidRPr="00D31FB9">
                                    <w:rPr>
                                      <w:rFonts w:ascii="Arial Narrow" w:hAnsi="Arial Narrow"/>
                                      <w:i/>
                                      <w:noProof/>
                                      <w:sz w:val="18"/>
                                      <w:szCs w:val="18"/>
                                      <w:lang w:val="en-GB"/>
                                    </w:rPr>
                                    <w:tab/>
                                    <w:t>Awareness raising campaign for standards and labels, targeting manufacturers, distributors, retailers and end-users.</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4.1</w:t>
                                  </w:r>
                                  <w:r>
                                    <w:rPr>
                                      <w:rFonts w:ascii="Arial Narrow" w:hAnsi="Arial Narrow"/>
                                      <w:noProof/>
                                      <w:sz w:val="18"/>
                                      <w:szCs w:val="18"/>
                                      <w:lang w:val="en-GB"/>
                                    </w:rPr>
                                    <w:tab/>
                                    <w:t>Test and adopt label design</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4.2</w:t>
                                  </w:r>
                                  <w:r>
                                    <w:rPr>
                                      <w:rFonts w:ascii="Arial Narrow" w:hAnsi="Arial Narrow"/>
                                      <w:noProof/>
                                      <w:sz w:val="18"/>
                                      <w:szCs w:val="18"/>
                                      <w:lang w:val="en-GB"/>
                                    </w:rPr>
                                    <w:tab/>
                                  </w:r>
                                  <w:r w:rsidRPr="00D451A0">
                                    <w:rPr>
                                      <w:rFonts w:ascii="Arial Narrow" w:hAnsi="Arial Narrow"/>
                                      <w:noProof/>
                                      <w:sz w:val="18"/>
                                      <w:szCs w:val="18"/>
                                      <w:lang w:val="en-GB"/>
                                    </w:rPr>
                                    <w:t>Develop communication campaign towards manufacturers, importers, distributors, retailers and consumers about appliances’ energy efficiency</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4.3</w:t>
                                  </w:r>
                                  <w:r>
                                    <w:rPr>
                                      <w:rFonts w:ascii="Arial Narrow" w:hAnsi="Arial Narrow"/>
                                      <w:noProof/>
                                      <w:sz w:val="18"/>
                                      <w:szCs w:val="18"/>
                                      <w:lang w:val="en-GB"/>
                                    </w:rPr>
                                    <w:tab/>
                                  </w:r>
                                  <w:r w:rsidRPr="00D451A0">
                                    <w:rPr>
                                      <w:rFonts w:ascii="Arial Narrow" w:hAnsi="Arial Narrow"/>
                                      <w:noProof/>
                                      <w:sz w:val="18"/>
                                      <w:szCs w:val="18"/>
                                      <w:lang w:val="en-GB"/>
                                    </w:rPr>
                                    <w:t>Develop and deliver training programs for distributors and retailers staff.</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A</w:t>
                                  </w:r>
                                  <w:r w:rsidRPr="000D1D65">
                                    <w:rPr>
                                      <w:rFonts w:ascii="Arial Narrow" w:hAnsi="Arial Narrow"/>
                                      <w:noProof/>
                                      <w:sz w:val="18"/>
                                      <w:szCs w:val="18"/>
                                      <w:lang w:val="en-GB"/>
                                    </w:rPr>
                                    <w:t xml:space="preserve"> one-month long market surveillance of retail floor sales staff by the NRCS in all major cities found that recognition and understanding of the label was only at 15%</w:t>
                                  </w:r>
                                  <w:r>
                                    <w:rPr>
                                      <w:rFonts w:ascii="Arial Narrow" w:hAnsi="Arial Narrow"/>
                                      <w:noProof/>
                                      <w:sz w:val="18"/>
                                      <w:szCs w:val="18"/>
                                      <w:lang w:val="en-GB"/>
                                    </w:rPr>
                                    <w:t xml:space="preserve">. A communicatoon plan was prepared in 2016. </w:t>
                                  </w:r>
                                  <w:r w:rsidRPr="008A134C">
                                    <w:rPr>
                                      <w:rFonts w:ascii="Arial Narrow" w:hAnsi="Arial Narrow"/>
                                      <w:noProof/>
                                      <w:sz w:val="18"/>
                                      <w:szCs w:val="18"/>
                                      <w:lang w:val="en-GB"/>
                                    </w:rPr>
                                    <w:t xml:space="preserve">Implementation of the campaign includes stakeholder engagements, development of a training programme for retail sales personnel, messaging (through social media platforms, media releases and advertorials). </w:t>
                                  </w:r>
                                  <w:r>
                                    <w:rPr>
                                      <w:rFonts w:ascii="Arial Narrow" w:hAnsi="Arial Narrow"/>
                                      <w:noProof/>
                                      <w:sz w:val="18"/>
                                      <w:szCs w:val="18"/>
                                      <w:lang w:val="en-GB"/>
                                    </w:rPr>
                                    <w:t>A</w:t>
                                  </w:r>
                                  <w:r w:rsidRPr="000D1D65">
                                    <w:rPr>
                                      <w:rFonts w:ascii="Arial Narrow" w:hAnsi="Arial Narrow"/>
                                      <w:noProof/>
                                      <w:sz w:val="18"/>
                                      <w:szCs w:val="18"/>
                                      <w:lang w:val="en-GB"/>
                                    </w:rPr>
                                    <w:t xml:space="preserve">fter the media campaign </w:t>
                                  </w:r>
                                  <w:r>
                                    <w:rPr>
                                      <w:rFonts w:ascii="Arial Narrow" w:hAnsi="Arial Narrow"/>
                                      <w:noProof/>
                                      <w:sz w:val="18"/>
                                      <w:szCs w:val="18"/>
                                      <w:lang w:val="en-GB"/>
                                    </w:rPr>
                                    <w:t>will be</w:t>
                                  </w:r>
                                  <w:r w:rsidRPr="000D1D65">
                                    <w:rPr>
                                      <w:rFonts w:ascii="Arial Narrow" w:hAnsi="Arial Narrow"/>
                                      <w:noProof/>
                                      <w:sz w:val="18"/>
                                      <w:szCs w:val="18"/>
                                      <w:lang w:val="en-GB"/>
                                    </w:rPr>
                                    <w:t xml:space="preserve"> completed</w:t>
                                  </w:r>
                                  <w:r>
                                    <w:rPr>
                                      <w:rFonts w:ascii="Arial Narrow" w:hAnsi="Arial Narrow"/>
                                      <w:noProof/>
                                      <w:sz w:val="18"/>
                                      <w:szCs w:val="18"/>
                                      <w:lang w:val="en-GB"/>
                                    </w:rPr>
                                    <w:t xml:space="preserve"> (preparation will start in 2017), new research will ascertain the effect of the label on users and retailers.</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D57985">
                                    <w:rPr>
                                      <w:rFonts w:ascii="Arial Narrow" w:hAnsi="Arial Narrow"/>
                                      <w:noProof/>
                                      <w:sz w:val="18"/>
                                      <w:szCs w:val="18"/>
                                      <w:lang w:val="en-GB"/>
                                    </w:rPr>
                                    <w:t>raining</w:t>
                                  </w:r>
                                  <w:r>
                                    <w:rPr>
                                      <w:rFonts w:ascii="Arial Narrow" w:hAnsi="Arial Narrow"/>
                                      <w:noProof/>
                                      <w:sz w:val="18"/>
                                      <w:szCs w:val="18"/>
                                      <w:lang w:val="en-GB"/>
                                    </w:rPr>
                                    <w:t xml:space="preserve"> will be organised 2017-18</w:t>
                                  </w:r>
                                  <w:r w:rsidRPr="00D57985">
                                    <w:rPr>
                                      <w:rFonts w:ascii="Arial Narrow" w:hAnsi="Arial Narrow"/>
                                      <w:noProof/>
                                      <w:sz w:val="18"/>
                                      <w:szCs w:val="18"/>
                                      <w:lang w:val="en-GB"/>
                                    </w:rPr>
                                    <w:t xml:space="preserve"> to prepare retail sales personnel to understand and to explain the choices available to consumers when purchasing new appliances.</w:t>
                                  </w:r>
                                </w:p>
                              </w:tc>
                            </w:tr>
                            <w:tr w:rsidR="00540FEA" w:rsidRPr="00D7157A" w:rsidTr="001C729F">
                              <w:tc>
                                <w:tcPr>
                                  <w:tcW w:w="4191" w:type="dxa"/>
                                  <w:shd w:val="clear" w:color="auto" w:fill="auto"/>
                                </w:tcPr>
                                <w:p w:rsidR="00540FEA" w:rsidRPr="006A68A3" w:rsidRDefault="00540FEA" w:rsidP="001C729F">
                                  <w:pPr>
                                    <w:tabs>
                                      <w:tab w:val="left" w:pos="993"/>
                                    </w:tabs>
                                    <w:spacing w:after="0"/>
                                    <w:ind w:left="993" w:hanging="993"/>
                                    <w:jc w:val="left"/>
                                    <w:rPr>
                                      <w:rFonts w:ascii="Arial Narrow" w:hAnsi="Arial Narrow"/>
                                      <w:i/>
                                      <w:noProof/>
                                      <w:sz w:val="18"/>
                                      <w:szCs w:val="18"/>
                                      <w:lang w:val="en-GB"/>
                                    </w:rPr>
                                  </w:pPr>
                                  <w:r w:rsidRPr="006A68A3">
                                    <w:rPr>
                                      <w:rFonts w:ascii="Arial Narrow" w:hAnsi="Arial Narrow"/>
                                      <w:i/>
                                      <w:noProof/>
                                      <w:sz w:val="18"/>
                                      <w:szCs w:val="18"/>
                                      <w:lang w:val="en-GB"/>
                                    </w:rPr>
                                    <w:t>Outcome 5</w:t>
                                  </w:r>
                                  <w:r w:rsidRPr="006A68A3">
                                    <w:rPr>
                                      <w:rFonts w:ascii="Arial Narrow" w:hAnsi="Arial Narrow"/>
                                      <w:i/>
                                      <w:noProof/>
                                      <w:sz w:val="18"/>
                                      <w:szCs w:val="18"/>
                                      <w:lang w:val="en-GB"/>
                                    </w:rPr>
                                    <w:tab/>
                                    <w:t>Implementation of S&amp;L market surveillance &amp; compliance (MSC) regime to ensure energy performance standards is met</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C047F2">
                                    <w:rPr>
                                      <w:rFonts w:ascii="Arial Narrow" w:hAnsi="Arial Narrow"/>
                                      <w:noProof/>
                                      <w:sz w:val="18"/>
                                      <w:szCs w:val="18"/>
                                      <w:lang w:val="en-GB"/>
                                    </w:rPr>
                                    <w:t>he develop</w:t>
                                  </w:r>
                                  <w:r>
                                    <w:rPr>
                                      <w:rFonts w:ascii="Arial Narrow" w:hAnsi="Arial Narrow"/>
                                      <w:noProof/>
                                      <w:sz w:val="18"/>
                                      <w:szCs w:val="18"/>
                                      <w:lang w:val="en-GB"/>
                                    </w:rPr>
                                    <w:t xml:space="preserve">ment of MCS procedures will </w:t>
                                  </w:r>
                                  <w:r w:rsidRPr="00C047F2">
                                    <w:rPr>
                                      <w:rFonts w:ascii="Arial Narrow" w:hAnsi="Arial Narrow"/>
                                      <w:noProof/>
                                      <w:sz w:val="18"/>
                                      <w:szCs w:val="18"/>
                                      <w:lang w:val="en-GB"/>
                                    </w:rPr>
                                    <w:t>be assigned to an independent service provid</w:t>
                                  </w:r>
                                  <w:r>
                                    <w:rPr>
                                      <w:rFonts w:ascii="Arial Narrow" w:hAnsi="Arial Narrow"/>
                                      <w:noProof/>
                                      <w:sz w:val="18"/>
                                      <w:szCs w:val="18"/>
                                      <w:lang w:val="en-GB"/>
                                    </w:rPr>
                                    <w:t>er that will work with the NRCS starting 2017</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sidRPr="00C047F2">
                                    <w:rPr>
                                      <w:rFonts w:ascii="Arial Narrow" w:hAnsi="Arial Narrow"/>
                                      <w:noProof/>
                                      <w:sz w:val="18"/>
                                      <w:szCs w:val="18"/>
                                      <w:lang w:val="en-GB"/>
                                    </w:rPr>
                                    <w:t>A database</w:t>
                                  </w:r>
                                  <w:r>
                                    <w:rPr>
                                      <w:rFonts w:ascii="Arial Narrow" w:hAnsi="Arial Narrow"/>
                                      <w:noProof/>
                                      <w:sz w:val="18"/>
                                      <w:szCs w:val="18"/>
                                      <w:lang w:val="en-GB"/>
                                    </w:rPr>
                                    <w:t xml:space="preserve"> on S&amp;L products</w:t>
                                  </w:r>
                                  <w:r w:rsidRPr="00C047F2">
                                    <w:rPr>
                                      <w:rFonts w:ascii="Arial Narrow" w:hAnsi="Arial Narrow"/>
                                      <w:noProof/>
                                      <w:sz w:val="18"/>
                                      <w:szCs w:val="18"/>
                                      <w:lang w:val="en-GB"/>
                                    </w:rPr>
                                    <w:t xml:space="preserve"> developed in 2014/15 was not maintained or updated</w:t>
                                  </w:r>
                                  <w:r>
                                    <w:rPr>
                                      <w:rFonts w:ascii="Arial Narrow" w:hAnsi="Arial Narrow"/>
                                      <w:noProof/>
                                      <w:sz w:val="18"/>
                                      <w:szCs w:val="18"/>
                                      <w:lang w:val="en-GB"/>
                                    </w:rPr>
                                    <w:t xml:space="preserve">. </w:t>
                                  </w:r>
                                  <w:r w:rsidRPr="008671BD">
                                    <w:rPr>
                                      <w:rFonts w:ascii="Arial Narrow" w:hAnsi="Arial Narrow"/>
                                      <w:noProof/>
                                      <w:sz w:val="18"/>
                                      <w:szCs w:val="18"/>
                                      <w:lang w:val="en-GB"/>
                                    </w:rPr>
                                    <w:t>A new product registration database is being build and due to go live in April 2019</w:t>
                                  </w:r>
                                  <w:r w:rsidRPr="00C047F2">
                                    <w:rPr>
                                      <w:rFonts w:ascii="Arial Narrow" w:hAnsi="Arial Narrow"/>
                                      <w:noProof/>
                                      <w:sz w:val="18"/>
                                      <w:szCs w:val="18"/>
                                      <w:lang w:val="en-GB"/>
                                    </w:rPr>
                                    <w:t>.</w:t>
                                  </w:r>
                                </w:p>
                              </w:tc>
                            </w:tr>
                            <w:tr w:rsidR="00540FEA" w:rsidRPr="00D7157A" w:rsidTr="001C729F">
                              <w:tc>
                                <w:tcPr>
                                  <w:tcW w:w="4191" w:type="dxa"/>
                                  <w:shd w:val="clear" w:color="auto" w:fill="auto"/>
                                </w:tcPr>
                                <w:p w:rsidR="00540FEA" w:rsidRPr="006A68A3" w:rsidRDefault="00540FEA" w:rsidP="001C729F">
                                  <w:pPr>
                                    <w:tabs>
                                      <w:tab w:val="left" w:pos="993"/>
                                    </w:tabs>
                                    <w:spacing w:after="0"/>
                                    <w:ind w:left="993" w:hanging="993"/>
                                    <w:jc w:val="left"/>
                                    <w:rPr>
                                      <w:rFonts w:ascii="Arial Narrow" w:hAnsi="Arial Narrow"/>
                                      <w:i/>
                                      <w:noProof/>
                                      <w:sz w:val="18"/>
                                      <w:szCs w:val="18"/>
                                      <w:lang w:val="en-GB"/>
                                    </w:rPr>
                                  </w:pPr>
                                  <w:r w:rsidRPr="006A68A3">
                                    <w:rPr>
                                      <w:rFonts w:ascii="Arial Narrow" w:hAnsi="Arial Narrow"/>
                                      <w:i/>
                                      <w:noProof/>
                                      <w:sz w:val="18"/>
                                      <w:szCs w:val="18"/>
                                      <w:lang w:val="en-GB"/>
                                    </w:rPr>
                                    <w:t>Outcome 6</w:t>
                                  </w:r>
                                  <w:r w:rsidRPr="006A68A3">
                                    <w:rPr>
                                      <w:rFonts w:ascii="Arial Narrow" w:hAnsi="Arial Narrow"/>
                                      <w:i/>
                                      <w:noProof/>
                                      <w:sz w:val="18"/>
                                      <w:szCs w:val="18"/>
                                      <w:lang w:val="en-GB"/>
                                    </w:rPr>
                                    <w:tab/>
                                    <w:t>Development of Monitoring and Evaluation (M&amp;E) capacity</w:t>
                                  </w:r>
                                </w:p>
                              </w:tc>
                              <w:tc>
                                <w:tcPr>
                                  <w:tcW w:w="6441" w:type="dxa"/>
                                  <w:shd w:val="clear" w:color="auto" w:fill="auto"/>
                                </w:tcPr>
                                <w:p w:rsidR="00540FEA" w:rsidRPr="00D7157A" w:rsidRDefault="00540FEA" w:rsidP="001C729F">
                                  <w:pPr>
                                    <w:widowControl w:val="0"/>
                                    <w:numPr>
                                      <w:ilvl w:val="0"/>
                                      <w:numId w:val="29"/>
                                    </w:numPr>
                                    <w:tabs>
                                      <w:tab w:val="left" w:pos="213"/>
                                      <w:tab w:val="num" w:pos="360"/>
                                    </w:tabs>
                                    <w:autoSpaceDE w:val="0"/>
                                    <w:autoSpaceDN w:val="0"/>
                                    <w:spacing w:after="0"/>
                                    <w:ind w:left="0" w:firstLine="32"/>
                                    <w:jc w:val="left"/>
                                    <w:rPr>
                                      <w:rFonts w:ascii="Arial Narrow" w:hAnsi="Arial Narrow"/>
                                      <w:noProof/>
                                      <w:sz w:val="18"/>
                                      <w:szCs w:val="18"/>
                                      <w:lang w:val="en-GB"/>
                                    </w:rPr>
                                  </w:pPr>
                                  <w:r>
                                    <w:rPr>
                                      <w:rFonts w:ascii="Arial Narrow" w:hAnsi="Arial Narrow"/>
                                      <w:noProof/>
                                      <w:sz w:val="18"/>
                                      <w:szCs w:val="18"/>
                                      <w:lang w:val="en-GB"/>
                                    </w:rPr>
                                    <w:t>A r</w:t>
                                  </w:r>
                                  <w:r w:rsidRPr="00C047F2">
                                    <w:rPr>
                                      <w:rFonts w:ascii="Arial Narrow" w:hAnsi="Arial Narrow"/>
                                      <w:noProof/>
                                      <w:sz w:val="18"/>
                                      <w:szCs w:val="18"/>
                                      <w:lang w:val="en-GB"/>
                                    </w:rPr>
                                    <w:t>eview of South Africa’s appliance energy classes and identification of the next set of electrical equipment</w:t>
                                  </w:r>
                                  <w:r>
                                    <w:rPr>
                                      <w:rFonts w:ascii="Arial Narrow" w:hAnsi="Arial Narrow"/>
                                      <w:noProof/>
                                      <w:sz w:val="18"/>
                                      <w:szCs w:val="18"/>
                                      <w:lang w:val="en-GB"/>
                                    </w:rPr>
                                    <w:t xml:space="preserve"> is planned for 2017-18</w:t>
                                  </w:r>
                                </w:p>
                              </w:tc>
                            </w:tr>
                          </w:tbl>
                          <w:p w:rsidR="00540FEA" w:rsidRPr="0001021F" w:rsidRDefault="00540FEA" w:rsidP="001C729F">
                            <w:pPr>
                              <w:spacing w:before="60" w:after="0"/>
                              <w:rPr>
                                <w:noProof/>
                                <w:sz w:val="19"/>
                                <w:szCs w:val="19"/>
                                <w:lang w:val="en-GB"/>
                              </w:rPr>
                            </w:pPr>
                            <w:r w:rsidRPr="0001021F">
                              <w:rPr>
                                <w:noProof/>
                                <w:sz w:val="19"/>
                                <w:szCs w:val="19"/>
                                <w:lang w:val="en-GB"/>
                              </w:rPr>
                              <w:t>The UNDP/GEF project has been helping South Africa to embark on a more comprehensive S&amp;L programme development. It</w:t>
                            </w:r>
                            <w:r w:rsidRPr="0001021F">
                              <w:rPr>
                                <w:sz w:val="19"/>
                                <w:szCs w:val="19"/>
                              </w:rPr>
                              <w:t xml:space="preserve"> </w:t>
                            </w:r>
                            <w:r w:rsidRPr="0001021F">
                              <w:rPr>
                                <w:noProof/>
                                <w:sz w:val="19"/>
                                <w:szCs w:val="19"/>
                                <w:lang w:val="en-GB"/>
                              </w:rPr>
                              <w:t>is is now important that South Africa develops reliable and appliance-specific Measurement, Verification and Enforc</w:t>
                            </w:r>
                            <w:r>
                              <w:rPr>
                                <w:noProof/>
                                <w:sz w:val="19"/>
                                <w:szCs w:val="19"/>
                                <w:lang w:val="en-GB"/>
                              </w:rPr>
                              <w:t>ement (MV</w:t>
                            </w:r>
                            <w:r w:rsidRPr="0001021F">
                              <w:rPr>
                                <w:noProof/>
                                <w:sz w:val="19"/>
                                <w:szCs w:val="19"/>
                                <w:lang w:val="en-GB"/>
                              </w:rPr>
                              <w:t>E) schemes with strict sanctions to ensure that at the end the market is actually compliant with all new requirements.</w:t>
                            </w:r>
                          </w:p>
                          <w:p w:rsidR="00540FEA" w:rsidRPr="00C047F2" w:rsidRDefault="00540FEA" w:rsidP="001C729F">
                            <w:pPr>
                              <w:spacing w:before="60" w:after="0"/>
                              <w:rPr>
                                <w:noProof/>
                                <w:sz w:val="18"/>
                                <w:lang w:val="en-GB"/>
                              </w:rPr>
                            </w:pPr>
                            <w:r>
                              <w:rPr>
                                <w:i/>
                                <w:noProof/>
                                <w:sz w:val="18"/>
                                <w:lang w:val="en-GB"/>
                              </w:rPr>
                              <w:t xml:space="preserve">Source: </w:t>
                            </w:r>
                            <w:r>
                              <w:rPr>
                                <w:noProof/>
                                <w:sz w:val="18"/>
                                <w:lang w:val="en-GB"/>
                              </w:rPr>
                              <w:t>UNDP-GEF project Document and Project Implementation Review (2017)</w:t>
                            </w:r>
                          </w:p>
                          <w:p w:rsidR="00540FEA" w:rsidRDefault="00540FEA" w:rsidP="00F172FF">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7" o:spid="_x0000_s1036" type="#_x0000_t202" style="position:absolute;margin-left:44.8pt;margin-top:0;width:534.4pt;height:684pt;z-index:251631616;visibility:visible;mso-wrap-style:square;mso-width-percent:0;mso-height-percent:0;mso-wrap-distance-left:9pt;mso-wrap-distance-top:3.6pt;mso-wrap-distance-right:9pt;mso-wrap-distance-bottom:3.6pt;mso-position-horizontal:absolute;mso-position-horizontal-relative:page;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" fillcolor="#fbe5d6" stroked="f">
                <v:textbox>
                  <w:txbxContent>
                    <w:p w:rsidR="00540FEA" w:rsidRDefault="00540FEA" w:rsidP="00F172FF">
                      <w:pPr>
                        <w:pStyle w:val="Caption"/>
                        <w:rPr>
                          <w:rFonts w:ascii="Arial" w:hAnsi="Arial" w:cs="Arial"/>
                          <w:color w:val="2E74B5"/>
                          <w:sz w:val="18"/>
                        </w:rPr>
                      </w:pPr>
                      <w:bookmarkStart w:id="224" w:name="_Ref496016749"/>
                      <w:bookmarkStart w:id="225" w:name="_Ref496016743"/>
                      <w:bookmarkStart w:id="226" w:name="_Toc496967022"/>
                      <w:bookmarkStart w:id="227" w:name="_Toc17984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21</w:t>
                      </w:r>
                      <w:r w:rsidRPr="00A21E05">
                        <w:rPr>
                          <w:rFonts w:ascii="Arial" w:hAnsi="Arial" w:cs="Arial"/>
                          <w:color w:val="2E74B5"/>
                          <w:sz w:val="18"/>
                        </w:rPr>
                        <w:fldChar w:fldCharType="end"/>
                      </w:r>
                      <w:bookmarkEnd w:id="224"/>
                      <w:r>
                        <w:rPr>
                          <w:rFonts w:ascii="Arial" w:hAnsi="Arial" w:cs="Arial"/>
                          <w:color w:val="2E74B5"/>
                          <w:sz w:val="18"/>
                        </w:rPr>
                        <w:tab/>
                        <w:t>Energy efficiency standards and labelling in South Africa</w:t>
                      </w:r>
                      <w:bookmarkEnd w:id="225"/>
                      <w:bookmarkEnd w:id="226"/>
                      <w:bookmarkEnd w:id="227"/>
                    </w:p>
                    <w:p w:rsidR="00540FEA" w:rsidRDefault="00540FEA" w:rsidP="00F172FF">
                      <w:pPr>
                        <w:spacing w:after="0"/>
                        <w:rPr>
                          <w:noProof/>
                        </w:rPr>
                      </w:pPr>
                    </w:p>
                    <w:p w:rsidR="00540FEA" w:rsidRPr="00D7157A" w:rsidRDefault="00540FEA" w:rsidP="00F172FF">
                      <w:pPr>
                        <w:spacing w:after="0"/>
                        <w:rPr>
                          <w:noProof/>
                          <w:sz w:val="19"/>
                          <w:szCs w:val="19"/>
                          <w:lang w:val="en-GB"/>
                        </w:rPr>
                      </w:pPr>
                      <w:r w:rsidRPr="00D7157A">
                        <w:rPr>
                          <w:noProof/>
                          <w:sz w:val="19"/>
                          <w:szCs w:val="19"/>
                          <w:lang w:val="en-GB"/>
                        </w:rPr>
                        <w:t>The ‘</w:t>
                      </w:r>
                      <w:r>
                        <w:rPr>
                          <w:noProof/>
                          <w:sz w:val="19"/>
                          <w:szCs w:val="19"/>
                          <w:lang w:val="en-GB"/>
                        </w:rPr>
                        <w:t>Leapfrogging High-Efficiency Lighting and Distribution Transformer’  P</w:t>
                      </w:r>
                      <w:r w:rsidRPr="00D7157A">
                        <w:rPr>
                          <w:noProof/>
                          <w:sz w:val="19"/>
                          <w:szCs w:val="19"/>
                          <w:lang w:val="en-GB"/>
                        </w:rPr>
                        <w:t xml:space="preserve">roject will build on the existing infrastructure and results of the GEF-financed, UNDP-implemented project </w:t>
                      </w:r>
                      <w:r w:rsidRPr="00D7157A">
                        <w:rPr>
                          <w:i/>
                          <w:noProof/>
                          <w:sz w:val="19"/>
                          <w:szCs w:val="19"/>
                          <w:lang w:val="en-GB"/>
                        </w:rPr>
                        <w:t>Market Transformation through Energy Efficiency Standards &amp; Labeling of Appliances in South Africa</w:t>
                      </w:r>
                      <w:r w:rsidRPr="00D7157A">
                        <w:rPr>
                          <w:noProof/>
                          <w:sz w:val="19"/>
                          <w:szCs w:val="19"/>
                          <w:lang w:val="en-GB"/>
                        </w:rPr>
                        <w:t xml:space="preserve"> (GEF 2692, UNDP PIMS 32</w:t>
                      </w:r>
                      <w:r>
                        <w:rPr>
                          <w:noProof/>
                          <w:sz w:val="19"/>
                          <w:szCs w:val="19"/>
                          <w:lang w:val="en-GB"/>
                        </w:rPr>
                        <w:t>77), implemented from 2013 to 2019.</w:t>
                      </w:r>
                      <w:r w:rsidRPr="00D7157A">
                        <w:rPr>
                          <w:noProof/>
                          <w:sz w:val="19"/>
                          <w:szCs w:val="19"/>
                          <w:lang w:val="en-GB"/>
                        </w:rPr>
                        <w:t xml:space="preserve"> The project aims at facilitating a comprehensive transformation of the home appliance market through the introduction of a combination of two regulatory tools, minimum energy performance standards and information labels (S&amp;L), accompanied by a series of associated awareness-building and monitoring activities.</w:t>
                      </w:r>
                      <w:r>
                        <w:rPr>
                          <w:noProof/>
                          <w:sz w:val="19"/>
                          <w:szCs w:val="19"/>
                          <w:lang w:val="en-GB"/>
                        </w:rPr>
                        <w:t xml:space="preserve"> </w:t>
                      </w:r>
                      <w:r w:rsidRPr="00D7157A">
                        <w:rPr>
                          <w:noProof/>
                          <w:sz w:val="19"/>
                          <w:szCs w:val="19"/>
                          <w:lang w:val="en-GB"/>
                        </w:rPr>
                        <w:t>The project has focussed on a number of 12 electric appliances: refrigerators, freezers, refrigerator-freezer combinations, front-load washing machines, top-load washing machines, tumble dryers, washer-dryer combinations, dishwashers, air conditioners, electric ovens, audio-visual equipment, and electric water heaters (geysers).</w:t>
                      </w:r>
                      <w:r>
                        <w:rPr>
                          <w:noProof/>
                          <w:sz w:val="19"/>
                          <w:szCs w:val="19"/>
                          <w:lang w:val="en-GB"/>
                        </w:rPr>
                        <w:t xml:space="preserve">  The following table gives a summary:</w:t>
                      </w:r>
                    </w:p>
                    <w:p w:rsidR="00540FEA" w:rsidRPr="00D7157A" w:rsidRDefault="00540FEA" w:rsidP="00F172FF">
                      <w:pPr>
                        <w:spacing w:after="0"/>
                        <w:rPr>
                          <w:noProof/>
                          <w:lang w:val="en-GB"/>
                        </w:rPr>
                      </w:pP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91"/>
                        <w:gridCol w:w="6441"/>
                      </w:tblGrid>
                      <w:tr w:rsidR="00540FEA" w:rsidRPr="00D7157A" w:rsidTr="001C729F">
                        <w:tc>
                          <w:tcPr>
                            <w:tcW w:w="4191" w:type="dxa"/>
                            <w:shd w:val="clear" w:color="auto" w:fill="auto"/>
                          </w:tcPr>
                          <w:p w:rsidR="00540FEA" w:rsidRPr="00D7157A" w:rsidRDefault="00540FEA" w:rsidP="001C729F">
                            <w:pPr>
                              <w:spacing w:after="0"/>
                              <w:jc w:val="left"/>
                              <w:rPr>
                                <w:rFonts w:ascii="Arial Narrow" w:hAnsi="Arial Narrow"/>
                                <w:b/>
                                <w:noProof/>
                                <w:sz w:val="18"/>
                                <w:szCs w:val="18"/>
                                <w:lang w:val="en-GB"/>
                              </w:rPr>
                            </w:pPr>
                            <w:r w:rsidRPr="00D7157A">
                              <w:rPr>
                                <w:rFonts w:ascii="Arial Narrow" w:hAnsi="Arial Narrow"/>
                                <w:b/>
                                <w:noProof/>
                                <w:sz w:val="18"/>
                                <w:szCs w:val="18"/>
                                <w:lang w:val="en-GB"/>
                              </w:rPr>
                              <w:t>Outputs</w:t>
                            </w:r>
                          </w:p>
                        </w:tc>
                        <w:tc>
                          <w:tcPr>
                            <w:tcW w:w="6441" w:type="dxa"/>
                            <w:shd w:val="clear" w:color="auto" w:fill="auto"/>
                          </w:tcPr>
                          <w:p w:rsidR="00540FEA" w:rsidRPr="00D7157A" w:rsidRDefault="00540FEA" w:rsidP="001C729F">
                            <w:pPr>
                              <w:spacing w:after="0"/>
                              <w:jc w:val="left"/>
                              <w:rPr>
                                <w:rFonts w:ascii="Arial Narrow" w:hAnsi="Arial Narrow"/>
                                <w:b/>
                                <w:noProof/>
                                <w:sz w:val="18"/>
                                <w:szCs w:val="18"/>
                                <w:lang w:val="en-GB"/>
                              </w:rPr>
                            </w:pPr>
                            <w:r>
                              <w:rPr>
                                <w:rFonts w:ascii="Arial Narrow" w:hAnsi="Arial Narrow"/>
                                <w:b/>
                                <w:noProof/>
                                <w:sz w:val="18"/>
                                <w:szCs w:val="18"/>
                                <w:lang w:val="en-GB"/>
                              </w:rPr>
                              <w:t>Main results and</w:t>
                            </w:r>
                            <w:r w:rsidRPr="00D7157A">
                              <w:rPr>
                                <w:rFonts w:ascii="Arial Narrow" w:hAnsi="Arial Narrow"/>
                                <w:b/>
                                <w:noProof/>
                                <w:sz w:val="18"/>
                                <w:szCs w:val="18"/>
                                <w:lang w:val="en-GB"/>
                              </w:rPr>
                              <w:t xml:space="preserve"> achievements by mid-2017</w:t>
                            </w:r>
                          </w:p>
                        </w:tc>
                      </w:tr>
                      <w:tr w:rsidR="00540FEA" w:rsidRPr="00D7157A" w:rsidTr="001C729F">
                        <w:tc>
                          <w:tcPr>
                            <w:tcW w:w="4191" w:type="dxa"/>
                            <w:shd w:val="clear" w:color="auto" w:fill="auto"/>
                          </w:tcPr>
                          <w:p w:rsidR="00540FEA" w:rsidRPr="00B3588A" w:rsidRDefault="00540FEA" w:rsidP="001C729F">
                            <w:pPr>
                              <w:tabs>
                                <w:tab w:val="left" w:pos="993"/>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1</w:t>
                            </w:r>
                            <w:r w:rsidRPr="00B3588A">
                              <w:rPr>
                                <w:rFonts w:ascii="Arial Narrow" w:hAnsi="Arial Narrow"/>
                                <w:i/>
                                <w:noProof/>
                                <w:sz w:val="18"/>
                                <w:szCs w:val="18"/>
                                <w:lang w:val="en-GB"/>
                              </w:rPr>
                              <w:tab/>
                              <w:t>Policy and regulatory framework for the S&amp;L programme: Strengthen structures and mechanisms for appliance EE S&amp;L</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1.1</w:t>
                            </w:r>
                            <w:r w:rsidRPr="00D7157A">
                              <w:rPr>
                                <w:rFonts w:ascii="Arial Narrow" w:hAnsi="Arial Narrow"/>
                                <w:noProof/>
                                <w:sz w:val="18"/>
                                <w:szCs w:val="18"/>
                                <w:lang w:val="en-GB"/>
                              </w:rPr>
                              <w:tab/>
                              <w:t xml:space="preserve">Review of existing policies and regulations. </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1.2</w:t>
                            </w:r>
                            <w:r w:rsidRPr="00D7157A">
                              <w:rPr>
                                <w:rFonts w:ascii="Arial Narrow" w:hAnsi="Arial Narrow"/>
                                <w:noProof/>
                                <w:sz w:val="18"/>
                                <w:szCs w:val="18"/>
                                <w:lang w:val="en-GB"/>
                              </w:rPr>
                              <w:tab/>
                              <w:t>Evaluation of financial incentives such as the rebate program operated by the Eskom DSM for purchasing efficient appliances.</w:t>
                            </w:r>
                          </w:p>
                        </w:tc>
                        <w:tc>
                          <w:tcPr>
                            <w:tcW w:w="6441" w:type="dxa"/>
                            <w:shd w:val="clear" w:color="auto" w:fill="auto"/>
                          </w:tcPr>
                          <w:p w:rsidR="00540FEA" w:rsidRPr="00D7157A" w:rsidRDefault="00540FEA" w:rsidP="001C729F">
                            <w:pPr>
                              <w:widowControl w:val="0"/>
                              <w:numPr>
                                <w:ilvl w:val="0"/>
                                <w:numId w:val="29"/>
                              </w:numPr>
                              <w:tabs>
                                <w:tab w:val="left" w:pos="175"/>
                                <w:tab w:val="num" w:pos="360"/>
                              </w:tabs>
                              <w:autoSpaceDE w:val="0"/>
                              <w:autoSpaceDN w:val="0"/>
                              <w:spacing w:after="0"/>
                              <w:ind w:left="0" w:firstLine="0"/>
                              <w:jc w:val="left"/>
                              <w:rPr>
                                <w:rFonts w:ascii="Arial Narrow" w:hAnsi="Arial Narrow"/>
                                <w:noProof/>
                                <w:sz w:val="18"/>
                                <w:szCs w:val="18"/>
                                <w:lang w:val="en-GB"/>
                              </w:rPr>
                            </w:pPr>
                            <w:r w:rsidRPr="00D7157A">
                              <w:rPr>
                                <w:rFonts w:ascii="Arial Narrow" w:hAnsi="Arial Narrow"/>
                                <w:noProof/>
                                <w:sz w:val="18"/>
                                <w:szCs w:val="18"/>
                                <w:lang w:val="en-GB"/>
                              </w:rPr>
                              <w:t xml:space="preserve">Four studies have </w:t>
                            </w:r>
                            <w:r>
                              <w:rPr>
                                <w:rFonts w:ascii="Arial Narrow" w:hAnsi="Arial Narrow"/>
                                <w:noProof/>
                                <w:sz w:val="18"/>
                                <w:szCs w:val="18"/>
                                <w:lang w:val="en-GB"/>
                              </w:rPr>
                              <w:t>identified a number of incentive schemes (standards offfer for LED lights, subvention of electric geysers, swap programme, for refrigerators and a rebate system for purchasingg EE appliances), assessed cost and benefits and a fourth study (2017) will assess in the light of current situation and new government policies.</w:t>
                            </w:r>
                          </w:p>
                        </w:tc>
                      </w:tr>
                      <w:tr w:rsidR="00540FEA" w:rsidRPr="00D7157A" w:rsidTr="001C729F">
                        <w:tc>
                          <w:tcPr>
                            <w:tcW w:w="4191" w:type="dxa"/>
                            <w:shd w:val="clear" w:color="auto" w:fill="auto"/>
                          </w:tcPr>
                          <w:p w:rsidR="00540FEA" w:rsidRPr="00B3588A" w:rsidRDefault="00540FEA" w:rsidP="001C729F">
                            <w:pPr>
                              <w:tabs>
                                <w:tab w:val="left" w:pos="851"/>
                                <w:tab w:val="left" w:pos="885"/>
                              </w:tabs>
                              <w:spacing w:after="0"/>
                              <w:ind w:left="851" w:hanging="851"/>
                              <w:jc w:val="left"/>
                              <w:rPr>
                                <w:rFonts w:ascii="Arial Narrow" w:hAnsi="Arial Narrow"/>
                                <w:i/>
                                <w:noProof/>
                                <w:sz w:val="18"/>
                                <w:szCs w:val="18"/>
                                <w:lang w:val="en-GB"/>
                              </w:rPr>
                            </w:pPr>
                            <w:r w:rsidRPr="00B3588A">
                              <w:rPr>
                                <w:rFonts w:ascii="Arial Narrow" w:hAnsi="Arial Narrow"/>
                                <w:i/>
                                <w:noProof/>
                                <w:sz w:val="18"/>
                                <w:szCs w:val="18"/>
                                <w:lang w:val="en-GB"/>
                              </w:rPr>
                              <w:t>Outcome 2</w:t>
                            </w:r>
                            <w:r w:rsidRPr="00B3588A">
                              <w:rPr>
                                <w:rFonts w:ascii="Arial Narrow" w:hAnsi="Arial Narrow"/>
                                <w:i/>
                                <w:noProof/>
                                <w:sz w:val="18"/>
                                <w:szCs w:val="18"/>
                                <w:lang w:val="en-GB"/>
                              </w:rPr>
                              <w:tab/>
                              <w:t>Define labeling specifications and MEPS thresholds for the products considered by the DoE &amp; DTI for S&amp;L regulation</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2.1</w:t>
                            </w:r>
                            <w:r w:rsidRPr="00D7157A">
                              <w:rPr>
                                <w:rFonts w:ascii="Arial Narrow" w:hAnsi="Arial Narrow"/>
                                <w:noProof/>
                                <w:sz w:val="18"/>
                                <w:szCs w:val="18"/>
                                <w:lang w:val="en-GB"/>
                              </w:rPr>
                              <w:tab/>
                              <w:t>Conduct market and engineering analysis for the products selected for S&amp;L regulation</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sidRPr="00D7157A">
                              <w:rPr>
                                <w:rFonts w:ascii="Arial Narrow" w:hAnsi="Arial Narrow"/>
                                <w:noProof/>
                                <w:sz w:val="18"/>
                                <w:szCs w:val="18"/>
                                <w:lang w:val="en-GB"/>
                              </w:rPr>
                              <w:t>2.2</w:t>
                            </w:r>
                            <w:r w:rsidRPr="00D7157A">
                              <w:rPr>
                                <w:rFonts w:ascii="Arial Narrow" w:hAnsi="Arial Narrow"/>
                                <w:noProof/>
                                <w:sz w:val="18"/>
                                <w:szCs w:val="18"/>
                                <w:lang w:val="en-GB"/>
                              </w:rPr>
                              <w:tab/>
                              <w:t>Adopt labeling specifications and MEPS thresholds for the 12 products selected for S&amp;L regulations</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M</w:t>
                            </w:r>
                            <w:r w:rsidRPr="005545CE">
                              <w:rPr>
                                <w:rFonts w:ascii="Arial Narrow" w:hAnsi="Arial Narrow"/>
                                <w:noProof/>
                                <w:sz w:val="18"/>
                                <w:szCs w:val="18"/>
                                <w:lang w:val="en-GB"/>
                              </w:rPr>
                              <w:t>arket and engineering analysis for all products has now been completed.The Minimum Energy Per</w:t>
                            </w:r>
                            <w:r>
                              <w:rPr>
                                <w:rFonts w:ascii="Arial Narrow" w:hAnsi="Arial Narrow"/>
                                <w:noProof/>
                                <w:sz w:val="18"/>
                                <w:szCs w:val="18"/>
                                <w:lang w:val="en-GB"/>
                              </w:rPr>
                              <w:t>formance Standards (MEPS) for household electric</w:t>
                            </w:r>
                            <w:r w:rsidRPr="005545CE">
                              <w:rPr>
                                <w:rFonts w:ascii="Arial Narrow" w:hAnsi="Arial Narrow"/>
                                <w:noProof/>
                                <w:sz w:val="18"/>
                                <w:szCs w:val="18"/>
                                <w:lang w:val="en-GB"/>
                              </w:rPr>
                              <w:t xml:space="preserve"> appliances have been set and promulgated through NRCS regulations </w:t>
                            </w:r>
                            <w:r>
                              <w:rPr>
                                <w:rFonts w:ascii="Arial Narrow" w:hAnsi="Arial Narrow"/>
                                <w:noProof/>
                                <w:sz w:val="18"/>
                                <w:szCs w:val="18"/>
                                <w:lang w:val="en-GB"/>
                              </w:rPr>
                              <w:t>VC9008 (described in the main text), MEPS have been approved, and started to be enforced since March 2015 (a</w:t>
                            </w:r>
                            <w:r w:rsidRPr="000D1199">
                              <w:rPr>
                                <w:rFonts w:ascii="Arial Narrow" w:hAnsi="Arial Narrow"/>
                                <w:noProof/>
                                <w:sz w:val="18"/>
                                <w:szCs w:val="18"/>
                                <w:lang w:val="en-GB"/>
                              </w:rPr>
                              <w:t>udio-visual equipment</w:t>
                            </w:r>
                            <w:r>
                              <w:rPr>
                                <w:rFonts w:ascii="Arial Narrow" w:hAnsi="Arial Narrow"/>
                                <w:noProof/>
                                <w:sz w:val="18"/>
                                <w:szCs w:val="18"/>
                                <w:lang w:val="en-GB"/>
                              </w:rPr>
                              <w:t>); February 2016 (</w:t>
                            </w:r>
                            <w:r w:rsidRPr="00270A6C">
                              <w:rPr>
                                <w:rFonts w:ascii="Arial Narrow" w:hAnsi="Arial Narrow"/>
                                <w:noProof/>
                                <w:sz w:val="18"/>
                                <w:szCs w:val="18"/>
                                <w:lang w:val="en-GB"/>
                              </w:rPr>
                              <w:t>dishwashers, washing machines, tumble dryers and/or washer-dryers, refrigerators and freezers</w:t>
                            </w:r>
                            <w:r>
                              <w:rPr>
                                <w:rFonts w:ascii="Arial Narrow" w:hAnsi="Arial Narrow"/>
                                <w:noProof/>
                                <w:sz w:val="18"/>
                                <w:szCs w:val="18"/>
                                <w:lang w:val="en-GB"/>
                              </w:rPr>
                              <w:t>), August 2016 (air</w:t>
                            </w:r>
                            <w:r w:rsidRPr="000D1199">
                              <w:rPr>
                                <w:rFonts w:ascii="Arial Narrow" w:hAnsi="Arial Narrow"/>
                                <w:noProof/>
                                <w:sz w:val="18"/>
                                <w:szCs w:val="18"/>
                                <w:lang w:val="en-GB"/>
                              </w:rPr>
                              <w:t xml:space="preserve"> conditioners</w:t>
                            </w:r>
                            <w:r>
                              <w:rPr>
                                <w:rFonts w:ascii="Arial Narrow" w:hAnsi="Arial Narrow"/>
                                <w:noProof/>
                                <w:sz w:val="18"/>
                                <w:szCs w:val="18"/>
                                <w:lang w:val="en-GB"/>
                              </w:rPr>
                              <w:t>); and August 2017 (water heaters/geysers)</w:t>
                            </w:r>
                          </w:p>
                          <w:p w:rsidR="00540FEA" w:rsidRDefault="00540FEA" w:rsidP="001C729F">
                            <w:pPr>
                              <w:widowControl w:val="0"/>
                              <w:numPr>
                                <w:ilvl w:val="0"/>
                                <w:numId w:val="29"/>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8A134C">
                              <w:rPr>
                                <w:rFonts w:ascii="Arial Narrow" w:hAnsi="Arial Narrow"/>
                                <w:noProof/>
                                <w:sz w:val="18"/>
                                <w:szCs w:val="18"/>
                                <w:lang w:val="en-GB"/>
                              </w:rPr>
                              <w:t>The EE label design was completed in September 2015 through a consultative process with appliance manufacturers and relevant government authorities</w:t>
                            </w:r>
                            <w:r>
                              <w:rPr>
                                <w:rFonts w:ascii="Arial Narrow" w:hAnsi="Arial Narrow"/>
                                <w:noProof/>
                                <w:sz w:val="18"/>
                                <w:szCs w:val="18"/>
                                <w:lang w:val="en-GB"/>
                              </w:rPr>
                              <w:t xml:space="preserve"> The </w:t>
                            </w:r>
                            <w:r w:rsidRPr="000D1D65">
                              <w:rPr>
                                <w:rFonts w:ascii="Arial Narrow" w:hAnsi="Arial Narrow"/>
                                <w:i/>
                                <w:noProof/>
                                <w:sz w:val="18"/>
                                <w:szCs w:val="18"/>
                                <w:lang w:val="en-GB"/>
                              </w:rPr>
                              <w:t>Guide for Energy Efficiency Labelling</w:t>
                            </w:r>
                            <w:r w:rsidRPr="000D1D65">
                              <w:rPr>
                                <w:rFonts w:ascii="Arial Narrow" w:hAnsi="Arial Narrow"/>
                                <w:noProof/>
                                <w:sz w:val="18"/>
                                <w:szCs w:val="18"/>
                                <w:lang w:val="en-GB"/>
                              </w:rPr>
                              <w:t xml:space="preserve">, published by DoE/DTI </w:t>
                            </w:r>
                            <w:r>
                              <w:rPr>
                                <w:rFonts w:ascii="Arial Narrow" w:hAnsi="Arial Narrow"/>
                                <w:noProof/>
                                <w:sz w:val="18"/>
                                <w:szCs w:val="18"/>
                                <w:lang w:val="en-GB"/>
                              </w:rPr>
                              <w:t xml:space="preserve">was launched in 2016 and </w:t>
                            </w:r>
                            <w:r w:rsidRPr="000D1D65">
                              <w:rPr>
                                <w:rFonts w:ascii="Arial Narrow" w:hAnsi="Arial Narrow"/>
                                <w:noProof/>
                                <w:sz w:val="18"/>
                                <w:szCs w:val="18"/>
                                <w:lang w:val="en-GB"/>
                              </w:rPr>
                              <w:t>provides the basis for the labelling system in South Africa of above-mentioned electric appliances.</w:t>
                            </w:r>
                          </w:p>
                          <w:p w:rsidR="00540FEA" w:rsidRPr="008A134C" w:rsidRDefault="00540FEA" w:rsidP="001C729F">
                            <w:pPr>
                              <w:widowControl w:val="0"/>
                              <w:numPr>
                                <w:ilvl w:val="0"/>
                                <w:numId w:val="29"/>
                              </w:numPr>
                              <w:tabs>
                                <w:tab w:val="left" w:pos="33"/>
                                <w:tab w:val="left" w:pos="175"/>
                                <w:tab w:val="num" w:pos="360"/>
                              </w:tabs>
                              <w:autoSpaceDE w:val="0"/>
                              <w:autoSpaceDN w:val="0"/>
                              <w:spacing w:after="0"/>
                              <w:ind w:left="33" w:hanging="33"/>
                              <w:jc w:val="left"/>
                              <w:rPr>
                                <w:rFonts w:ascii="Arial Narrow" w:hAnsi="Arial Narrow"/>
                                <w:noProof/>
                                <w:sz w:val="18"/>
                                <w:szCs w:val="18"/>
                                <w:lang w:val="en-GB"/>
                              </w:rPr>
                            </w:pPr>
                            <w:r w:rsidRPr="001C729F">
                              <w:rPr>
                                <w:rFonts w:ascii="Arial Narrow" w:hAnsi="Arial Narrow"/>
                                <w:noProof/>
                                <w:sz w:val="18"/>
                                <w:szCs w:val="18"/>
                                <w:lang w:val="en-GB"/>
                              </w:rPr>
                              <w:t>A trial incentive programme is being designed for Gauteng (starting 2nd half 2018). This would go together with a survey on consumer attitudes and preferences</w:t>
                            </w:r>
                            <w:r>
                              <w:rPr>
                                <w:rFonts w:ascii="Arial Narrow" w:hAnsi="Arial Narrow"/>
                                <w:noProof/>
                                <w:sz w:val="18"/>
                                <w:szCs w:val="18"/>
                                <w:lang w:val="en-GB"/>
                              </w:rPr>
                              <w:t xml:space="preserve">, and </w:t>
                            </w:r>
                            <w:r w:rsidRPr="001C729F">
                              <w:rPr>
                                <w:rFonts w:ascii="Arial Narrow" w:hAnsi="Arial Narrow"/>
                                <w:noProof/>
                                <w:sz w:val="18"/>
                                <w:szCs w:val="18"/>
                                <w:lang w:val="en-GB"/>
                              </w:rPr>
                              <w:t>will be linked with the presentation of endorsement labels</w:t>
                            </w:r>
                            <w:r>
                              <w:rPr>
                                <w:rFonts w:ascii="Arial Narrow" w:hAnsi="Arial Narrow"/>
                                <w:noProof/>
                                <w:sz w:val="18"/>
                                <w:szCs w:val="18"/>
                                <w:lang w:val="en-GB"/>
                              </w:rPr>
                              <w:t xml:space="preserve"> (see also main text at the end of Section E.3)</w:t>
                            </w:r>
                          </w:p>
                        </w:tc>
                      </w:tr>
                      <w:tr w:rsidR="00540FEA" w:rsidRPr="00D7157A" w:rsidTr="001C729F">
                        <w:tc>
                          <w:tcPr>
                            <w:tcW w:w="4191" w:type="dxa"/>
                            <w:shd w:val="clear" w:color="auto" w:fill="auto"/>
                          </w:tcPr>
                          <w:p w:rsidR="00540FEA" w:rsidRPr="00D31FB9" w:rsidRDefault="00540FEA" w:rsidP="001C729F">
                            <w:pPr>
                              <w:tabs>
                                <w:tab w:val="left" w:pos="851"/>
                              </w:tabs>
                              <w:spacing w:after="0"/>
                              <w:ind w:left="851" w:hanging="851"/>
                              <w:jc w:val="left"/>
                              <w:rPr>
                                <w:rFonts w:ascii="Arial Narrow" w:hAnsi="Arial Narrow"/>
                                <w:i/>
                                <w:noProof/>
                                <w:sz w:val="18"/>
                                <w:szCs w:val="18"/>
                                <w:lang w:val="en-GB"/>
                              </w:rPr>
                            </w:pPr>
                            <w:r w:rsidRPr="00D31FB9">
                              <w:rPr>
                                <w:rFonts w:ascii="Arial Narrow" w:hAnsi="Arial Narrow"/>
                                <w:i/>
                                <w:noProof/>
                                <w:sz w:val="18"/>
                                <w:szCs w:val="18"/>
                                <w:lang w:val="en-GB"/>
                              </w:rPr>
                              <w:t>Outcome 3</w:t>
                            </w:r>
                            <w:r w:rsidRPr="00D31FB9">
                              <w:rPr>
                                <w:rFonts w:ascii="Arial Narrow" w:hAnsi="Arial Narrow"/>
                                <w:i/>
                                <w:noProof/>
                                <w:sz w:val="18"/>
                                <w:szCs w:val="18"/>
                                <w:lang w:val="en-GB"/>
                              </w:rPr>
                              <w:tab/>
                              <w:t>Strengthen the capacity of institutions and individuals involved in the S&amp;L programme</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3.1</w:t>
                            </w:r>
                            <w:r>
                              <w:rPr>
                                <w:rFonts w:ascii="Arial Narrow" w:hAnsi="Arial Narrow"/>
                                <w:noProof/>
                                <w:sz w:val="18"/>
                                <w:szCs w:val="18"/>
                                <w:lang w:val="en-GB"/>
                              </w:rPr>
                              <w:tab/>
                            </w:r>
                            <w:r w:rsidRPr="00D7157A">
                              <w:rPr>
                                <w:rFonts w:ascii="Arial Narrow" w:hAnsi="Arial Narrow"/>
                                <w:noProof/>
                                <w:sz w:val="18"/>
                                <w:szCs w:val="18"/>
                                <w:lang w:val="en-GB"/>
                              </w:rPr>
                              <w:t>Strengthen</w:t>
                            </w:r>
                            <w:r>
                              <w:rPr>
                                <w:rFonts w:ascii="Arial Narrow" w:hAnsi="Arial Narrow"/>
                                <w:noProof/>
                                <w:sz w:val="18"/>
                                <w:szCs w:val="18"/>
                                <w:lang w:val="en-GB"/>
                              </w:rPr>
                              <w:t xml:space="preserve"> </w:t>
                            </w:r>
                            <w:r w:rsidRPr="00D7157A">
                              <w:rPr>
                                <w:rFonts w:ascii="Arial Narrow" w:hAnsi="Arial Narrow"/>
                                <w:noProof/>
                                <w:sz w:val="18"/>
                                <w:szCs w:val="18"/>
                                <w:lang w:val="en-GB"/>
                              </w:rPr>
                              <w:t>institutions (testing facilities,</w:t>
                            </w:r>
                            <w:r>
                              <w:rPr>
                                <w:rFonts w:ascii="Arial Narrow" w:hAnsi="Arial Narrow"/>
                                <w:noProof/>
                                <w:sz w:val="18"/>
                                <w:szCs w:val="18"/>
                                <w:lang w:val="en-GB"/>
                              </w:rPr>
                              <w:t xml:space="preserve"> enforcement institution</w:t>
                            </w:r>
                            <w:r w:rsidRPr="00D7157A">
                              <w:rPr>
                                <w:rFonts w:ascii="Arial Narrow" w:hAnsi="Arial Narrow"/>
                                <w:noProof/>
                                <w:sz w:val="18"/>
                                <w:szCs w:val="18"/>
                                <w:lang w:val="en-GB"/>
                              </w:rPr>
                              <w:t>)</w:t>
                            </w:r>
                          </w:p>
                          <w:p w:rsidR="00540FEA" w:rsidRPr="00D7157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3.2</w:t>
                            </w:r>
                            <w:r>
                              <w:rPr>
                                <w:rFonts w:ascii="Arial Narrow" w:hAnsi="Arial Narrow"/>
                                <w:noProof/>
                                <w:sz w:val="18"/>
                                <w:szCs w:val="18"/>
                                <w:lang w:val="en-GB"/>
                              </w:rPr>
                              <w:tab/>
                              <w:t>Strengthen employee skills</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33"/>
                              <w:jc w:val="left"/>
                              <w:rPr>
                                <w:rFonts w:ascii="Arial Narrow" w:hAnsi="Arial Narrow"/>
                                <w:noProof/>
                                <w:sz w:val="18"/>
                                <w:szCs w:val="18"/>
                                <w:lang w:val="en-GB"/>
                              </w:rPr>
                            </w:pPr>
                            <w:r w:rsidRPr="000D1199">
                              <w:rPr>
                                <w:rFonts w:ascii="Arial Narrow" w:hAnsi="Arial Narrow"/>
                                <w:noProof/>
                                <w:sz w:val="18"/>
                                <w:szCs w:val="18"/>
                                <w:lang w:val="en-GB"/>
                              </w:rPr>
                              <w:t>A private laboratory (Test Africa) is accredited to test the energy efficiency of electric water heaters, ovens and standby power</w:t>
                            </w:r>
                            <w:r>
                              <w:rPr>
                                <w:rFonts w:ascii="Arial Narrow" w:hAnsi="Arial Narrow"/>
                                <w:noProof/>
                                <w:sz w:val="18"/>
                                <w:szCs w:val="18"/>
                                <w:lang w:val="en-GB"/>
                              </w:rPr>
                              <w:t xml:space="preserve">. </w:t>
                            </w:r>
                            <w:r w:rsidRPr="005545CE">
                              <w:rPr>
                                <w:rFonts w:ascii="Arial Narrow" w:hAnsi="Arial Narrow"/>
                                <w:noProof/>
                                <w:sz w:val="18"/>
                                <w:szCs w:val="18"/>
                                <w:lang w:val="en-GB"/>
                              </w:rPr>
                              <w:t>SABS is accredited to test for energy efficiency of standby power (audio and visual), lighting, water heaters, ovens and refrigerators</w:t>
                            </w:r>
                            <w:r>
                              <w:rPr>
                                <w:rFonts w:ascii="Arial Narrow" w:hAnsi="Arial Narrow"/>
                                <w:noProof/>
                                <w:sz w:val="18"/>
                                <w:szCs w:val="18"/>
                                <w:lang w:val="en-GB"/>
                              </w:rPr>
                              <w:t xml:space="preserve">, however, </w:t>
                            </w:r>
                            <w:r w:rsidRPr="005545CE">
                              <w:rPr>
                                <w:rFonts w:ascii="Arial Narrow" w:hAnsi="Arial Narrow"/>
                                <w:noProof/>
                                <w:sz w:val="18"/>
                                <w:szCs w:val="18"/>
                                <w:lang w:val="en-GB"/>
                              </w:rPr>
                              <w:t xml:space="preserve"> </w:t>
                            </w:r>
                            <w:r w:rsidRPr="000D1D65">
                              <w:rPr>
                                <w:rFonts w:ascii="Arial Narrow" w:hAnsi="Arial Narrow"/>
                                <w:noProof/>
                                <w:sz w:val="18"/>
                                <w:szCs w:val="18"/>
                                <w:lang w:val="en-GB"/>
                              </w:rPr>
                              <w:t>only the water heater, lighting and audio/visual labs were operationa</w:t>
                            </w:r>
                            <w:r>
                              <w:rPr>
                                <w:rFonts w:ascii="Arial Narrow" w:hAnsi="Arial Narrow"/>
                                <w:noProof/>
                                <w:sz w:val="18"/>
                                <w:szCs w:val="18"/>
                                <w:lang w:val="en-GB"/>
                              </w:rPr>
                              <w:t>l by mid-2017.</w:t>
                            </w:r>
                            <w:r w:rsidRPr="000D1D65">
                              <w:rPr>
                                <w:rFonts w:ascii="Arial Narrow" w:hAnsi="Arial Narrow"/>
                                <w:noProof/>
                                <w:sz w:val="18"/>
                                <w:szCs w:val="18"/>
                                <w:lang w:val="en-GB"/>
                              </w:rPr>
                              <w:t xml:space="preserve"> SANAS assessed SABS </w:t>
                            </w:r>
                            <w:r>
                              <w:rPr>
                                <w:rFonts w:ascii="Arial Narrow" w:hAnsi="Arial Narrow"/>
                                <w:noProof/>
                                <w:sz w:val="18"/>
                                <w:szCs w:val="18"/>
                                <w:lang w:val="en-GB"/>
                              </w:rPr>
                              <w:t xml:space="preserve">for accreditation in </w:t>
                            </w:r>
                            <w:r w:rsidRPr="000D1D65">
                              <w:rPr>
                                <w:rFonts w:ascii="Arial Narrow" w:hAnsi="Arial Narrow"/>
                                <w:noProof/>
                                <w:sz w:val="18"/>
                                <w:szCs w:val="18"/>
                                <w:lang w:val="en-GB"/>
                              </w:rPr>
                              <w:t>February 2016</w:t>
                            </w:r>
                            <w:r>
                              <w:rPr>
                                <w:rFonts w:ascii="Arial Narrow" w:hAnsi="Arial Narrow"/>
                                <w:noProof/>
                                <w:sz w:val="18"/>
                                <w:szCs w:val="18"/>
                                <w:lang w:val="en-GB"/>
                              </w:rPr>
                              <w:t xml:space="preserve">. </w:t>
                            </w:r>
                            <w:r w:rsidRPr="005545CE">
                              <w:rPr>
                                <w:rFonts w:ascii="Arial Narrow" w:hAnsi="Arial Narrow"/>
                                <w:noProof/>
                                <w:sz w:val="18"/>
                                <w:szCs w:val="18"/>
                                <w:lang w:val="en-GB"/>
                              </w:rPr>
                              <w:t>The test laboratories for dishwasher and laundry will be operational in 2017.</w:t>
                            </w:r>
                            <w:r>
                              <w:t xml:space="preserve"> </w:t>
                            </w:r>
                            <w:r w:rsidRPr="008A134C">
                              <w:rPr>
                                <w:rFonts w:ascii="Arial Narrow" w:hAnsi="Arial Narrow"/>
                                <w:noProof/>
                                <w:sz w:val="18"/>
                                <w:szCs w:val="18"/>
                                <w:lang w:val="en-GB"/>
                              </w:rPr>
                              <w:t>The project assisted SABS with institutional and individual capacity-building</w:t>
                            </w:r>
                            <w:r>
                              <w:rPr>
                                <w:rFonts w:ascii="Arial Narrow" w:hAnsi="Arial Narrow"/>
                                <w:noProof/>
                                <w:sz w:val="18"/>
                                <w:szCs w:val="18"/>
                                <w:lang w:val="en-GB"/>
                              </w:rPr>
                              <w:t>.</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sidRPr="00D57985">
                              <w:rPr>
                                <w:rFonts w:ascii="Arial Narrow" w:hAnsi="Arial Narrow"/>
                                <w:noProof/>
                                <w:sz w:val="18"/>
                                <w:szCs w:val="18"/>
                                <w:lang w:val="en-GB"/>
                              </w:rPr>
                              <w:t>NRCS developed modules and training materials to training its inspectors. The modules include the learners’ materials, the trainers’ guide and assessment modules. Modules were completed for audio-visual equipment and white goods</w:t>
                            </w:r>
                          </w:p>
                        </w:tc>
                      </w:tr>
                      <w:tr w:rsidR="00540FEA" w:rsidRPr="00D7157A" w:rsidTr="001C729F">
                        <w:tc>
                          <w:tcPr>
                            <w:tcW w:w="4191" w:type="dxa"/>
                            <w:shd w:val="clear" w:color="auto" w:fill="auto"/>
                          </w:tcPr>
                          <w:p w:rsidR="00540FEA" w:rsidRPr="00D31FB9" w:rsidRDefault="00540FEA" w:rsidP="001C729F">
                            <w:pPr>
                              <w:tabs>
                                <w:tab w:val="left" w:pos="567"/>
                              </w:tabs>
                              <w:spacing w:after="0"/>
                              <w:ind w:left="993" w:hanging="993"/>
                              <w:jc w:val="left"/>
                              <w:rPr>
                                <w:rFonts w:ascii="Arial Narrow" w:hAnsi="Arial Narrow"/>
                                <w:i/>
                                <w:noProof/>
                                <w:sz w:val="18"/>
                                <w:szCs w:val="18"/>
                                <w:lang w:val="en-GB"/>
                              </w:rPr>
                            </w:pPr>
                            <w:r w:rsidRPr="00D31FB9">
                              <w:rPr>
                                <w:rFonts w:ascii="Arial Narrow" w:hAnsi="Arial Narrow"/>
                                <w:i/>
                                <w:noProof/>
                                <w:sz w:val="18"/>
                                <w:szCs w:val="18"/>
                                <w:lang w:val="en-GB"/>
                              </w:rPr>
                              <w:t>Outcome 4</w:t>
                            </w:r>
                            <w:r w:rsidRPr="00D31FB9">
                              <w:rPr>
                                <w:rFonts w:ascii="Arial Narrow" w:hAnsi="Arial Narrow"/>
                                <w:i/>
                                <w:noProof/>
                                <w:sz w:val="18"/>
                                <w:szCs w:val="18"/>
                                <w:lang w:val="en-GB"/>
                              </w:rPr>
                              <w:tab/>
                              <w:t>Awareness raising campaign for standards and labels, targeting manufacturers, distributors, retailers and end-users.</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4.1</w:t>
                            </w:r>
                            <w:r>
                              <w:rPr>
                                <w:rFonts w:ascii="Arial Narrow" w:hAnsi="Arial Narrow"/>
                                <w:noProof/>
                                <w:sz w:val="18"/>
                                <w:szCs w:val="18"/>
                                <w:lang w:val="en-GB"/>
                              </w:rPr>
                              <w:tab/>
                              <w:t>Test and adopt label design</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4.2</w:t>
                            </w:r>
                            <w:r>
                              <w:rPr>
                                <w:rFonts w:ascii="Arial Narrow" w:hAnsi="Arial Narrow"/>
                                <w:noProof/>
                                <w:sz w:val="18"/>
                                <w:szCs w:val="18"/>
                                <w:lang w:val="en-GB"/>
                              </w:rPr>
                              <w:tab/>
                            </w:r>
                            <w:r w:rsidRPr="00D451A0">
                              <w:rPr>
                                <w:rFonts w:ascii="Arial Narrow" w:hAnsi="Arial Narrow"/>
                                <w:noProof/>
                                <w:sz w:val="18"/>
                                <w:szCs w:val="18"/>
                                <w:lang w:val="en-GB"/>
                              </w:rPr>
                              <w:t>Develop communication campaign towards manufacturers, importers, distributors, retailers and consumers about appliances’ energy efficiency</w:t>
                            </w:r>
                          </w:p>
                          <w:p w:rsidR="00540FEA" w:rsidRDefault="00540FEA" w:rsidP="001C729F">
                            <w:pPr>
                              <w:tabs>
                                <w:tab w:val="left" w:pos="426"/>
                              </w:tabs>
                              <w:spacing w:after="0"/>
                              <w:ind w:left="426" w:hanging="426"/>
                              <w:jc w:val="left"/>
                              <w:rPr>
                                <w:rFonts w:ascii="Arial Narrow" w:hAnsi="Arial Narrow"/>
                                <w:noProof/>
                                <w:sz w:val="18"/>
                                <w:szCs w:val="18"/>
                                <w:lang w:val="en-GB"/>
                              </w:rPr>
                            </w:pPr>
                            <w:r>
                              <w:rPr>
                                <w:rFonts w:ascii="Arial Narrow" w:hAnsi="Arial Narrow"/>
                                <w:noProof/>
                                <w:sz w:val="18"/>
                                <w:szCs w:val="18"/>
                                <w:lang w:val="en-GB"/>
                              </w:rPr>
                              <w:t>4.3</w:t>
                            </w:r>
                            <w:r>
                              <w:rPr>
                                <w:rFonts w:ascii="Arial Narrow" w:hAnsi="Arial Narrow"/>
                                <w:noProof/>
                                <w:sz w:val="18"/>
                                <w:szCs w:val="18"/>
                                <w:lang w:val="en-GB"/>
                              </w:rPr>
                              <w:tab/>
                            </w:r>
                            <w:r w:rsidRPr="00D451A0">
                              <w:rPr>
                                <w:rFonts w:ascii="Arial Narrow" w:hAnsi="Arial Narrow"/>
                                <w:noProof/>
                                <w:sz w:val="18"/>
                                <w:szCs w:val="18"/>
                                <w:lang w:val="en-GB"/>
                              </w:rPr>
                              <w:t>Develop and deliver training programs for distributors and retailers staff.</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A</w:t>
                            </w:r>
                            <w:r w:rsidRPr="000D1D65">
                              <w:rPr>
                                <w:rFonts w:ascii="Arial Narrow" w:hAnsi="Arial Narrow"/>
                                <w:noProof/>
                                <w:sz w:val="18"/>
                                <w:szCs w:val="18"/>
                                <w:lang w:val="en-GB"/>
                              </w:rPr>
                              <w:t xml:space="preserve"> one-month long market surveillance of retail floor sales staff by the NRCS in all major cities found that recognition and understanding of the label was only at 15%</w:t>
                            </w:r>
                            <w:r>
                              <w:rPr>
                                <w:rFonts w:ascii="Arial Narrow" w:hAnsi="Arial Narrow"/>
                                <w:noProof/>
                                <w:sz w:val="18"/>
                                <w:szCs w:val="18"/>
                                <w:lang w:val="en-GB"/>
                              </w:rPr>
                              <w:t xml:space="preserve">. A communicatoon plan was prepared in 2016. </w:t>
                            </w:r>
                            <w:r w:rsidRPr="008A134C">
                              <w:rPr>
                                <w:rFonts w:ascii="Arial Narrow" w:hAnsi="Arial Narrow"/>
                                <w:noProof/>
                                <w:sz w:val="18"/>
                                <w:szCs w:val="18"/>
                                <w:lang w:val="en-GB"/>
                              </w:rPr>
                              <w:t xml:space="preserve">Implementation of the campaign includes stakeholder engagements, development of a training programme for retail sales personnel, messaging (through social media platforms, media releases and advertorials). </w:t>
                            </w:r>
                            <w:r>
                              <w:rPr>
                                <w:rFonts w:ascii="Arial Narrow" w:hAnsi="Arial Narrow"/>
                                <w:noProof/>
                                <w:sz w:val="18"/>
                                <w:szCs w:val="18"/>
                                <w:lang w:val="en-GB"/>
                              </w:rPr>
                              <w:t>A</w:t>
                            </w:r>
                            <w:r w:rsidRPr="000D1D65">
                              <w:rPr>
                                <w:rFonts w:ascii="Arial Narrow" w:hAnsi="Arial Narrow"/>
                                <w:noProof/>
                                <w:sz w:val="18"/>
                                <w:szCs w:val="18"/>
                                <w:lang w:val="en-GB"/>
                              </w:rPr>
                              <w:t xml:space="preserve">fter the media campaign </w:t>
                            </w:r>
                            <w:r>
                              <w:rPr>
                                <w:rFonts w:ascii="Arial Narrow" w:hAnsi="Arial Narrow"/>
                                <w:noProof/>
                                <w:sz w:val="18"/>
                                <w:szCs w:val="18"/>
                                <w:lang w:val="en-GB"/>
                              </w:rPr>
                              <w:t>will be</w:t>
                            </w:r>
                            <w:r w:rsidRPr="000D1D65">
                              <w:rPr>
                                <w:rFonts w:ascii="Arial Narrow" w:hAnsi="Arial Narrow"/>
                                <w:noProof/>
                                <w:sz w:val="18"/>
                                <w:szCs w:val="18"/>
                                <w:lang w:val="en-GB"/>
                              </w:rPr>
                              <w:t xml:space="preserve"> completed</w:t>
                            </w:r>
                            <w:r>
                              <w:rPr>
                                <w:rFonts w:ascii="Arial Narrow" w:hAnsi="Arial Narrow"/>
                                <w:noProof/>
                                <w:sz w:val="18"/>
                                <w:szCs w:val="18"/>
                                <w:lang w:val="en-GB"/>
                              </w:rPr>
                              <w:t xml:space="preserve"> (preparation will start in 2017), new research will ascertain the effect of the label on users and retailers.</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D57985">
                              <w:rPr>
                                <w:rFonts w:ascii="Arial Narrow" w:hAnsi="Arial Narrow"/>
                                <w:noProof/>
                                <w:sz w:val="18"/>
                                <w:szCs w:val="18"/>
                                <w:lang w:val="en-GB"/>
                              </w:rPr>
                              <w:t>raining</w:t>
                            </w:r>
                            <w:r>
                              <w:rPr>
                                <w:rFonts w:ascii="Arial Narrow" w:hAnsi="Arial Narrow"/>
                                <w:noProof/>
                                <w:sz w:val="18"/>
                                <w:szCs w:val="18"/>
                                <w:lang w:val="en-GB"/>
                              </w:rPr>
                              <w:t xml:space="preserve"> will be organised 2017-18</w:t>
                            </w:r>
                            <w:r w:rsidRPr="00D57985">
                              <w:rPr>
                                <w:rFonts w:ascii="Arial Narrow" w:hAnsi="Arial Narrow"/>
                                <w:noProof/>
                                <w:sz w:val="18"/>
                                <w:szCs w:val="18"/>
                                <w:lang w:val="en-GB"/>
                              </w:rPr>
                              <w:t xml:space="preserve"> to prepare retail sales personnel to understand and to explain the choices available to consumers when purchasing new appliances.</w:t>
                            </w:r>
                          </w:p>
                        </w:tc>
                      </w:tr>
                      <w:tr w:rsidR="00540FEA" w:rsidRPr="00D7157A" w:rsidTr="001C729F">
                        <w:tc>
                          <w:tcPr>
                            <w:tcW w:w="4191" w:type="dxa"/>
                            <w:shd w:val="clear" w:color="auto" w:fill="auto"/>
                          </w:tcPr>
                          <w:p w:rsidR="00540FEA" w:rsidRPr="006A68A3" w:rsidRDefault="00540FEA" w:rsidP="001C729F">
                            <w:pPr>
                              <w:tabs>
                                <w:tab w:val="left" w:pos="993"/>
                              </w:tabs>
                              <w:spacing w:after="0"/>
                              <w:ind w:left="993" w:hanging="993"/>
                              <w:jc w:val="left"/>
                              <w:rPr>
                                <w:rFonts w:ascii="Arial Narrow" w:hAnsi="Arial Narrow"/>
                                <w:i/>
                                <w:noProof/>
                                <w:sz w:val="18"/>
                                <w:szCs w:val="18"/>
                                <w:lang w:val="en-GB"/>
                              </w:rPr>
                            </w:pPr>
                            <w:r w:rsidRPr="006A68A3">
                              <w:rPr>
                                <w:rFonts w:ascii="Arial Narrow" w:hAnsi="Arial Narrow"/>
                                <w:i/>
                                <w:noProof/>
                                <w:sz w:val="18"/>
                                <w:szCs w:val="18"/>
                                <w:lang w:val="en-GB"/>
                              </w:rPr>
                              <w:t>Outcome 5</w:t>
                            </w:r>
                            <w:r w:rsidRPr="006A68A3">
                              <w:rPr>
                                <w:rFonts w:ascii="Arial Narrow" w:hAnsi="Arial Narrow"/>
                                <w:i/>
                                <w:noProof/>
                                <w:sz w:val="18"/>
                                <w:szCs w:val="18"/>
                                <w:lang w:val="en-GB"/>
                              </w:rPr>
                              <w:tab/>
                              <w:t>Implementation of S&amp;L market surveillance &amp; compliance (MSC) regime to ensure energy performance standards is met</w:t>
                            </w:r>
                          </w:p>
                        </w:tc>
                        <w:tc>
                          <w:tcPr>
                            <w:tcW w:w="6441" w:type="dxa"/>
                            <w:shd w:val="clear" w:color="auto" w:fill="auto"/>
                          </w:tcPr>
                          <w:p w:rsidR="00540FE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Pr>
                                <w:rFonts w:ascii="Arial Narrow" w:hAnsi="Arial Narrow"/>
                                <w:noProof/>
                                <w:sz w:val="18"/>
                                <w:szCs w:val="18"/>
                                <w:lang w:val="en-GB"/>
                              </w:rPr>
                              <w:t>T</w:t>
                            </w:r>
                            <w:r w:rsidRPr="00C047F2">
                              <w:rPr>
                                <w:rFonts w:ascii="Arial Narrow" w:hAnsi="Arial Narrow"/>
                                <w:noProof/>
                                <w:sz w:val="18"/>
                                <w:szCs w:val="18"/>
                                <w:lang w:val="en-GB"/>
                              </w:rPr>
                              <w:t>he develop</w:t>
                            </w:r>
                            <w:r>
                              <w:rPr>
                                <w:rFonts w:ascii="Arial Narrow" w:hAnsi="Arial Narrow"/>
                                <w:noProof/>
                                <w:sz w:val="18"/>
                                <w:szCs w:val="18"/>
                                <w:lang w:val="en-GB"/>
                              </w:rPr>
                              <w:t xml:space="preserve">ment of MCS procedures will </w:t>
                            </w:r>
                            <w:r w:rsidRPr="00C047F2">
                              <w:rPr>
                                <w:rFonts w:ascii="Arial Narrow" w:hAnsi="Arial Narrow"/>
                                <w:noProof/>
                                <w:sz w:val="18"/>
                                <w:szCs w:val="18"/>
                                <w:lang w:val="en-GB"/>
                              </w:rPr>
                              <w:t>be assigned to an independent service provid</w:t>
                            </w:r>
                            <w:r>
                              <w:rPr>
                                <w:rFonts w:ascii="Arial Narrow" w:hAnsi="Arial Narrow"/>
                                <w:noProof/>
                                <w:sz w:val="18"/>
                                <w:szCs w:val="18"/>
                                <w:lang w:val="en-GB"/>
                              </w:rPr>
                              <w:t>er that will work with the NRCS starting 2017</w:t>
                            </w:r>
                          </w:p>
                          <w:p w:rsidR="00540FEA" w:rsidRPr="00D7157A" w:rsidRDefault="00540FEA" w:rsidP="001C729F">
                            <w:pPr>
                              <w:widowControl w:val="0"/>
                              <w:numPr>
                                <w:ilvl w:val="0"/>
                                <w:numId w:val="29"/>
                              </w:numPr>
                              <w:tabs>
                                <w:tab w:val="left" w:pos="213"/>
                                <w:tab w:val="num" w:pos="360"/>
                              </w:tabs>
                              <w:autoSpaceDE w:val="0"/>
                              <w:autoSpaceDN w:val="0"/>
                              <w:spacing w:after="0"/>
                              <w:ind w:left="0" w:firstLine="0"/>
                              <w:jc w:val="left"/>
                              <w:rPr>
                                <w:rFonts w:ascii="Arial Narrow" w:hAnsi="Arial Narrow"/>
                                <w:noProof/>
                                <w:sz w:val="18"/>
                                <w:szCs w:val="18"/>
                                <w:lang w:val="en-GB"/>
                              </w:rPr>
                            </w:pPr>
                            <w:r w:rsidRPr="00C047F2">
                              <w:rPr>
                                <w:rFonts w:ascii="Arial Narrow" w:hAnsi="Arial Narrow"/>
                                <w:noProof/>
                                <w:sz w:val="18"/>
                                <w:szCs w:val="18"/>
                                <w:lang w:val="en-GB"/>
                              </w:rPr>
                              <w:t>A database</w:t>
                            </w:r>
                            <w:r>
                              <w:rPr>
                                <w:rFonts w:ascii="Arial Narrow" w:hAnsi="Arial Narrow"/>
                                <w:noProof/>
                                <w:sz w:val="18"/>
                                <w:szCs w:val="18"/>
                                <w:lang w:val="en-GB"/>
                              </w:rPr>
                              <w:t xml:space="preserve"> on S&amp;L products</w:t>
                            </w:r>
                            <w:r w:rsidRPr="00C047F2">
                              <w:rPr>
                                <w:rFonts w:ascii="Arial Narrow" w:hAnsi="Arial Narrow"/>
                                <w:noProof/>
                                <w:sz w:val="18"/>
                                <w:szCs w:val="18"/>
                                <w:lang w:val="en-GB"/>
                              </w:rPr>
                              <w:t xml:space="preserve"> developed in 2014/15 was not maintained or updated</w:t>
                            </w:r>
                            <w:r>
                              <w:rPr>
                                <w:rFonts w:ascii="Arial Narrow" w:hAnsi="Arial Narrow"/>
                                <w:noProof/>
                                <w:sz w:val="18"/>
                                <w:szCs w:val="18"/>
                                <w:lang w:val="en-GB"/>
                              </w:rPr>
                              <w:t xml:space="preserve">. </w:t>
                            </w:r>
                            <w:r w:rsidRPr="008671BD">
                              <w:rPr>
                                <w:rFonts w:ascii="Arial Narrow" w:hAnsi="Arial Narrow"/>
                                <w:noProof/>
                                <w:sz w:val="18"/>
                                <w:szCs w:val="18"/>
                                <w:lang w:val="en-GB"/>
                              </w:rPr>
                              <w:t>A new product registration database is being build and due to go live in April 2019</w:t>
                            </w:r>
                            <w:r w:rsidRPr="00C047F2">
                              <w:rPr>
                                <w:rFonts w:ascii="Arial Narrow" w:hAnsi="Arial Narrow"/>
                                <w:noProof/>
                                <w:sz w:val="18"/>
                                <w:szCs w:val="18"/>
                                <w:lang w:val="en-GB"/>
                              </w:rPr>
                              <w:t>.</w:t>
                            </w:r>
                          </w:p>
                        </w:tc>
                      </w:tr>
                      <w:tr w:rsidR="00540FEA" w:rsidRPr="00D7157A" w:rsidTr="001C729F">
                        <w:tc>
                          <w:tcPr>
                            <w:tcW w:w="4191" w:type="dxa"/>
                            <w:shd w:val="clear" w:color="auto" w:fill="auto"/>
                          </w:tcPr>
                          <w:p w:rsidR="00540FEA" w:rsidRPr="006A68A3" w:rsidRDefault="00540FEA" w:rsidP="001C729F">
                            <w:pPr>
                              <w:tabs>
                                <w:tab w:val="left" w:pos="993"/>
                              </w:tabs>
                              <w:spacing w:after="0"/>
                              <w:ind w:left="993" w:hanging="993"/>
                              <w:jc w:val="left"/>
                              <w:rPr>
                                <w:rFonts w:ascii="Arial Narrow" w:hAnsi="Arial Narrow"/>
                                <w:i/>
                                <w:noProof/>
                                <w:sz w:val="18"/>
                                <w:szCs w:val="18"/>
                                <w:lang w:val="en-GB"/>
                              </w:rPr>
                            </w:pPr>
                            <w:r w:rsidRPr="006A68A3">
                              <w:rPr>
                                <w:rFonts w:ascii="Arial Narrow" w:hAnsi="Arial Narrow"/>
                                <w:i/>
                                <w:noProof/>
                                <w:sz w:val="18"/>
                                <w:szCs w:val="18"/>
                                <w:lang w:val="en-GB"/>
                              </w:rPr>
                              <w:t>Outcome 6</w:t>
                            </w:r>
                            <w:r w:rsidRPr="006A68A3">
                              <w:rPr>
                                <w:rFonts w:ascii="Arial Narrow" w:hAnsi="Arial Narrow"/>
                                <w:i/>
                                <w:noProof/>
                                <w:sz w:val="18"/>
                                <w:szCs w:val="18"/>
                                <w:lang w:val="en-GB"/>
                              </w:rPr>
                              <w:tab/>
                              <w:t>Development of Monitoring and Evaluation (M&amp;E) capacity</w:t>
                            </w:r>
                          </w:p>
                        </w:tc>
                        <w:tc>
                          <w:tcPr>
                            <w:tcW w:w="6441" w:type="dxa"/>
                            <w:shd w:val="clear" w:color="auto" w:fill="auto"/>
                          </w:tcPr>
                          <w:p w:rsidR="00540FEA" w:rsidRPr="00D7157A" w:rsidRDefault="00540FEA" w:rsidP="001C729F">
                            <w:pPr>
                              <w:widowControl w:val="0"/>
                              <w:numPr>
                                <w:ilvl w:val="0"/>
                                <w:numId w:val="29"/>
                              </w:numPr>
                              <w:tabs>
                                <w:tab w:val="left" w:pos="213"/>
                                <w:tab w:val="num" w:pos="360"/>
                              </w:tabs>
                              <w:autoSpaceDE w:val="0"/>
                              <w:autoSpaceDN w:val="0"/>
                              <w:spacing w:after="0"/>
                              <w:ind w:left="0" w:firstLine="32"/>
                              <w:jc w:val="left"/>
                              <w:rPr>
                                <w:rFonts w:ascii="Arial Narrow" w:hAnsi="Arial Narrow"/>
                                <w:noProof/>
                                <w:sz w:val="18"/>
                                <w:szCs w:val="18"/>
                                <w:lang w:val="en-GB"/>
                              </w:rPr>
                            </w:pPr>
                            <w:r>
                              <w:rPr>
                                <w:rFonts w:ascii="Arial Narrow" w:hAnsi="Arial Narrow"/>
                                <w:noProof/>
                                <w:sz w:val="18"/>
                                <w:szCs w:val="18"/>
                                <w:lang w:val="en-GB"/>
                              </w:rPr>
                              <w:t>A r</w:t>
                            </w:r>
                            <w:r w:rsidRPr="00C047F2">
                              <w:rPr>
                                <w:rFonts w:ascii="Arial Narrow" w:hAnsi="Arial Narrow"/>
                                <w:noProof/>
                                <w:sz w:val="18"/>
                                <w:szCs w:val="18"/>
                                <w:lang w:val="en-GB"/>
                              </w:rPr>
                              <w:t>eview of South Africa’s appliance energy classes and identification of the next set of electrical equipment</w:t>
                            </w:r>
                            <w:r>
                              <w:rPr>
                                <w:rFonts w:ascii="Arial Narrow" w:hAnsi="Arial Narrow"/>
                                <w:noProof/>
                                <w:sz w:val="18"/>
                                <w:szCs w:val="18"/>
                                <w:lang w:val="en-GB"/>
                              </w:rPr>
                              <w:t xml:space="preserve"> is planned for 2017-18</w:t>
                            </w:r>
                          </w:p>
                        </w:tc>
                      </w:tr>
                    </w:tbl>
                    <w:p w:rsidR="00540FEA" w:rsidRPr="0001021F" w:rsidRDefault="00540FEA" w:rsidP="001C729F">
                      <w:pPr>
                        <w:spacing w:before="60" w:after="0"/>
                        <w:rPr>
                          <w:noProof/>
                          <w:sz w:val="19"/>
                          <w:szCs w:val="19"/>
                          <w:lang w:val="en-GB"/>
                        </w:rPr>
                      </w:pPr>
                      <w:r w:rsidRPr="0001021F">
                        <w:rPr>
                          <w:noProof/>
                          <w:sz w:val="19"/>
                          <w:szCs w:val="19"/>
                          <w:lang w:val="en-GB"/>
                        </w:rPr>
                        <w:t>The UNDP/GEF project has been helping South Africa to embark on a more comprehensive S&amp;L programme development. It</w:t>
                      </w:r>
                      <w:r w:rsidRPr="0001021F">
                        <w:rPr>
                          <w:sz w:val="19"/>
                          <w:szCs w:val="19"/>
                        </w:rPr>
                        <w:t xml:space="preserve"> </w:t>
                      </w:r>
                      <w:r w:rsidRPr="0001021F">
                        <w:rPr>
                          <w:noProof/>
                          <w:sz w:val="19"/>
                          <w:szCs w:val="19"/>
                          <w:lang w:val="en-GB"/>
                        </w:rPr>
                        <w:t>is is now important that South Africa develops reliable and appliance-specific Measurement, Verification and Enforc</w:t>
                      </w:r>
                      <w:r>
                        <w:rPr>
                          <w:noProof/>
                          <w:sz w:val="19"/>
                          <w:szCs w:val="19"/>
                          <w:lang w:val="en-GB"/>
                        </w:rPr>
                        <w:t>ement (MV</w:t>
                      </w:r>
                      <w:r w:rsidRPr="0001021F">
                        <w:rPr>
                          <w:noProof/>
                          <w:sz w:val="19"/>
                          <w:szCs w:val="19"/>
                          <w:lang w:val="en-GB"/>
                        </w:rPr>
                        <w:t>E) schemes with strict sanctions to ensure that at the end the market is actually compliant with all new requirements.</w:t>
                      </w:r>
                    </w:p>
                    <w:p w:rsidR="00540FEA" w:rsidRPr="00C047F2" w:rsidRDefault="00540FEA" w:rsidP="001C729F">
                      <w:pPr>
                        <w:spacing w:before="60" w:after="0"/>
                        <w:rPr>
                          <w:noProof/>
                          <w:sz w:val="18"/>
                          <w:lang w:val="en-GB"/>
                        </w:rPr>
                      </w:pPr>
                      <w:r>
                        <w:rPr>
                          <w:i/>
                          <w:noProof/>
                          <w:sz w:val="18"/>
                          <w:lang w:val="en-GB"/>
                        </w:rPr>
                        <w:t xml:space="preserve">Source: </w:t>
                      </w:r>
                      <w:r>
                        <w:rPr>
                          <w:noProof/>
                          <w:sz w:val="18"/>
                          <w:lang w:val="en-GB"/>
                        </w:rPr>
                        <w:t>UNDP-GEF project Document and Project Implementation Review (2017)</w:t>
                      </w:r>
                    </w:p>
                    <w:p w:rsidR="00540FEA" w:rsidRDefault="00540FEA" w:rsidP="00F172FF">
                      <w:pPr>
                        <w:rPr>
                          <w:noProof/>
                        </w:rPr>
                      </w:pPr>
                    </w:p>
                  </w:txbxContent>
                </v:textbox>
                <w10:wrap type="topAndBottom" anchorx="page" anchory="margin"/>
              </v:shape>
            </w:pict>
          </mc:Fallback>
        </mc:AlternateContent>
      </w:r>
      <w:r w:rsidR="00F172FF" w:rsidRPr="0057545E">
        <w:rPr>
          <w:lang w:val="en-GB" w:eastAsia="en-GB"/>
        </w:rPr>
        <w:br w:type="page"/>
      </w:r>
    </w:p>
    <w:p w:rsidR="000112A1" w:rsidRPr="00353542" w:rsidRDefault="003A2690">
      <w:pPr>
        <w:spacing w:after="0"/>
        <w:jc w:val="left"/>
        <w:rPr>
          <w:lang w:val="en-GB" w:eastAsia="en-GB"/>
        </w:rPr>
      </w:pPr>
      <w:r>
        <w:rPr>
          <w:noProof/>
        </w:rPr>
        <w:lastRenderedPageBreak/>
        <mc:AlternateContent>
          <mc:Choice Requires="wps">
            <w:drawing>
              <wp:anchor distT="45720" distB="45720" distL="114300" distR="114300" simplePos="0" relativeHeight="251632640" behindDoc="0" locked="0" layoutInCell="1" allowOverlap="1">
                <wp:simplePos x="0" y="0"/>
                <wp:positionH relativeFrom="page">
                  <wp:posOffset>558165</wp:posOffset>
                </wp:positionH>
                <wp:positionV relativeFrom="margin">
                  <wp:align>top</wp:align>
                </wp:positionV>
                <wp:extent cx="6739890" cy="8210550"/>
                <wp:effectExtent l="0" t="0" r="0" b="0"/>
                <wp:wrapTopAndBottom/>
                <wp:docPr id="245" name="Text Box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210550"/>
                        </a:xfrm>
                        <a:prstGeom prst="rect">
                          <a:avLst/>
                        </a:prstGeom>
                        <a:solidFill>
                          <a:srgbClr val="ED7D31">
                            <a:lumMod val="20000"/>
                            <a:lumOff val="80000"/>
                          </a:srgbClr>
                        </a:solidFill>
                        <a:ln>
                          <a:noFill/>
                        </a:ln>
                      </wps:spPr>
                      <wps:txbx>
                        <w:txbxContent>
                          <w:p w:rsidR="00540FEA" w:rsidRDefault="00540FEA" w:rsidP="000A2A3A">
                            <w:pPr>
                              <w:pStyle w:val="Caption"/>
                              <w:rPr>
                                <w:rFonts w:ascii="Arial" w:hAnsi="Arial" w:cs="Arial"/>
                                <w:color w:val="2E74B5"/>
                                <w:sz w:val="18"/>
                              </w:rPr>
                            </w:pPr>
                            <w:bookmarkStart w:id="228" w:name="_Ref535776809"/>
                            <w:bookmarkStart w:id="229" w:name="_Toc17984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228"/>
                            <w:r>
                              <w:rPr>
                                <w:rFonts w:ascii="Arial" w:hAnsi="Arial" w:cs="Arial"/>
                                <w:color w:val="2E74B5"/>
                                <w:sz w:val="18"/>
                              </w:rPr>
                              <w:tab/>
                              <w:t>Municipal revenues and expenditures</w:t>
                            </w:r>
                            <w:bookmarkEnd w:id="229"/>
                          </w:p>
                          <w:p w:rsidR="00540FEA" w:rsidRDefault="00540FEA" w:rsidP="000A2A3A">
                            <w:pPr>
                              <w:spacing w:after="0"/>
                              <w:rPr>
                                <w:noProof/>
                              </w:rPr>
                            </w:pPr>
                          </w:p>
                          <w:p w:rsidR="00540FEA" w:rsidRPr="009D718D" w:rsidRDefault="00540FEA" w:rsidP="009D718D">
                            <w:pPr>
                              <w:spacing w:after="0"/>
                              <w:ind w:left="5387"/>
                              <w:rPr>
                                <w:noProof/>
                                <w:sz w:val="19"/>
                                <w:szCs w:val="19"/>
                              </w:rPr>
                            </w:pPr>
                            <w:r w:rsidRPr="009D718D">
                              <w:rPr>
                                <w:noProof/>
                                <w:sz w:val="19"/>
                                <w:szCs w:val="19"/>
                              </w:rPr>
                              <w:t>On average, South African municipalities obtain 28% of their income from grants and 72% from internal sources, primarily through property taxes and the sale of basic services (electricity, water, refuse collection). These figures, however, include gross income from electricity and water sales. If the total direct cost of bulk electricity and water purchases by municipalities are taken into account, the total amount of funding from grants is on average 37%. Under this same metric, metropolitan municipalities obtain 26% of their income from grants, and for all the other municipalities this figure reaches 50%.</w:t>
                            </w: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lang w:val="en-GB"/>
                              </w:rPr>
                            </w:pPr>
                          </w:p>
                          <w:p w:rsidR="00540FEA" w:rsidRPr="009D718D" w:rsidRDefault="00540FEA" w:rsidP="000A2A3A">
                            <w:pPr>
                              <w:rPr>
                                <w:noProof/>
                                <w:sz w:val="19"/>
                                <w:szCs w:val="19"/>
                                <w:lang w:val="en-GB"/>
                              </w:rPr>
                            </w:pPr>
                            <w:r w:rsidRPr="009D718D">
                              <w:rPr>
                                <w:i/>
                                <w:noProof/>
                                <w:sz w:val="19"/>
                                <w:szCs w:val="19"/>
                                <w:lang w:val="en-GB"/>
                              </w:rPr>
                              <w:t xml:space="preserve">Source: </w:t>
                            </w:r>
                          </w:p>
                          <w:p w:rsidR="00540FEA" w:rsidRDefault="00540FEA" w:rsidP="000A2A3A">
                            <w:pPr>
                              <w:rPr>
                                <w:noProof/>
                                <w:sz w:val="19"/>
                                <w:szCs w:val="19"/>
                              </w:rPr>
                            </w:pPr>
                          </w:p>
                          <w:p w:rsidR="00540FEA" w:rsidRDefault="00540FEA" w:rsidP="000A2A3A">
                            <w:pPr>
                              <w:rPr>
                                <w:noProof/>
                                <w:sz w:val="19"/>
                                <w:szCs w:val="19"/>
                              </w:rPr>
                            </w:pPr>
                          </w:p>
                          <w:p w:rsidR="00540FEA" w:rsidRDefault="00540FEA" w:rsidP="000A2A3A">
                            <w:pPr>
                              <w:rPr>
                                <w:noProof/>
                                <w:sz w:val="19"/>
                                <w:szCs w:val="19"/>
                              </w:rPr>
                            </w:pPr>
                          </w:p>
                          <w:p w:rsidR="00540FEA" w:rsidRDefault="00540FEA" w:rsidP="000A2A3A">
                            <w:pPr>
                              <w:rPr>
                                <w:noProof/>
                                <w:sz w:val="19"/>
                                <w:szCs w:val="19"/>
                              </w:rPr>
                            </w:pPr>
                          </w:p>
                          <w:p w:rsidR="00540FEA" w:rsidRPr="009D718D" w:rsidRDefault="00540FEA" w:rsidP="009D718D">
                            <w:pPr>
                              <w:ind w:right="4948"/>
                              <w:rPr>
                                <w:noProof/>
                                <w:sz w:val="19"/>
                                <w:szCs w:val="19"/>
                              </w:rPr>
                            </w:pPr>
                            <w:r w:rsidRPr="009D718D">
                              <w:rPr>
                                <w:noProof/>
                                <w:sz w:val="19"/>
                                <w:szCs w:val="19"/>
                              </w:rPr>
                              <w:t>The central government grant funding for infrastructure in the metropolitan municipalities is mainly concentrated on reducing the number of informal settlements (Urban Settlements Development Grant - ZAR 11</w:t>
                            </w:r>
                            <w:r>
                              <w:rPr>
                                <w:noProof/>
                                <w:sz w:val="19"/>
                                <w:szCs w:val="19"/>
                              </w:rPr>
                              <w:t xml:space="preserve"> billion</w:t>
                            </w:r>
                            <w:r w:rsidRPr="009D718D">
                              <w:rPr>
                                <w:noProof/>
                                <w:sz w:val="19"/>
                                <w:szCs w:val="19"/>
                              </w:rPr>
                              <w:t xml:space="preserve"> in 2018/19 budget) and on public transport (Public Transport Network Grant- ZAR 6</w:t>
                            </w:r>
                            <w:r>
                              <w:rPr>
                                <w:noProof/>
                                <w:sz w:val="19"/>
                                <w:szCs w:val="19"/>
                              </w:rPr>
                              <w:t xml:space="preserve"> billion</w:t>
                            </w:r>
                            <w:r w:rsidRPr="009D718D">
                              <w:rPr>
                                <w:noProof/>
                                <w:sz w:val="19"/>
                                <w:szCs w:val="19"/>
                              </w:rPr>
                              <w:t xml:space="preserve"> in 2018/19 budget). The Urban Settlements Development Grant may also be used for the provision of infrastructure for the settlements developed.</w:t>
                            </w:r>
                          </w:p>
                          <w:p w:rsidR="00540FEA" w:rsidRDefault="00540FEA" w:rsidP="009D718D">
                            <w:pPr>
                              <w:ind w:right="4948"/>
                              <w:rPr>
                                <w:noProof/>
                                <w:sz w:val="19"/>
                                <w:szCs w:val="19"/>
                              </w:rPr>
                            </w:pPr>
                          </w:p>
                          <w:p w:rsidR="00540FEA" w:rsidRDefault="00540FEA" w:rsidP="009D718D">
                            <w:pPr>
                              <w:ind w:left="5670" w:right="129"/>
                              <w:rPr>
                                <w:noProof/>
                                <w:sz w:val="19"/>
                                <w:szCs w:val="19"/>
                              </w:rPr>
                            </w:pPr>
                            <w:r w:rsidRPr="009D718D">
                              <w:rPr>
                                <w:noProof/>
                                <w:sz w:val="19"/>
                                <w:szCs w:val="19"/>
                              </w:rPr>
                              <w:t>The Municipal Infrastructure Grant, which is the largest infrastructure transfer to municipalities (ZAR 15</w:t>
                            </w:r>
                            <w:r>
                              <w:rPr>
                                <w:noProof/>
                                <w:sz w:val="19"/>
                                <w:szCs w:val="19"/>
                              </w:rPr>
                              <w:t xml:space="preserve"> billion </w:t>
                            </w:r>
                            <w:r w:rsidRPr="009D718D">
                              <w:rPr>
                                <w:noProof/>
                                <w:sz w:val="19"/>
                                <w:szCs w:val="19"/>
                              </w:rPr>
                              <w:t>in the 2018/19 budget) is distributed primarily to rural municipalities and some districts, while the metropolitan municipalities receive no funding from this grant program. The allocations of this program are dedicated to new infrastructure or upgrading existing infrastructure including basic water and sanitation services, central collection points for refuse, recycling facilities and solid waste disposal sites, sport and recreation facilities, street lighting, etc. A lot of the funding is understood to be spent on clearing the backlog of defective infrastructure.</w:t>
                            </w:r>
                          </w:p>
                          <w:p w:rsidR="00540FEA" w:rsidRDefault="00540FEA" w:rsidP="009D718D">
                            <w:pPr>
                              <w:ind w:left="5670" w:right="129"/>
                              <w:rPr>
                                <w:noProof/>
                                <w:sz w:val="19"/>
                                <w:szCs w:val="19"/>
                              </w:rPr>
                            </w:pPr>
                            <w:r>
                              <w:rPr>
                                <w:noProof/>
                                <w:sz w:val="19"/>
                                <w:szCs w:val="19"/>
                              </w:rPr>
                              <w:t>T</w:t>
                            </w:r>
                            <w:r w:rsidRPr="009D718D">
                              <w:rPr>
                                <w:noProof/>
                                <w:sz w:val="19"/>
                                <w:szCs w:val="19"/>
                              </w:rPr>
                              <w:t>he Municipal Infrastructure Grant and the Urban Settlements Development Grant are the two largest components of the national government transfers to the municipalities. Another infrastructure grant program that addresses infrastructure relevant for this project is the Integrated National Electrification Programme Grant for municipalities. This program is funded with ZAR 5.</w:t>
                            </w:r>
                            <w:r>
                              <w:rPr>
                                <w:noProof/>
                                <w:sz w:val="19"/>
                                <w:szCs w:val="19"/>
                              </w:rPr>
                              <w:t>9 billion</w:t>
                            </w:r>
                            <w:r w:rsidRPr="009D718D">
                              <w:rPr>
                                <w:noProof/>
                                <w:sz w:val="19"/>
                                <w:szCs w:val="19"/>
                              </w:rPr>
                              <w:t xml:space="preserve"> to address the electrification backlog of households and the installation of relevant bulk infrastructure. Of this total budget the municipalities receive ZAR 2</w:t>
                            </w:r>
                            <w:r>
                              <w:rPr>
                                <w:noProof/>
                                <w:sz w:val="19"/>
                                <w:szCs w:val="19"/>
                              </w:rPr>
                              <w:t>billion</w:t>
                            </w:r>
                          </w:p>
                          <w:p w:rsidR="00540FEA" w:rsidRDefault="00540FEA" w:rsidP="009D718D">
                            <w:pPr>
                              <w:ind w:left="5670" w:right="129"/>
                              <w:rPr>
                                <w:noProof/>
                                <w:sz w:val="19"/>
                                <w:szCs w:val="19"/>
                              </w:rPr>
                            </w:pPr>
                          </w:p>
                          <w:p w:rsidR="00540FEA" w:rsidRPr="009D718D" w:rsidRDefault="00540FEA" w:rsidP="009D718D">
                            <w:pPr>
                              <w:ind w:right="5090"/>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43.95pt;margin-top:0;width:530.7pt;height:646.5pt;z-index:251632640;visibility:visible;mso-wrap-style:square;mso-width-percent:0;mso-height-percent:0;mso-wrap-distance-left:9pt;mso-wrap-distance-top:3.6pt;mso-wrap-distance-right:9pt;mso-wrap-distance-bottom:3.6pt;mso-position-horizontal:absolute;mso-position-horizontal-relative:page;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" fillcolor="#fbe5d6" stroked="f">
                <v:textbox>
                  <w:txbxContent>
                    <w:p w:rsidR="00540FEA" w:rsidRDefault="00540FEA" w:rsidP="000A2A3A">
                      <w:pPr>
                        <w:pStyle w:val="Caption"/>
                        <w:rPr>
                          <w:rFonts w:ascii="Arial" w:hAnsi="Arial" w:cs="Arial"/>
                          <w:color w:val="2E74B5"/>
                          <w:sz w:val="18"/>
                        </w:rPr>
                      </w:pPr>
                      <w:bookmarkStart w:id="258" w:name="_Ref535776809"/>
                      <w:bookmarkStart w:id="259" w:name="_Toc17984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22</w:t>
                      </w:r>
                      <w:r w:rsidRPr="00A21E05">
                        <w:rPr>
                          <w:rFonts w:ascii="Arial" w:hAnsi="Arial" w:cs="Arial"/>
                          <w:color w:val="2E74B5"/>
                          <w:sz w:val="18"/>
                        </w:rPr>
                        <w:fldChar w:fldCharType="end"/>
                      </w:r>
                      <w:bookmarkEnd w:id="258"/>
                      <w:r>
                        <w:rPr>
                          <w:rFonts w:ascii="Arial" w:hAnsi="Arial" w:cs="Arial"/>
                          <w:color w:val="2E74B5"/>
                          <w:sz w:val="18"/>
                        </w:rPr>
                        <w:tab/>
                        <w:t>Municipal revenues and expenditures</w:t>
                      </w:r>
                      <w:bookmarkEnd w:id="259"/>
                    </w:p>
                    <w:p w:rsidR="00540FEA" w:rsidRDefault="00540FEA" w:rsidP="000A2A3A">
                      <w:pPr>
                        <w:spacing w:after="0"/>
                        <w:rPr>
                          <w:noProof/>
                        </w:rPr>
                      </w:pPr>
                    </w:p>
                    <w:p w:rsidR="00540FEA" w:rsidRPr="009D718D" w:rsidRDefault="00540FEA" w:rsidP="009D718D">
                      <w:pPr>
                        <w:spacing w:after="0"/>
                        <w:ind w:left="5387"/>
                        <w:rPr>
                          <w:noProof/>
                          <w:sz w:val="19"/>
                          <w:szCs w:val="19"/>
                        </w:rPr>
                      </w:pPr>
                      <w:r w:rsidRPr="009D718D">
                        <w:rPr>
                          <w:noProof/>
                          <w:sz w:val="19"/>
                          <w:szCs w:val="19"/>
                        </w:rPr>
                        <w:t>On average, South African municipalities obtain 28% of their income from grants and 72% from internal sources, primarily through property taxes and the sale of basic services (electricity, water, refuse collection). These figures, however, include gross income from electricity and water sales. If the total direct cost of bulk electricity and water purchases by municipalities are taken into account, the total amount of funding from grants is on average 37%. Under this same metric, metropolitan municipalities obtain 26% of their income from grants, and for all the other municipalities this figure reaches 50%.</w:t>
                      </w: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rPr>
                      </w:pPr>
                    </w:p>
                    <w:p w:rsidR="00540FEA" w:rsidRPr="009D718D" w:rsidRDefault="00540FEA" w:rsidP="000A2A3A">
                      <w:pPr>
                        <w:spacing w:after="0"/>
                        <w:rPr>
                          <w:noProof/>
                          <w:sz w:val="19"/>
                          <w:szCs w:val="19"/>
                          <w:lang w:val="en-GB"/>
                        </w:rPr>
                      </w:pPr>
                    </w:p>
                    <w:p w:rsidR="00540FEA" w:rsidRPr="009D718D" w:rsidRDefault="00540FEA" w:rsidP="000A2A3A">
                      <w:pPr>
                        <w:rPr>
                          <w:noProof/>
                          <w:sz w:val="19"/>
                          <w:szCs w:val="19"/>
                          <w:lang w:val="en-GB"/>
                        </w:rPr>
                      </w:pPr>
                      <w:r w:rsidRPr="009D718D">
                        <w:rPr>
                          <w:i/>
                          <w:noProof/>
                          <w:sz w:val="19"/>
                          <w:szCs w:val="19"/>
                          <w:lang w:val="en-GB"/>
                        </w:rPr>
                        <w:t xml:space="preserve">Source: </w:t>
                      </w:r>
                    </w:p>
                    <w:p w:rsidR="00540FEA" w:rsidRDefault="00540FEA" w:rsidP="000A2A3A">
                      <w:pPr>
                        <w:rPr>
                          <w:noProof/>
                          <w:sz w:val="19"/>
                          <w:szCs w:val="19"/>
                        </w:rPr>
                      </w:pPr>
                    </w:p>
                    <w:p w:rsidR="00540FEA" w:rsidRDefault="00540FEA" w:rsidP="000A2A3A">
                      <w:pPr>
                        <w:rPr>
                          <w:noProof/>
                          <w:sz w:val="19"/>
                          <w:szCs w:val="19"/>
                        </w:rPr>
                      </w:pPr>
                    </w:p>
                    <w:p w:rsidR="00540FEA" w:rsidRDefault="00540FEA" w:rsidP="000A2A3A">
                      <w:pPr>
                        <w:rPr>
                          <w:noProof/>
                          <w:sz w:val="19"/>
                          <w:szCs w:val="19"/>
                        </w:rPr>
                      </w:pPr>
                    </w:p>
                    <w:p w:rsidR="00540FEA" w:rsidRDefault="00540FEA" w:rsidP="000A2A3A">
                      <w:pPr>
                        <w:rPr>
                          <w:noProof/>
                          <w:sz w:val="19"/>
                          <w:szCs w:val="19"/>
                        </w:rPr>
                      </w:pPr>
                    </w:p>
                    <w:p w:rsidR="00540FEA" w:rsidRPr="009D718D" w:rsidRDefault="00540FEA" w:rsidP="009D718D">
                      <w:pPr>
                        <w:ind w:right="4948"/>
                        <w:rPr>
                          <w:noProof/>
                          <w:sz w:val="19"/>
                          <w:szCs w:val="19"/>
                        </w:rPr>
                      </w:pPr>
                      <w:r w:rsidRPr="009D718D">
                        <w:rPr>
                          <w:noProof/>
                          <w:sz w:val="19"/>
                          <w:szCs w:val="19"/>
                        </w:rPr>
                        <w:t>The central government grant funding for infrastructure in the metropolitan municipalities is mainly concentrated on reducing the number of informal settlements (Urban Settlements Development Grant - ZAR 11</w:t>
                      </w:r>
                      <w:r>
                        <w:rPr>
                          <w:noProof/>
                          <w:sz w:val="19"/>
                          <w:szCs w:val="19"/>
                        </w:rPr>
                        <w:t xml:space="preserve"> billion</w:t>
                      </w:r>
                      <w:r w:rsidRPr="009D718D">
                        <w:rPr>
                          <w:noProof/>
                          <w:sz w:val="19"/>
                          <w:szCs w:val="19"/>
                        </w:rPr>
                        <w:t xml:space="preserve"> in 2018/19 budget) and on public transport (Public Transport Network Grant- ZAR 6</w:t>
                      </w:r>
                      <w:r>
                        <w:rPr>
                          <w:noProof/>
                          <w:sz w:val="19"/>
                          <w:szCs w:val="19"/>
                        </w:rPr>
                        <w:t xml:space="preserve"> billion</w:t>
                      </w:r>
                      <w:r w:rsidRPr="009D718D">
                        <w:rPr>
                          <w:noProof/>
                          <w:sz w:val="19"/>
                          <w:szCs w:val="19"/>
                        </w:rPr>
                        <w:t xml:space="preserve"> in 2018/19 budget). The Urban Settlements Development Grant may also be used for the provision of infrastructure for the settlements developed.</w:t>
                      </w:r>
                    </w:p>
                    <w:p w:rsidR="00540FEA" w:rsidRDefault="00540FEA" w:rsidP="009D718D">
                      <w:pPr>
                        <w:ind w:right="4948"/>
                        <w:rPr>
                          <w:noProof/>
                          <w:sz w:val="19"/>
                          <w:szCs w:val="19"/>
                        </w:rPr>
                      </w:pPr>
                    </w:p>
                    <w:p w:rsidR="00540FEA" w:rsidRDefault="00540FEA" w:rsidP="009D718D">
                      <w:pPr>
                        <w:ind w:left="5670" w:right="129"/>
                        <w:rPr>
                          <w:noProof/>
                          <w:sz w:val="19"/>
                          <w:szCs w:val="19"/>
                        </w:rPr>
                      </w:pPr>
                      <w:r w:rsidRPr="009D718D">
                        <w:rPr>
                          <w:noProof/>
                          <w:sz w:val="19"/>
                          <w:szCs w:val="19"/>
                        </w:rPr>
                        <w:t>The Municipal Infrastructure Grant, which is the largest infrastructure transfer to municipalities (ZAR 15</w:t>
                      </w:r>
                      <w:r>
                        <w:rPr>
                          <w:noProof/>
                          <w:sz w:val="19"/>
                          <w:szCs w:val="19"/>
                        </w:rPr>
                        <w:t xml:space="preserve"> billion </w:t>
                      </w:r>
                      <w:r w:rsidRPr="009D718D">
                        <w:rPr>
                          <w:noProof/>
                          <w:sz w:val="19"/>
                          <w:szCs w:val="19"/>
                        </w:rPr>
                        <w:t>in the 2018/19 budget) is distributed primarily to rural municipalities and some districts, while the metropolitan municipalities receive no funding from this grant program. The allocations of this program are dedicated to new infrastructure or upgrading existing infrastructure including basic water and sanitation services, central collection points for refuse, recycling facilities and solid waste disposal sites, sport and recreation facilities, street lighting, etc. A lot of the funding is understood to be spent on clearing the backlog of defective infrastructure.</w:t>
                      </w:r>
                    </w:p>
                    <w:p w:rsidR="00540FEA" w:rsidRDefault="00540FEA" w:rsidP="009D718D">
                      <w:pPr>
                        <w:ind w:left="5670" w:right="129"/>
                        <w:rPr>
                          <w:noProof/>
                          <w:sz w:val="19"/>
                          <w:szCs w:val="19"/>
                        </w:rPr>
                      </w:pPr>
                      <w:r>
                        <w:rPr>
                          <w:noProof/>
                          <w:sz w:val="19"/>
                          <w:szCs w:val="19"/>
                        </w:rPr>
                        <w:t>T</w:t>
                      </w:r>
                      <w:r w:rsidRPr="009D718D">
                        <w:rPr>
                          <w:noProof/>
                          <w:sz w:val="19"/>
                          <w:szCs w:val="19"/>
                        </w:rPr>
                        <w:t>he Municipal Infrastructure Grant and the Urban Settlements Development Grant are the two largest components of the national government transfers to the municipalities. Another infrastructure grant program that addresses infrastructure relevant for this project is the Integrated National Electrification Programme Grant for municipalities. This program is funded with ZAR 5.</w:t>
                      </w:r>
                      <w:r>
                        <w:rPr>
                          <w:noProof/>
                          <w:sz w:val="19"/>
                          <w:szCs w:val="19"/>
                        </w:rPr>
                        <w:t>9 billion</w:t>
                      </w:r>
                      <w:r w:rsidRPr="009D718D">
                        <w:rPr>
                          <w:noProof/>
                          <w:sz w:val="19"/>
                          <w:szCs w:val="19"/>
                        </w:rPr>
                        <w:t xml:space="preserve"> to address the electrification backlog of households and the installation of relevant bulk infrastructure. Of this total budget the municipalities receive ZAR 2</w:t>
                      </w:r>
                      <w:r>
                        <w:rPr>
                          <w:noProof/>
                          <w:sz w:val="19"/>
                          <w:szCs w:val="19"/>
                        </w:rPr>
                        <w:t>billion</w:t>
                      </w:r>
                    </w:p>
                    <w:p w:rsidR="00540FEA" w:rsidRDefault="00540FEA" w:rsidP="009D718D">
                      <w:pPr>
                        <w:ind w:left="5670" w:right="129"/>
                        <w:rPr>
                          <w:noProof/>
                          <w:sz w:val="19"/>
                          <w:szCs w:val="19"/>
                        </w:rPr>
                      </w:pPr>
                    </w:p>
                    <w:p w:rsidR="00540FEA" w:rsidRPr="009D718D" w:rsidRDefault="00540FEA" w:rsidP="009D718D">
                      <w:pPr>
                        <w:ind w:right="5090"/>
                        <w:rPr>
                          <w:noProof/>
                          <w:sz w:val="19"/>
                          <w:szCs w:val="19"/>
                        </w:rPr>
                      </w:pPr>
                    </w:p>
                  </w:txbxContent>
                </v:textbox>
                <w10:wrap type="topAndBottom" anchorx="page" anchory="margin"/>
              </v:shape>
            </w:pict>
          </mc:Fallback>
        </mc:AlternateContent>
      </w:r>
      <w:r>
        <w:rPr>
          <w:noProof/>
        </w:rPr>
        <w:drawing>
          <wp:anchor distT="0" distB="0" distL="114300" distR="114300" simplePos="0" relativeHeight="251634688" behindDoc="0" locked="0" layoutInCell="1" allowOverlap="1">
            <wp:simplePos x="0" y="0"/>
            <wp:positionH relativeFrom="margin">
              <wp:posOffset>-76200</wp:posOffset>
            </wp:positionH>
            <wp:positionV relativeFrom="page">
              <wp:posOffset>5676900</wp:posOffset>
            </wp:positionV>
            <wp:extent cx="3505200" cy="2995295"/>
            <wp:effectExtent l="0" t="0" r="0" b="0"/>
            <wp:wrapSquare wrapText="bothSides"/>
            <wp:docPr id="244"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505200" cy="299529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35712" behindDoc="0" locked="0" layoutInCell="1" allowOverlap="1">
            <wp:simplePos x="0" y="0"/>
            <wp:positionH relativeFrom="page">
              <wp:posOffset>647700</wp:posOffset>
            </wp:positionH>
            <wp:positionV relativeFrom="page">
              <wp:posOffset>1228725</wp:posOffset>
            </wp:positionV>
            <wp:extent cx="3238500" cy="3105150"/>
            <wp:effectExtent l="0" t="0" r="0" b="0"/>
            <wp:wrapSquare wrapText="bothSides"/>
            <wp:docPr id="243"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238500" cy="31051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33664" behindDoc="0" locked="0" layoutInCell="1" allowOverlap="1">
            <wp:simplePos x="0" y="0"/>
            <wp:positionH relativeFrom="margin">
              <wp:posOffset>3427095</wp:posOffset>
            </wp:positionH>
            <wp:positionV relativeFrom="margin">
              <wp:posOffset>1914525</wp:posOffset>
            </wp:positionV>
            <wp:extent cx="2855595" cy="2819400"/>
            <wp:effectExtent l="0" t="0" r="0" b="0"/>
            <wp:wrapSquare wrapText="bothSides"/>
            <wp:docPr id="24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2855595" cy="2819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112A1" w:rsidRPr="0057545E">
        <w:rPr>
          <w:lang w:val="en-GB" w:eastAsia="en-GB"/>
        </w:rPr>
        <w:br w:type="page"/>
      </w:r>
    </w:p>
    <w:p w:rsidR="00A672FA" w:rsidRPr="00F737AD" w:rsidRDefault="00A672FA" w:rsidP="00A672FA">
      <w:pPr>
        <w:spacing w:after="0"/>
        <w:rPr>
          <w:rFonts w:cs="Calibri"/>
          <w:szCs w:val="20"/>
          <w:lang w:val="en-GB" w:eastAsia="en-GB"/>
        </w:rPr>
      </w:pPr>
      <w:r w:rsidRPr="00F737AD">
        <w:rPr>
          <w:rFonts w:cs="Calibri"/>
          <w:szCs w:val="20"/>
          <w:lang w:val="en-GB" w:eastAsia="en-GB"/>
        </w:rPr>
        <w:lastRenderedPageBreak/>
        <w:t xml:space="preserve">Measures contemplated in NEES regarding the public and residential sector include: a) awareness raising of government employees (at national and sub-national level) and awareness raising of the public at large, b) tightening of building energy performance standards, c) mandatory display of energy performance certificates in government-owned buildings, green procurement (incorporating life-cycle considerations), d) broadening the scope of mandatory labelling and MEPS (see </w:t>
      </w:r>
      <w:r w:rsidRPr="00F737AD">
        <w:rPr>
          <w:rFonts w:cs="Calibri"/>
          <w:szCs w:val="20"/>
          <w:lang w:val="en-GB" w:eastAsia="en-GB"/>
        </w:rPr>
        <w:fldChar w:fldCharType="begin"/>
      </w:r>
      <w:r w:rsidRPr="00F737AD">
        <w:rPr>
          <w:rFonts w:cs="Calibri"/>
          <w:szCs w:val="20"/>
          <w:lang w:val="en-GB" w:eastAsia="en-GB"/>
        </w:rPr>
        <w:instrText xml:space="preserve"> REF _Ref496016749 \h </w:instrText>
      </w:r>
      <w:r w:rsidRPr="00F737AD">
        <w:rPr>
          <w:rFonts w:cs="Calibri"/>
          <w:szCs w:val="20"/>
          <w:lang w:val="en-GB" w:eastAsia="en-GB"/>
        </w:rPr>
      </w:r>
      <w:r w:rsidRPr="00F737AD">
        <w:rPr>
          <w:rFonts w:cs="Calibri"/>
          <w:szCs w:val="20"/>
          <w:lang w:val="en-GB" w:eastAsia="en-GB"/>
        </w:rPr>
        <w:fldChar w:fldCharType="separate"/>
      </w:r>
      <w:r w:rsidR="008D0E78" w:rsidRPr="006A68A3">
        <w:rPr>
          <w:rFonts w:ascii="Arial" w:hAnsi="Arial" w:cs="Arial"/>
          <w:color w:val="2E74B5"/>
          <w:sz w:val="18"/>
          <w:lang w:val="en-GB"/>
        </w:rPr>
        <w:t xml:space="preserve">Box </w:t>
      </w:r>
      <w:r w:rsidR="008D0E78" w:rsidRPr="006A68A3">
        <w:rPr>
          <w:rFonts w:ascii="Arial" w:hAnsi="Arial" w:cs="Arial"/>
          <w:noProof/>
          <w:color w:val="2E74B5"/>
          <w:sz w:val="18"/>
          <w:lang w:val="en-GB"/>
        </w:rPr>
        <w:t>21</w:t>
      </w:r>
      <w:r w:rsidRPr="00F737AD">
        <w:rPr>
          <w:rFonts w:cs="Calibri"/>
          <w:szCs w:val="20"/>
          <w:lang w:val="en-GB" w:eastAsia="en-GB"/>
        </w:rPr>
        <w:fldChar w:fldCharType="end"/>
      </w:r>
      <w:r w:rsidRPr="00F737AD">
        <w:rPr>
          <w:rFonts w:cs="Calibri"/>
          <w:szCs w:val="20"/>
          <w:lang w:val="en-GB" w:eastAsia="en-GB"/>
        </w:rPr>
        <w:t xml:space="preserve">) , as well as introduction of endorsement labels alongside the existing comparison type of energy labelling. </w:t>
      </w:r>
    </w:p>
    <w:p w:rsidR="00A672FA" w:rsidRPr="00F737AD" w:rsidRDefault="00A672FA" w:rsidP="007F0998">
      <w:pPr>
        <w:spacing w:after="0"/>
        <w:rPr>
          <w:rFonts w:cs="Calibri"/>
          <w:szCs w:val="20"/>
          <w:lang w:val="en-GB" w:eastAsia="en-GB"/>
        </w:rPr>
      </w:pPr>
    </w:p>
    <w:p w:rsidR="007F0998" w:rsidRPr="00F737AD" w:rsidRDefault="007F0998" w:rsidP="007F0998">
      <w:pPr>
        <w:spacing w:after="0"/>
        <w:rPr>
          <w:rFonts w:cs="Calibri"/>
          <w:szCs w:val="20"/>
          <w:lang w:val="en-GB" w:eastAsia="en-GB"/>
        </w:rPr>
      </w:pPr>
      <w:r w:rsidRPr="00F737AD">
        <w:rPr>
          <w:rFonts w:cs="Calibri"/>
          <w:szCs w:val="20"/>
          <w:lang w:val="en-GB" w:eastAsia="en-GB"/>
        </w:rPr>
        <w:t xml:space="preserve">Municipalities will be required to submit energy efficiency strategies, which will be informed by a comprehensive energy audit of their services and </w:t>
      </w:r>
      <w:proofErr w:type="gramStart"/>
      <w:r w:rsidRPr="00F737AD">
        <w:rPr>
          <w:rFonts w:cs="Calibri"/>
          <w:szCs w:val="20"/>
          <w:lang w:val="en-GB" w:eastAsia="en-GB"/>
        </w:rPr>
        <w:t>activities, and</w:t>
      </w:r>
      <w:proofErr w:type="gramEnd"/>
      <w:r w:rsidRPr="00F737AD">
        <w:rPr>
          <w:rFonts w:cs="Calibri"/>
          <w:szCs w:val="20"/>
          <w:lang w:val="en-GB" w:eastAsia="en-GB"/>
        </w:rPr>
        <w:t xml:space="preserve"> aligned with the provincial strategies. </w:t>
      </w:r>
      <w:proofErr w:type="gramStart"/>
      <w:r w:rsidRPr="00F737AD">
        <w:rPr>
          <w:rFonts w:cs="Calibri"/>
          <w:szCs w:val="20"/>
          <w:lang w:val="en-GB" w:eastAsia="en-GB"/>
        </w:rPr>
        <w:t>On the basis of</w:t>
      </w:r>
      <w:proofErr w:type="gramEnd"/>
      <w:r w:rsidRPr="00F737AD">
        <w:rPr>
          <w:rFonts w:cs="Calibri"/>
          <w:szCs w:val="20"/>
          <w:lang w:val="en-GB" w:eastAsia="en-GB"/>
        </w:rPr>
        <w:t xml:space="preserve"> the energy audit and municipal strategy, the DoE will assist municipalities in developing energy management plans, associated business plans and financing proposals to source financing for the measures that are </w:t>
      </w:r>
      <w:r w:rsidRPr="00F737AD">
        <w:rPr>
          <w:rFonts w:cs="Calibri"/>
          <w:noProof/>
          <w:szCs w:val="20"/>
          <w:lang w:val="en-GB" w:eastAsia="en-GB"/>
        </w:rPr>
        <w:t>prioritised</w:t>
      </w:r>
      <w:r w:rsidRPr="00F737AD">
        <w:rPr>
          <w:rFonts w:cs="Calibri"/>
          <w:szCs w:val="20"/>
          <w:lang w:val="en-GB" w:eastAsia="en-GB"/>
        </w:rPr>
        <w:t>. However, many municipalities have up to now identified isolated measures and do not have adequate data to understand their energy use profile. Alternative financing mechanisms could be exploited, such as energy performance contracts with private sector ESCOs, reducing the investment burden on the government and the municipality (discussed further in Annex E.4).</w:t>
      </w:r>
    </w:p>
    <w:p w:rsidR="007F0998" w:rsidRPr="00F737AD" w:rsidRDefault="007F0998" w:rsidP="007F0998">
      <w:pPr>
        <w:spacing w:after="0"/>
        <w:rPr>
          <w:rFonts w:cs="Calibri"/>
          <w:szCs w:val="20"/>
          <w:lang w:val="en-GB" w:eastAsia="en-GB"/>
        </w:rPr>
      </w:pPr>
    </w:p>
    <w:p w:rsidR="007F0998" w:rsidRPr="00F737AD" w:rsidRDefault="007F0998" w:rsidP="007F0998">
      <w:pPr>
        <w:spacing w:after="0"/>
        <w:rPr>
          <w:rFonts w:cs="Calibri"/>
          <w:szCs w:val="20"/>
          <w:lang w:val="en-GB" w:eastAsia="en-GB"/>
        </w:rPr>
      </w:pPr>
      <w:r w:rsidRPr="00F737AD">
        <w:rPr>
          <w:rFonts w:cs="Calibri"/>
          <w:szCs w:val="20"/>
          <w:lang w:val="en-GB" w:eastAsia="en-GB"/>
        </w:rPr>
        <w:t xml:space="preserve">Considerable reductions in coal usage (22.9%), CO2 emissions (15.5%) and overall electricity usage (15.7%) can be achieved by the year 2030 within the electricity (utilities) sector, if the savings scenario that constitutes a greater share of renewable technologies, employing advanced coal technologies (high-efficiency boilers, integrated gasification combined cycle). It is 22,351 GWh were lost in 2013 in distribution and transmission. Some municipalities report losses of 30-40%. Some are non-technical losses (illegal connection, tampering with meters, etc.), </w:t>
      </w:r>
      <w:r w:rsidRPr="00F737AD">
        <w:rPr>
          <w:rFonts w:cs="Calibri"/>
          <w:noProof/>
          <w:szCs w:val="20"/>
          <w:lang w:val="en-GB" w:eastAsia="en-GB"/>
        </w:rPr>
        <w:t>other</w:t>
      </w:r>
      <w:r w:rsidRPr="00F737AD">
        <w:rPr>
          <w:rFonts w:cs="Calibri"/>
          <w:szCs w:val="20"/>
          <w:lang w:val="en-GB" w:eastAsia="en-GB"/>
        </w:rPr>
        <w:t xml:space="preserve"> are technical (losses in transmission; use of old transformers).</w:t>
      </w:r>
    </w:p>
    <w:p w:rsidR="002D2AAF" w:rsidRPr="00666B27" w:rsidRDefault="002D2AAF" w:rsidP="00297A17">
      <w:pPr>
        <w:spacing w:after="0"/>
        <w:rPr>
          <w:lang w:val="en-GB" w:eastAsia="en-GB"/>
        </w:rPr>
      </w:pPr>
    </w:p>
    <w:p w:rsidR="007F0998" w:rsidRPr="00666B27" w:rsidRDefault="007F0998" w:rsidP="00297A17">
      <w:pPr>
        <w:spacing w:after="0"/>
        <w:rPr>
          <w:lang w:val="en-GB" w:eastAsia="en-GB"/>
        </w:rPr>
      </w:pPr>
    </w:p>
    <w:p w:rsidR="00297A17" w:rsidRPr="00666B27" w:rsidRDefault="00297A17" w:rsidP="00EF7EFA">
      <w:pPr>
        <w:pStyle w:val="HeadingA2"/>
      </w:pPr>
      <w:bookmarkStart w:id="230" w:name="_Toc496963797"/>
      <w:bookmarkStart w:id="231" w:name="_Toc496966647"/>
      <w:bookmarkStart w:id="232" w:name="_Toc496966941"/>
      <w:bookmarkStart w:id="233" w:name="_Toc497856151"/>
      <w:bookmarkStart w:id="234" w:name="_Toc340784"/>
      <w:r w:rsidRPr="00666B27">
        <w:t>The market for LED lighting in South Africa</w:t>
      </w:r>
      <w:bookmarkEnd w:id="230"/>
      <w:bookmarkEnd w:id="231"/>
      <w:bookmarkEnd w:id="232"/>
      <w:bookmarkEnd w:id="233"/>
      <w:bookmarkEnd w:id="234"/>
    </w:p>
    <w:p w:rsidR="00297A17" w:rsidRPr="00666B27" w:rsidRDefault="00297A17"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Lighting demand and supply</w:t>
      </w:r>
    </w:p>
    <w:p w:rsidR="00297A17" w:rsidRPr="0057545E" w:rsidRDefault="003A2690" w:rsidP="00297A17">
      <w:pPr>
        <w:spacing w:after="0"/>
        <w:rPr>
          <w:lang w:val="en-GB" w:eastAsia="en-GB"/>
        </w:rPr>
      </w:pPr>
      <w:r>
        <w:rPr>
          <w:noProof/>
        </w:rPr>
        <mc:AlternateContent>
          <mc:Choice Requires="wps">
            <w:drawing>
              <wp:anchor distT="45720" distB="45720" distL="144145" distR="144145" simplePos="0" relativeHeight="251624448" behindDoc="1" locked="0" layoutInCell="1" allowOverlap="1">
                <wp:simplePos x="0" y="0"/>
                <wp:positionH relativeFrom="margin">
                  <wp:posOffset>1993265</wp:posOffset>
                </wp:positionH>
                <wp:positionV relativeFrom="page">
                  <wp:posOffset>4819015</wp:posOffset>
                </wp:positionV>
                <wp:extent cx="4641850" cy="2611120"/>
                <wp:effectExtent l="0" t="0" r="0" b="0"/>
                <wp:wrapTight wrapText="bothSides">
                  <wp:wrapPolygon edited="0">
                    <wp:start x="0" y="0"/>
                    <wp:lineTo x="0" y="21432"/>
                    <wp:lineTo x="21541" y="21432"/>
                    <wp:lineTo x="21541" y="0"/>
                    <wp:lineTo x="0" y="0"/>
                  </wp:wrapPolygon>
                </wp:wrapTight>
                <wp:docPr id="240" name="Text Box 1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41850" cy="2611120"/>
                        </a:xfrm>
                        <a:prstGeom prst="rect">
                          <a:avLst/>
                        </a:prstGeom>
                        <a:solidFill>
                          <a:srgbClr val="ED7D31">
                            <a:lumMod val="20000"/>
                            <a:lumOff val="80000"/>
                          </a:srgbClr>
                        </a:solidFill>
                        <a:ln>
                          <a:noFill/>
                        </a:ln>
                      </wps:spPr>
                      <wps:txbx>
                        <w:txbxContent>
                          <w:p w:rsidR="00540FEA" w:rsidRDefault="00540FEA" w:rsidP="00297A17">
                            <w:pPr>
                              <w:pStyle w:val="Caption"/>
                              <w:ind w:left="709" w:hanging="709"/>
                              <w:rPr>
                                <w:rFonts w:ascii="Arial" w:hAnsi="Arial" w:cs="Arial"/>
                                <w:color w:val="2E74B5"/>
                                <w:sz w:val="18"/>
                              </w:rPr>
                            </w:pPr>
                            <w:bookmarkStart w:id="235" w:name="_Ref497917568"/>
                            <w:bookmarkStart w:id="236" w:name="_Toc496967023"/>
                            <w:bookmarkStart w:id="237" w:name="_Ref535662424"/>
                            <w:bookmarkStart w:id="238" w:name="_Toc17984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35"/>
                            <w:r>
                              <w:rPr>
                                <w:rFonts w:ascii="Arial" w:hAnsi="Arial" w:cs="Arial"/>
                                <w:color w:val="2E74B5"/>
                                <w:sz w:val="18"/>
                              </w:rPr>
                              <w:tab/>
                              <w:t>Annual lamp sales in South Africa in 2016 (DoE study on residential lighting)</w:t>
                            </w:r>
                            <w:bookmarkEnd w:id="236"/>
                            <w:bookmarkEnd w:id="237"/>
                            <w:bookmarkEnd w:id="238"/>
                          </w:p>
                          <w:p w:rsidR="00540FEA" w:rsidRDefault="00540FEA"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gridCol w:w="1672"/>
                              <w:gridCol w:w="1449"/>
                              <w:gridCol w:w="1441"/>
                            </w:tblGrid>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p>
                              </w:tc>
                              <w:tc>
                                <w:tcPr>
                                  <w:tcW w:w="1701" w:type="dxa"/>
                                  <w:shd w:val="clear" w:color="auto" w:fill="auto"/>
                                </w:tcPr>
                                <w:p w:rsidR="00540FEA" w:rsidRPr="009B69D7" w:rsidRDefault="00540FEA" w:rsidP="009B69D7">
                                  <w:pPr>
                                    <w:spacing w:after="0"/>
                                    <w:rPr>
                                      <w:rFonts w:ascii="Arial Narrow" w:hAnsi="Arial Narrow"/>
                                      <w:sz w:val="18"/>
                                      <w:szCs w:val="18"/>
                                      <w:vertAlign w:val="superscript"/>
                                    </w:rPr>
                                  </w:pPr>
                                  <w:r w:rsidRPr="009B69D7">
                                    <w:rPr>
                                      <w:rFonts w:ascii="Arial Narrow" w:hAnsi="Arial Narrow"/>
                                      <w:sz w:val="18"/>
                                      <w:szCs w:val="18"/>
                                    </w:rPr>
                                    <w:t>Imports/sales in 2016</w:t>
                                  </w:r>
                                  <w:r w:rsidRPr="009B69D7">
                                    <w:rPr>
                                      <w:rFonts w:ascii="Arial Narrow" w:hAnsi="Arial Narrow"/>
                                      <w:sz w:val="18"/>
                                      <w:szCs w:val="18"/>
                                      <w:vertAlign w:val="superscript"/>
                                    </w:rPr>
                                    <w:t>*</w:t>
                                  </w:r>
                                </w:p>
                              </w:tc>
                              <w:tc>
                                <w:tcPr>
                                  <w:tcW w:w="1474" w:type="dxa"/>
                                </w:tcPr>
                                <w:p w:rsidR="00540FEA" w:rsidRDefault="00540FEA" w:rsidP="009B69D7">
                                  <w:pPr>
                                    <w:spacing w:after="0"/>
                                    <w:jc w:val="center"/>
                                    <w:rPr>
                                      <w:rFonts w:ascii="Arial Narrow" w:hAnsi="Arial Narrow"/>
                                      <w:sz w:val="18"/>
                                      <w:szCs w:val="18"/>
                                    </w:rPr>
                                  </w:pPr>
                                  <w:r>
                                    <w:rPr>
                                      <w:rFonts w:ascii="Arial Narrow" w:hAnsi="Arial Narrow"/>
                                      <w:sz w:val="18"/>
                                      <w:szCs w:val="18"/>
                                    </w:rPr>
                                    <w:t>Residential stock</w:t>
                                  </w:r>
                                </w:p>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(2016)</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Average price</w:t>
                                  </w:r>
                                </w:p>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(Rand)**</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Compact fluorescent lamps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5.6 million (53%)</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40,322,347</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31 (28-41)</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Fluorescents (linear)</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0.6 million (6%)</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Halogen lamps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2.3 million (22%)</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11,166,188</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25 (11-39)</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LEDs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1.4 million (13%)</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8,694,813</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45 (25-75)</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Pr>
                                      <w:rFonts w:ascii="Arial Narrow" w:hAnsi="Arial Narrow"/>
                                      <w:sz w:val="18"/>
                                      <w:szCs w:val="18"/>
                                    </w:rPr>
                                    <w:t>Incandescent</w:t>
                                  </w:r>
                                </w:p>
                              </w:tc>
                              <w:tc>
                                <w:tcPr>
                                  <w:tcW w:w="1701" w:type="dxa"/>
                                  <w:shd w:val="clear" w:color="auto" w:fill="auto"/>
                                </w:tcPr>
                                <w:p w:rsidR="00540FEA" w:rsidRPr="009B69D7" w:rsidRDefault="00540FEA" w:rsidP="009B69D7">
                                  <w:pPr>
                                    <w:spacing w:after="0"/>
                                    <w:rPr>
                                      <w:rFonts w:ascii="Arial Narrow" w:hAnsi="Arial Narrow"/>
                                      <w:sz w:val="18"/>
                                      <w:szCs w:val="18"/>
                                    </w:rPr>
                                  </w:pP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1,861,031</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9</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Pr>
                                      <w:rFonts w:ascii="Arial Narrow" w:hAnsi="Arial Narrow"/>
                                      <w:sz w:val="18"/>
                                      <w:szCs w:val="18"/>
                                    </w:rPr>
                                    <w:t>Other</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0.7 million (6%)</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rsidR="00540FEA" w:rsidRPr="009B69D7" w:rsidRDefault="00540FEA" w:rsidP="009C597D">
                                  <w:pPr>
                                    <w:spacing w:after="0"/>
                                    <w:rPr>
                                      <w:rFonts w:ascii="Arial Narrow" w:hAnsi="Arial Narrow"/>
                                      <w:sz w:val="18"/>
                                      <w:szCs w:val="18"/>
                                    </w:rPr>
                                  </w:pP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10.6 million</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62,034,380</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p>
                              </w:tc>
                            </w:tr>
                          </w:tbl>
                          <w:p w:rsidR="00540FEA" w:rsidRDefault="00540FEA" w:rsidP="00297A17">
                            <w:pPr>
                              <w:tabs>
                                <w:tab w:val="left" w:pos="284"/>
                              </w:tabs>
                              <w:spacing w:after="0"/>
                              <w:rPr>
                                <w:sz w:val="18"/>
                              </w:rPr>
                            </w:pPr>
                          </w:p>
                          <w:p w:rsidR="00540FEA" w:rsidRDefault="00540FEA" w:rsidP="00261EC6">
                            <w:pPr>
                              <w:tabs>
                                <w:tab w:val="left" w:pos="284"/>
                              </w:tabs>
                              <w:spacing w:after="0"/>
                              <w:ind w:left="284" w:hanging="284"/>
                              <w:rPr>
                                <w:sz w:val="18"/>
                              </w:rPr>
                            </w:pPr>
                            <w:r w:rsidRPr="007828C5">
                              <w:rPr>
                                <w:sz w:val="18"/>
                              </w:rPr>
                              <w:t>*</w:t>
                            </w:r>
                            <w:r>
                              <w:rPr>
                                <w:sz w:val="18"/>
                              </w:rPr>
                              <w:tab/>
                              <w:t>Period December 2015-November 2016, based on Customs and Excise data. In addition, Eskom brings about 2-3 million CFLs on the market as part of its EE-DSM programme</w:t>
                            </w:r>
                          </w:p>
                          <w:p w:rsidR="00540FEA" w:rsidRDefault="00540FEA" w:rsidP="00297A17">
                            <w:pPr>
                              <w:tabs>
                                <w:tab w:val="left" w:pos="284"/>
                              </w:tabs>
                              <w:spacing w:after="0"/>
                              <w:ind w:left="284" w:hanging="284"/>
                              <w:rPr>
                                <w:sz w:val="18"/>
                              </w:rPr>
                            </w:pPr>
                            <w:r>
                              <w:rPr>
                                <w:sz w:val="18"/>
                              </w:rPr>
                              <w:t>**</w:t>
                            </w:r>
                            <w:r>
                              <w:rPr>
                                <w:sz w:val="18"/>
                              </w:rPr>
                              <w:tab/>
                              <w:t>Based on survey in 17 retail outlets. Price of incandescent lamp: R 9 (note that sale of most incandescents has been banned since 2015, but are nonetheless sold in ‘informal’ outlets)</w:t>
                            </w:r>
                          </w:p>
                          <w:p w:rsidR="00540FEA" w:rsidRDefault="00540FEA" w:rsidP="00297A17">
                            <w:pPr>
                              <w:spacing w:after="0"/>
                              <w:rPr>
                                <w:noProof/>
                                <w:sz w:val="18"/>
                              </w:rPr>
                            </w:pPr>
                            <w:r w:rsidRPr="00A21E05">
                              <w:rPr>
                                <w:i/>
                                <w:noProof/>
                                <w:sz w:val="18"/>
                              </w:rPr>
                              <w:t>Source:</w:t>
                            </w:r>
                            <w:r>
                              <w:rPr>
                                <w:i/>
                                <w:noProof/>
                                <w:sz w:val="18"/>
                              </w:rPr>
                              <w:t xml:space="preserve"> </w:t>
                            </w:r>
                            <w:r>
                              <w:rPr>
                                <w:noProof/>
                                <w:sz w:val="18"/>
                              </w:rPr>
                              <w:t>DOE (2017)</w:t>
                            </w:r>
                          </w:p>
                          <w:p w:rsidR="00540FEA" w:rsidRDefault="00540FEA" w:rsidP="00297A17">
                            <w:pPr>
                              <w:spacing w:after="0"/>
                              <w:rPr>
                                <w:noProof/>
                                <w:sz w:val="18"/>
                              </w:rPr>
                            </w:pPr>
                          </w:p>
                          <w:p w:rsidR="00540FEA" w:rsidRDefault="00540FEA" w:rsidP="00297A17">
                            <w:pPr>
                              <w:spacing w:after="0"/>
                              <w:rPr>
                                <w:noProof/>
                                <w:sz w:val="18"/>
                              </w:rPr>
                            </w:pPr>
                          </w:p>
                          <w:p w:rsidR="00540FEA" w:rsidRPr="00E376AE" w:rsidRDefault="00540FEA"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0" o:spid="_x0000_s1038" type="#_x0000_t202" style="position:absolute;left:0;text-align:left;margin-left:156.95pt;margin-top:379.45pt;width:365.5pt;height:205.6pt;z-index:-251692032;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" fillcolor="#fbe5d6" stroked="f">
                <v:textbox>
                  <w:txbxContent>
                    <w:p w:rsidR="00540FEA" w:rsidRDefault="00540FEA" w:rsidP="00297A17">
                      <w:pPr>
                        <w:pStyle w:val="Caption"/>
                        <w:ind w:left="709" w:hanging="709"/>
                        <w:rPr>
                          <w:rFonts w:ascii="Arial" w:hAnsi="Arial" w:cs="Arial"/>
                          <w:color w:val="2E74B5"/>
                          <w:sz w:val="18"/>
                        </w:rPr>
                      </w:pPr>
                      <w:bookmarkStart w:id="239" w:name="_Ref497917568"/>
                      <w:bookmarkStart w:id="240" w:name="_Toc496967023"/>
                      <w:bookmarkStart w:id="241" w:name="_Ref535662424"/>
                      <w:bookmarkStart w:id="242" w:name="_Toc17984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23</w:t>
                      </w:r>
                      <w:r w:rsidRPr="00A21E05">
                        <w:rPr>
                          <w:rFonts w:ascii="Arial" w:hAnsi="Arial" w:cs="Arial"/>
                          <w:color w:val="2E74B5"/>
                          <w:sz w:val="18"/>
                        </w:rPr>
                        <w:fldChar w:fldCharType="end"/>
                      </w:r>
                      <w:bookmarkEnd w:id="239"/>
                      <w:r>
                        <w:rPr>
                          <w:rFonts w:ascii="Arial" w:hAnsi="Arial" w:cs="Arial"/>
                          <w:color w:val="2E74B5"/>
                          <w:sz w:val="18"/>
                        </w:rPr>
                        <w:tab/>
                        <w:t>Annual lamp sales in South Africa in 2016 (DoE study on residential lighting)</w:t>
                      </w:r>
                      <w:bookmarkEnd w:id="240"/>
                      <w:bookmarkEnd w:id="241"/>
                      <w:bookmarkEnd w:id="242"/>
                    </w:p>
                    <w:p w:rsidR="00540FEA" w:rsidRDefault="00540FEA"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0"/>
                        <w:gridCol w:w="1672"/>
                        <w:gridCol w:w="1449"/>
                        <w:gridCol w:w="1441"/>
                      </w:tblGrid>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p>
                        </w:tc>
                        <w:tc>
                          <w:tcPr>
                            <w:tcW w:w="1701" w:type="dxa"/>
                            <w:shd w:val="clear" w:color="auto" w:fill="auto"/>
                          </w:tcPr>
                          <w:p w:rsidR="00540FEA" w:rsidRPr="009B69D7" w:rsidRDefault="00540FEA" w:rsidP="009B69D7">
                            <w:pPr>
                              <w:spacing w:after="0"/>
                              <w:rPr>
                                <w:rFonts w:ascii="Arial Narrow" w:hAnsi="Arial Narrow"/>
                                <w:sz w:val="18"/>
                                <w:szCs w:val="18"/>
                                <w:vertAlign w:val="superscript"/>
                              </w:rPr>
                            </w:pPr>
                            <w:r w:rsidRPr="009B69D7">
                              <w:rPr>
                                <w:rFonts w:ascii="Arial Narrow" w:hAnsi="Arial Narrow"/>
                                <w:sz w:val="18"/>
                                <w:szCs w:val="18"/>
                              </w:rPr>
                              <w:t>Imports/sales in 2016</w:t>
                            </w:r>
                            <w:r w:rsidRPr="009B69D7">
                              <w:rPr>
                                <w:rFonts w:ascii="Arial Narrow" w:hAnsi="Arial Narrow"/>
                                <w:sz w:val="18"/>
                                <w:szCs w:val="18"/>
                                <w:vertAlign w:val="superscript"/>
                              </w:rPr>
                              <w:t>*</w:t>
                            </w:r>
                          </w:p>
                        </w:tc>
                        <w:tc>
                          <w:tcPr>
                            <w:tcW w:w="1474" w:type="dxa"/>
                          </w:tcPr>
                          <w:p w:rsidR="00540FEA" w:rsidRDefault="00540FEA" w:rsidP="009B69D7">
                            <w:pPr>
                              <w:spacing w:after="0"/>
                              <w:jc w:val="center"/>
                              <w:rPr>
                                <w:rFonts w:ascii="Arial Narrow" w:hAnsi="Arial Narrow"/>
                                <w:sz w:val="18"/>
                                <w:szCs w:val="18"/>
                              </w:rPr>
                            </w:pPr>
                            <w:r>
                              <w:rPr>
                                <w:rFonts w:ascii="Arial Narrow" w:hAnsi="Arial Narrow"/>
                                <w:sz w:val="18"/>
                                <w:szCs w:val="18"/>
                              </w:rPr>
                              <w:t>Residential stock</w:t>
                            </w:r>
                          </w:p>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(2016)</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Average price</w:t>
                            </w:r>
                          </w:p>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(Rand)**</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Compact fluorescent lamps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5.6 million (53%)</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40,322,347</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31 (28-41)</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Fluorescents (linear)</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0.6 million (6%)</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Halogen lamps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2.3 million (22%)</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11,166,188</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25 (11-39)</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LEDs</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1.4 million (13%)</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8,694,813</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sidRPr="009B69D7">
                              <w:rPr>
                                <w:rFonts w:ascii="Arial Narrow" w:hAnsi="Arial Narrow"/>
                                <w:sz w:val="18"/>
                                <w:szCs w:val="18"/>
                              </w:rPr>
                              <w:t>45 (25-75)</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Pr>
                                <w:rFonts w:ascii="Arial Narrow" w:hAnsi="Arial Narrow"/>
                                <w:sz w:val="18"/>
                                <w:szCs w:val="18"/>
                              </w:rPr>
                              <w:t>Incandescent</w:t>
                            </w:r>
                          </w:p>
                        </w:tc>
                        <w:tc>
                          <w:tcPr>
                            <w:tcW w:w="1701" w:type="dxa"/>
                            <w:shd w:val="clear" w:color="auto" w:fill="auto"/>
                          </w:tcPr>
                          <w:p w:rsidR="00540FEA" w:rsidRPr="009B69D7" w:rsidRDefault="00540FEA" w:rsidP="009B69D7">
                            <w:pPr>
                              <w:spacing w:after="0"/>
                              <w:rPr>
                                <w:rFonts w:ascii="Arial Narrow" w:hAnsi="Arial Narrow"/>
                                <w:sz w:val="18"/>
                                <w:szCs w:val="18"/>
                              </w:rPr>
                            </w:pP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1,861,031</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9</w:t>
                            </w: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r>
                              <w:rPr>
                                <w:rFonts w:ascii="Arial Narrow" w:hAnsi="Arial Narrow"/>
                                <w:sz w:val="18"/>
                                <w:szCs w:val="18"/>
                              </w:rPr>
                              <w:t>Other</w:t>
                            </w: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0.7 million (6%)</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w:t>
                            </w:r>
                          </w:p>
                        </w:tc>
                        <w:tc>
                          <w:tcPr>
                            <w:tcW w:w="1474" w:type="dxa"/>
                            <w:shd w:val="clear" w:color="auto" w:fill="auto"/>
                          </w:tcPr>
                          <w:p w:rsidR="00540FEA" w:rsidRPr="009B69D7" w:rsidRDefault="00540FEA" w:rsidP="009C597D">
                            <w:pPr>
                              <w:spacing w:after="0"/>
                              <w:rPr>
                                <w:rFonts w:ascii="Arial Narrow" w:hAnsi="Arial Narrow"/>
                                <w:sz w:val="18"/>
                                <w:szCs w:val="18"/>
                              </w:rPr>
                            </w:pPr>
                          </w:p>
                        </w:tc>
                      </w:tr>
                      <w:tr w:rsidR="00540FEA" w:rsidTr="00A6381E">
                        <w:tc>
                          <w:tcPr>
                            <w:tcW w:w="2518" w:type="dxa"/>
                            <w:shd w:val="clear" w:color="auto" w:fill="auto"/>
                          </w:tcPr>
                          <w:p w:rsidR="00540FEA" w:rsidRPr="009B69D7" w:rsidRDefault="00540FEA" w:rsidP="009B69D7">
                            <w:pPr>
                              <w:spacing w:after="0"/>
                              <w:rPr>
                                <w:rFonts w:ascii="Arial Narrow" w:hAnsi="Arial Narrow"/>
                                <w:sz w:val="18"/>
                                <w:szCs w:val="18"/>
                              </w:rPr>
                            </w:pPr>
                          </w:p>
                        </w:tc>
                        <w:tc>
                          <w:tcPr>
                            <w:tcW w:w="1701" w:type="dxa"/>
                            <w:shd w:val="clear" w:color="auto" w:fill="auto"/>
                          </w:tcPr>
                          <w:p w:rsidR="00540FEA" w:rsidRPr="009B69D7" w:rsidRDefault="00540FEA" w:rsidP="009B69D7">
                            <w:pPr>
                              <w:spacing w:after="0"/>
                              <w:rPr>
                                <w:rFonts w:ascii="Arial Narrow" w:hAnsi="Arial Narrow"/>
                                <w:sz w:val="18"/>
                                <w:szCs w:val="18"/>
                              </w:rPr>
                            </w:pPr>
                            <w:r w:rsidRPr="009B69D7">
                              <w:rPr>
                                <w:rFonts w:ascii="Arial Narrow" w:hAnsi="Arial Narrow"/>
                                <w:sz w:val="18"/>
                                <w:szCs w:val="18"/>
                              </w:rPr>
                              <w:t>10.6 million</w:t>
                            </w:r>
                          </w:p>
                        </w:tc>
                        <w:tc>
                          <w:tcPr>
                            <w:tcW w:w="1474" w:type="dxa"/>
                          </w:tcPr>
                          <w:p w:rsidR="00540FEA" w:rsidRPr="009B69D7" w:rsidRDefault="00540FEA" w:rsidP="009B69D7">
                            <w:pPr>
                              <w:spacing w:after="0"/>
                              <w:jc w:val="center"/>
                              <w:rPr>
                                <w:rFonts w:ascii="Arial Narrow" w:hAnsi="Arial Narrow"/>
                                <w:sz w:val="18"/>
                                <w:szCs w:val="18"/>
                              </w:rPr>
                            </w:pPr>
                            <w:r>
                              <w:rPr>
                                <w:rFonts w:ascii="Arial Narrow" w:hAnsi="Arial Narrow"/>
                                <w:sz w:val="18"/>
                                <w:szCs w:val="18"/>
                              </w:rPr>
                              <w:t>62,034,380</w:t>
                            </w:r>
                          </w:p>
                        </w:tc>
                        <w:tc>
                          <w:tcPr>
                            <w:tcW w:w="1474" w:type="dxa"/>
                            <w:shd w:val="clear" w:color="auto" w:fill="auto"/>
                          </w:tcPr>
                          <w:p w:rsidR="00540FEA" w:rsidRPr="009B69D7" w:rsidRDefault="00540FEA" w:rsidP="009B69D7">
                            <w:pPr>
                              <w:spacing w:after="0"/>
                              <w:jc w:val="center"/>
                              <w:rPr>
                                <w:rFonts w:ascii="Arial Narrow" w:hAnsi="Arial Narrow"/>
                                <w:sz w:val="18"/>
                                <w:szCs w:val="18"/>
                              </w:rPr>
                            </w:pPr>
                          </w:p>
                        </w:tc>
                      </w:tr>
                    </w:tbl>
                    <w:p w:rsidR="00540FEA" w:rsidRDefault="00540FEA" w:rsidP="00297A17">
                      <w:pPr>
                        <w:tabs>
                          <w:tab w:val="left" w:pos="284"/>
                        </w:tabs>
                        <w:spacing w:after="0"/>
                        <w:rPr>
                          <w:sz w:val="18"/>
                        </w:rPr>
                      </w:pPr>
                    </w:p>
                    <w:p w:rsidR="00540FEA" w:rsidRDefault="00540FEA" w:rsidP="00261EC6">
                      <w:pPr>
                        <w:tabs>
                          <w:tab w:val="left" w:pos="284"/>
                        </w:tabs>
                        <w:spacing w:after="0"/>
                        <w:ind w:left="284" w:hanging="284"/>
                        <w:rPr>
                          <w:sz w:val="18"/>
                        </w:rPr>
                      </w:pPr>
                      <w:r w:rsidRPr="007828C5">
                        <w:rPr>
                          <w:sz w:val="18"/>
                        </w:rPr>
                        <w:t>*</w:t>
                      </w:r>
                      <w:r>
                        <w:rPr>
                          <w:sz w:val="18"/>
                        </w:rPr>
                        <w:tab/>
                        <w:t>Period December 2015-November 2016, based on Customs and Excise data. In addition, Eskom brings about 2-3 million CFLs on the market as part of its EE-DSM programme</w:t>
                      </w:r>
                    </w:p>
                    <w:p w:rsidR="00540FEA" w:rsidRDefault="00540FEA" w:rsidP="00297A17">
                      <w:pPr>
                        <w:tabs>
                          <w:tab w:val="left" w:pos="284"/>
                        </w:tabs>
                        <w:spacing w:after="0"/>
                        <w:ind w:left="284" w:hanging="284"/>
                        <w:rPr>
                          <w:sz w:val="18"/>
                        </w:rPr>
                      </w:pPr>
                      <w:r>
                        <w:rPr>
                          <w:sz w:val="18"/>
                        </w:rPr>
                        <w:t>**</w:t>
                      </w:r>
                      <w:r>
                        <w:rPr>
                          <w:sz w:val="18"/>
                        </w:rPr>
                        <w:tab/>
                        <w:t>Based on survey in 17 retail outlets. Price of incandescent lamp: R 9 (note that sale of most incandescents has been banned since 2015, but are nonetheless sold in ‘informal’ outlets)</w:t>
                      </w:r>
                    </w:p>
                    <w:p w:rsidR="00540FEA" w:rsidRDefault="00540FEA" w:rsidP="00297A17">
                      <w:pPr>
                        <w:spacing w:after="0"/>
                        <w:rPr>
                          <w:noProof/>
                          <w:sz w:val="18"/>
                        </w:rPr>
                      </w:pPr>
                      <w:r w:rsidRPr="00A21E05">
                        <w:rPr>
                          <w:i/>
                          <w:noProof/>
                          <w:sz w:val="18"/>
                        </w:rPr>
                        <w:t>Source:</w:t>
                      </w:r>
                      <w:r>
                        <w:rPr>
                          <w:i/>
                          <w:noProof/>
                          <w:sz w:val="18"/>
                        </w:rPr>
                        <w:t xml:space="preserve"> </w:t>
                      </w:r>
                      <w:r>
                        <w:rPr>
                          <w:noProof/>
                          <w:sz w:val="18"/>
                        </w:rPr>
                        <w:t>DOE (2017)</w:t>
                      </w:r>
                    </w:p>
                    <w:p w:rsidR="00540FEA" w:rsidRDefault="00540FEA" w:rsidP="00297A17">
                      <w:pPr>
                        <w:spacing w:after="0"/>
                        <w:rPr>
                          <w:noProof/>
                          <w:sz w:val="18"/>
                        </w:rPr>
                      </w:pPr>
                    </w:p>
                    <w:p w:rsidR="00540FEA" w:rsidRDefault="00540FEA" w:rsidP="00297A17">
                      <w:pPr>
                        <w:spacing w:after="0"/>
                        <w:rPr>
                          <w:noProof/>
                          <w:sz w:val="18"/>
                        </w:rPr>
                      </w:pPr>
                    </w:p>
                    <w:p w:rsidR="00540FEA" w:rsidRPr="00E376AE" w:rsidRDefault="00540FEA" w:rsidP="00297A17">
                      <w:pPr>
                        <w:rPr>
                          <w:sz w:val="18"/>
                        </w:rPr>
                      </w:pPr>
                    </w:p>
                  </w:txbxContent>
                </v:textbox>
                <w10:wrap type="tight" anchorx="margin" anchory="page"/>
              </v:shape>
            </w:pict>
          </mc:Fallback>
        </mc:AlternateContent>
      </w:r>
    </w:p>
    <w:p w:rsidR="00297A17" w:rsidRPr="004722F0" w:rsidRDefault="00297A17" w:rsidP="00297A17">
      <w:pPr>
        <w:spacing w:after="0"/>
        <w:rPr>
          <w:lang w:val="en-GB" w:eastAsia="en-GB"/>
        </w:rPr>
      </w:pPr>
      <w:r w:rsidRPr="00353542">
        <w:rPr>
          <w:lang w:val="en-GB" w:eastAsia="en-GB"/>
        </w:rPr>
        <w:t>The lighting market in South Africa can be described as diverse with</w:t>
      </w:r>
      <w:r w:rsidRPr="003B7D62">
        <w:rPr>
          <w:lang w:val="en-GB" w:eastAsia="en-GB"/>
        </w:rPr>
        <w:t xml:space="preserve"> a mix of older technologies, such as incandescent, halogen, linear and circular fluorescent lamps, high-intensity lamps (HIDs), and newer technologies, such as compact fluorescent lamps (CFLs) and light-emitting diode lamps (LEDs), all prevalent.  </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There are a number of studies available that do take into account particular market segments, municipal lighting, and street lighting (for one or municipalities) or the residential sector, but, up to now, there is not one consolidated study for the nation as a whole, encompassing all the sectors (residential buildings, commercial and industrial buildings, outdoor lighting, street lighting) and all the types of lamps.</w:t>
      </w:r>
    </w:p>
    <w:p w:rsidR="00297A17" w:rsidRPr="00666B27" w:rsidRDefault="00297A17" w:rsidP="00297A17">
      <w:pPr>
        <w:spacing w:after="0"/>
        <w:rPr>
          <w:lang w:val="en-GB" w:eastAsia="en-GB"/>
        </w:rPr>
      </w:pPr>
    </w:p>
    <w:p w:rsidR="00EF7EFA" w:rsidRPr="00353542" w:rsidRDefault="00A672FA" w:rsidP="00297A17">
      <w:pPr>
        <w:spacing w:after="0"/>
        <w:rPr>
          <w:lang w:val="en-GB" w:eastAsia="en-GB"/>
        </w:rPr>
      </w:pPr>
      <w:r w:rsidRPr="00666B27">
        <w:rPr>
          <w:lang w:val="en-GB" w:eastAsia="en-GB"/>
        </w:rPr>
        <w:t xml:space="preserve">A recent Danish-supported </w:t>
      </w:r>
      <w:r w:rsidRPr="00666B27">
        <w:rPr>
          <w:i/>
          <w:lang w:val="en-GB" w:eastAsia="en-GB"/>
        </w:rPr>
        <w:t xml:space="preserve">Identify, Assess, and Design a Market-Based Economic Incentive(s) for Energy-Efficient Appliances in South Africa; Final Report </w:t>
      </w:r>
      <w:r w:rsidRPr="00666B27">
        <w:rPr>
          <w:lang w:val="en-GB" w:eastAsia="en-GB"/>
        </w:rPr>
        <w:t>(DOE, 2017)</w:t>
      </w:r>
      <w:r w:rsidRPr="0057545E">
        <w:rPr>
          <w:vertAlign w:val="superscript"/>
          <w:lang w:val="en-GB" w:eastAsia="en-GB"/>
        </w:rPr>
        <w:footnoteReference w:id="40"/>
      </w:r>
      <w:r w:rsidRPr="0057545E">
        <w:rPr>
          <w:lang w:val="en-GB" w:eastAsia="en-GB"/>
        </w:rPr>
        <w:t xml:space="preserve">  provides market details on stock and sales of LEDs and other lamps in the residential se</w:t>
      </w:r>
      <w:r w:rsidRPr="00353542">
        <w:rPr>
          <w:lang w:val="en-GB" w:eastAsia="en-GB"/>
        </w:rPr>
        <w:t xml:space="preserve">ctor (see </w:t>
      </w:r>
      <w:r w:rsidRPr="00353542">
        <w:rPr>
          <w:lang w:val="en-GB" w:eastAsia="en-GB"/>
        </w:rPr>
        <w:fldChar w:fldCharType="begin"/>
      </w:r>
      <w:r w:rsidRPr="00666B27">
        <w:rPr>
          <w:lang w:val="en-GB" w:eastAsia="en-GB"/>
        </w:rPr>
        <w:instrText xml:space="preserve"> REF _Ref497917568 \h </w:instrText>
      </w:r>
      <w:r w:rsidRPr="00353542">
        <w:rPr>
          <w:lang w:val="en-GB" w:eastAsia="en-GB"/>
        </w:rPr>
      </w:r>
      <w:r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23</w:t>
      </w:r>
      <w:r w:rsidRPr="00353542">
        <w:rPr>
          <w:lang w:val="en-GB" w:eastAsia="en-GB"/>
        </w:rPr>
        <w:fldChar w:fldCharType="end"/>
      </w:r>
      <w:r w:rsidRPr="0057545E">
        <w:rPr>
          <w:lang w:val="en-GB" w:eastAsia="en-GB"/>
        </w:rPr>
        <w:t>).</w:t>
      </w:r>
    </w:p>
    <w:p w:rsidR="00042CE4" w:rsidRPr="0057545E" w:rsidRDefault="003A2690" w:rsidP="002D2AAF">
      <w:pPr>
        <w:spacing w:after="0"/>
        <w:rPr>
          <w:lang w:val="en-GB" w:eastAsia="en-GB"/>
        </w:rPr>
      </w:pPr>
      <w:r>
        <w:rPr>
          <w:noProof/>
        </w:rPr>
        <w:lastRenderedPageBreak/>
        <mc:AlternateContent>
          <mc:Choice Requires="wps">
            <w:drawing>
              <wp:anchor distT="45720" distB="45720" distL="114300" distR="114300" simplePos="0" relativeHeight="251619328" behindDoc="0" locked="0" layoutInCell="1" allowOverlap="1">
                <wp:simplePos x="0" y="0"/>
                <wp:positionH relativeFrom="page">
                  <wp:align>center</wp:align>
                </wp:positionH>
                <wp:positionV relativeFrom="page">
                  <wp:posOffset>640080</wp:posOffset>
                </wp:positionV>
                <wp:extent cx="7048500" cy="8171815"/>
                <wp:effectExtent l="0" t="0" r="0" b="0"/>
                <wp:wrapTopAndBottom/>
                <wp:docPr id="239" name="Text Box 1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0" cy="8171815"/>
                        </a:xfrm>
                        <a:prstGeom prst="rect">
                          <a:avLst/>
                        </a:prstGeom>
                        <a:solidFill>
                          <a:srgbClr val="ED7D31">
                            <a:lumMod val="20000"/>
                            <a:lumOff val="80000"/>
                          </a:srgbClr>
                        </a:solidFill>
                        <a:ln>
                          <a:noFill/>
                        </a:ln>
                      </wps:spPr>
                      <wps:txbx>
                        <w:txbxContent>
                          <w:p w:rsidR="00540FEA" w:rsidRDefault="00540FEA" w:rsidP="00297A17">
                            <w:pPr>
                              <w:pStyle w:val="Caption"/>
                              <w:rPr>
                                <w:rFonts w:ascii="Arial" w:hAnsi="Arial" w:cs="Arial"/>
                                <w:color w:val="2E74B5"/>
                                <w:sz w:val="18"/>
                              </w:rPr>
                            </w:pPr>
                            <w:bookmarkStart w:id="243" w:name="_Ref495417628"/>
                            <w:bookmarkStart w:id="244" w:name="_Toc496967024"/>
                            <w:bookmarkStart w:id="245" w:name="_Toc17984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43"/>
                            <w:r>
                              <w:rPr>
                                <w:rFonts w:ascii="Arial" w:hAnsi="Arial" w:cs="Arial"/>
                                <w:color w:val="2E74B5"/>
                                <w:sz w:val="18"/>
                              </w:rPr>
                              <w:tab/>
                              <w:t>Energy-efficient lighting</w:t>
                            </w:r>
                            <w:bookmarkEnd w:id="244"/>
                            <w:r>
                              <w:rPr>
                                <w:rFonts w:ascii="Arial" w:hAnsi="Arial" w:cs="Arial"/>
                                <w:color w:val="2E74B5"/>
                                <w:sz w:val="18"/>
                              </w:rPr>
                              <w:t>: an overview</w:t>
                            </w:r>
                            <w:bookmarkEnd w:id="245"/>
                          </w:p>
                          <w:p w:rsidR="00540FEA" w:rsidRDefault="00540FEA" w:rsidP="00297A17">
                            <w:pPr>
                              <w:rPr>
                                <w:noProof/>
                              </w:rPr>
                            </w:pPr>
                          </w:p>
                          <w:p w:rsidR="00540FEA" w:rsidRPr="00032E96" w:rsidRDefault="00540FEA" w:rsidP="00297A17">
                            <w:pPr>
                              <w:rPr>
                                <w:rFonts w:cs="Calibri"/>
                                <w:noProof/>
                                <w:sz w:val="19"/>
                                <w:szCs w:val="19"/>
                                <w:lang w:val="en-GB"/>
                              </w:rPr>
                            </w:pPr>
                            <w:r w:rsidRPr="00032E96">
                              <w:rPr>
                                <w:rFonts w:cs="Calibri"/>
                                <w:noProof/>
                                <w:sz w:val="19"/>
                                <w:szCs w:val="19"/>
                              </w:rPr>
                              <w:t>The following table gives an overview of various lighting technologie</w:t>
                            </w:r>
                            <w:r w:rsidRPr="00032E96">
                              <w:rPr>
                                <w:rFonts w:cs="Calibri"/>
                                <w:noProof/>
                                <w:sz w:val="19"/>
                                <w:szCs w:val="19"/>
                                <w:lang w:val="en-GB"/>
                              </w:rPr>
                              <w:t xml:space="preserve">s:    </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1134"/>
                              <w:gridCol w:w="1134"/>
                              <w:gridCol w:w="1417"/>
                              <w:gridCol w:w="1559"/>
                              <w:gridCol w:w="886"/>
                              <w:gridCol w:w="248"/>
                              <w:gridCol w:w="638"/>
                              <w:gridCol w:w="638"/>
                              <w:gridCol w:w="248"/>
                              <w:gridCol w:w="886"/>
                            </w:tblGrid>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p>
                              </w:tc>
                              <w:tc>
                                <w:tcPr>
                                  <w:tcW w:w="2268"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Incandescent-type</w:t>
                                  </w:r>
                                </w:p>
                              </w:tc>
                              <w:tc>
                                <w:tcPr>
                                  <w:tcW w:w="2551"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lighting</w:t>
                                  </w:r>
                                </w:p>
                              </w:tc>
                              <w:tc>
                                <w:tcPr>
                                  <w:tcW w:w="1559" w:type="dxa"/>
                                  <w:vMerge w:val="restart"/>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Light-emiting diode (LED)</w:t>
                                  </w:r>
                                </w:p>
                              </w:tc>
                              <w:tc>
                                <w:tcPr>
                                  <w:tcW w:w="3544" w:type="dxa"/>
                                  <w:gridSpan w:val="6"/>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High-intensity dischrage lamps (HID)</w:t>
                                  </w:r>
                                </w:p>
                              </w:tc>
                            </w:tr>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Halogen</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CFL</w:t>
                                  </w:r>
                                </w:p>
                              </w:tc>
                              <w:tc>
                                <w:tcPr>
                                  <w:tcW w:w="1417"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 tube (TL)</w:t>
                                  </w:r>
                                </w:p>
                              </w:tc>
                              <w:tc>
                                <w:tcPr>
                                  <w:tcW w:w="1559" w:type="dxa"/>
                                  <w:vMerge/>
                                  <w:shd w:val="clear" w:color="auto" w:fill="auto"/>
                                </w:tcPr>
                                <w:p w:rsidR="00540FEA" w:rsidRPr="00A6381E" w:rsidRDefault="00540FEA" w:rsidP="009B69D7">
                                  <w:pPr>
                                    <w:spacing w:after="0"/>
                                    <w:jc w:val="center"/>
                                    <w:rPr>
                                      <w:rFonts w:ascii="Arial Narrow" w:hAnsi="Arial Narrow" w:cs="Arial"/>
                                      <w:noProof/>
                                      <w:sz w:val="18"/>
                                      <w:szCs w:val="18"/>
                                      <w:lang w:val="en-GB"/>
                                    </w:rPr>
                                  </w:pP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Mercury vapour</w:t>
                                  </w:r>
                                </w:p>
                              </w:tc>
                              <w:tc>
                                <w:tcPr>
                                  <w:tcW w:w="1276"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High-pressure sodium (HPS)</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Metal halide</w:t>
                                  </w:r>
                                </w:p>
                              </w:tc>
                            </w:tr>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Luminous efficiency (lm/W)</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8-17</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11-25</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417"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80-110</w:t>
                                  </w:r>
                                </w:p>
                              </w:tc>
                              <w:tc>
                                <w:tcPr>
                                  <w:tcW w:w="1559"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45-55</w:t>
                                  </w:r>
                                </w:p>
                              </w:tc>
                              <w:tc>
                                <w:tcPr>
                                  <w:tcW w:w="1276"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105-125</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Lifetime (hrs)</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1000-1500</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2000-3000</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6000-15000</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w:t>
                                  </w:r>
                                  <w:r w:rsidRPr="00A6381E">
                                    <w:rPr>
                                      <w:rFonts w:ascii="Arial Narrow" w:hAnsi="Arial Narrow" w:cs="Arial"/>
                                      <w:noProof/>
                                      <w:sz w:val="18"/>
                                      <w:szCs w:val="18"/>
                                      <w:lang w:val="en-GB"/>
                                    </w:rPr>
                                    <w:t>000-30000</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20000-6</w:t>
                                  </w:r>
                                  <w:r w:rsidRPr="00A6381E">
                                    <w:rPr>
                                      <w:rFonts w:ascii="Arial Narrow" w:hAnsi="Arial Narrow" w:cs="Arial"/>
                                      <w:noProof/>
                                      <w:sz w:val="18"/>
                                      <w:szCs w:val="18"/>
                                      <w:lang w:val="en-GB"/>
                                    </w:rPr>
                                    <w:t>0000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20000</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15000-24000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10000-20000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CRI</w:t>
                                  </w:r>
                                  <w:r w:rsidRPr="00A6381E">
                                    <w:rPr>
                                      <w:rFonts w:ascii="Arial Narrow" w:hAnsi="Arial Narrow" w:cs="Arial"/>
                                      <w:noProof/>
                                      <w:sz w:val="18"/>
                                      <w:szCs w:val="18"/>
                                      <w:lang w:val="en-GB"/>
                                    </w:rPr>
                                    <w:t xml:space="preserve"> &amp; </w:t>
                                  </w:r>
                                  <w:r>
                                    <w:rPr>
                                      <w:rFonts w:ascii="Arial Narrow" w:hAnsi="Arial Narrow" w:cs="Arial"/>
                                      <w:noProof/>
                                      <w:sz w:val="18"/>
                                      <w:szCs w:val="18"/>
                                      <w:lang w:val="en-GB"/>
                                    </w:rPr>
                                    <w:t xml:space="preserve"> colour </w:t>
                                  </w:r>
                                  <w:r w:rsidRPr="00A6381E">
                                    <w:rPr>
                                      <w:rFonts w:ascii="Arial Narrow" w:hAnsi="Arial Narrow" w:cs="Arial"/>
                                      <w:noProof/>
                                      <w:sz w:val="18"/>
                                      <w:szCs w:val="18"/>
                                      <w:lang w:val="en-GB"/>
                                    </w:rPr>
                                    <w:t>temperature</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t>
                                  </w:r>
                                  <w:r>
                                    <w:rPr>
                                      <w:rFonts w:ascii="Arial Narrow" w:hAnsi="Arial Narrow" w:cs="Arial"/>
                                      <w:noProof/>
                                      <w:sz w:val="18"/>
                                      <w:szCs w:val="18"/>
                                      <w:lang w:val="en-GB"/>
                                    </w:rPr>
                                    <w:t>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2600-2800 K</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w:t>
                                  </w:r>
                                  <w:r>
                                    <w:rPr>
                                      <w:rFonts w:ascii="Arial Narrow" w:hAnsi="Arial Narrow" w:cs="Arial"/>
                                      <w:noProof/>
                                      <w:sz w:val="18"/>
                                      <w:szCs w:val="18"/>
                                      <w:lang w:val="en-GB"/>
                                    </w:rPr>
                                    <w:t xml:space="preserve"> </w:t>
                                  </w:r>
                                  <w:r w:rsidRPr="00915D59">
                                    <w:rPr>
                                      <w:rFonts w:ascii="Arial Narrow" w:hAnsi="Arial Narrow" w:cs="Arial"/>
                                      <w:noProof/>
                                      <w:sz w:val="18"/>
                                      <w:szCs w:val="18"/>
                                      <w:lang w:val="en-GB"/>
                                    </w:rPr>
                                    <w:t>(CRI)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xml:space="preserve">2800-3200 </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60-9</w:t>
                                  </w:r>
                                  <w:r>
                                    <w:rPr>
                                      <w:rFonts w:ascii="Arial Narrow" w:hAnsi="Arial Narrow" w:cs="Arial"/>
                                      <w:noProof/>
                                      <w:sz w:val="18"/>
                                      <w:szCs w:val="18"/>
                                      <w:lang w:val="en-GB"/>
                                    </w:rPr>
                                    <w:t>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r>
                                    <w:rPr>
                                      <w:rFonts w:ascii="Arial Narrow" w:hAnsi="Arial Narrow" w:cs="Arial"/>
                                      <w:noProof/>
                                      <w:sz w:val="18"/>
                                      <w:szCs w:val="18"/>
                                      <w:lang w:val="en-GB"/>
                                    </w:rPr>
                                    <w:t xml:space="preserve">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15-50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3900-5700 K</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2000-2100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65-85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2500-6500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Dimmable</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r>
                            <w:tr w:rsidR="00540FEA" w:rsidTr="00981515">
                              <w:trPr>
                                <w:trHeight w:val="2502"/>
                              </w:trPr>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Produce light by passing electrical current through tungsten metal wire suspended in an inert  tmosphere inside a glass bulb.</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lamps are an improvement over</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w:t>
                                  </w:r>
                                  <w:r w:rsidRPr="00A6381E">
                                    <w:rPr>
                                      <w:sz w:val="18"/>
                                    </w:rPr>
                                    <w:t xml:space="preserve"> </w:t>
                                  </w:r>
                                  <w:r w:rsidRPr="00A6381E">
                                    <w:rPr>
                                      <w:rFonts w:ascii="Arial Narrow" w:hAnsi="Arial Narrow" w:cs="Arial"/>
                                      <w:noProof/>
                                      <w:sz w:val="18"/>
                                      <w:szCs w:val="18"/>
                                      <w:lang w:val="en-GB"/>
                                    </w:rPr>
                                    <w:t>Contain</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 small quantity of</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that increases lamp life</w:t>
                                  </w:r>
                                </w:p>
                              </w:tc>
                              <w:tc>
                                <w:tcPr>
                                  <w:tcW w:w="2551" w:type="dxa"/>
                                  <w:gridSpan w:val="2"/>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The lamps incorporate an electronic ballast and phosphor-lined glass tube. An electrical arc is struck at the tube’s electrodes, causing the  mercury atoms to emit ultraviolet (UV) light, exciting the phosphor coating and emitting visible light. Tubular fluorescent lamps are typically classified by their diameter (most common are: T12 = 38mm, T8 = 25mm, T5 = 16mm). CFLs were developed </w:t>
                                  </w:r>
                                  <w:r>
                                    <w:rPr>
                                      <w:rFonts w:ascii="Arial Narrow" w:hAnsi="Arial Narrow" w:cs="Arial"/>
                                      <w:noProof/>
                                      <w:sz w:val="18"/>
                                      <w:szCs w:val="18"/>
                                      <w:lang w:val="en-GB"/>
                                    </w:rPr>
                                    <w:t xml:space="preserve">as retrofits for incandesents, </w:t>
                                  </w:r>
                                  <w:r w:rsidRPr="00A6381E">
                                    <w:rPr>
                                      <w:rFonts w:ascii="Arial Narrow" w:hAnsi="Arial Narrow" w:cs="Arial"/>
                                      <w:noProof/>
                                      <w:sz w:val="18"/>
                                      <w:szCs w:val="18"/>
                                      <w:lang w:val="en-GB"/>
                                    </w:rPr>
                                    <w:t xml:space="preserve">and are essentially a miniaturised version of a linear fluorescent lamp (TL). </w:t>
                                  </w:r>
                                  <w:r>
                                    <w:rPr>
                                      <w:rFonts w:ascii="Arial Narrow" w:hAnsi="Arial Narrow" w:cs="Arial"/>
                                      <w:noProof/>
                                      <w:sz w:val="18"/>
                                      <w:szCs w:val="18"/>
                                      <w:lang w:val="en-GB"/>
                                    </w:rPr>
                                    <w:t xml:space="preserve">All fluorescent lamps </w:t>
                                  </w:r>
                                  <w:r w:rsidRPr="00A6381E">
                                    <w:rPr>
                                      <w:rFonts w:ascii="Arial Narrow" w:hAnsi="Arial Narrow" w:cs="Arial"/>
                                      <w:noProof/>
                                      <w:sz w:val="18"/>
                                      <w:szCs w:val="18"/>
                                      <w:lang w:val="en-GB"/>
                                    </w:rPr>
                                    <w:t>contain mercury</w:t>
                                  </w:r>
                                  <w:r>
                                    <w:rPr>
                                      <w:rFonts w:ascii="Arial Narrow" w:hAnsi="Arial Narrow" w:cs="Arial"/>
                                      <w:noProof/>
                                      <w:sz w:val="18"/>
                                      <w:szCs w:val="18"/>
                                      <w:lang w:val="en-GB"/>
                                    </w:rPr>
                                    <w:t>.</w:t>
                                  </w:r>
                                </w:p>
                              </w:tc>
                              <w:tc>
                                <w:tcPr>
                                  <w:tcW w:w="1559"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A LED is a semiconductor light source, whose p–n junction diode that emits light when activated –(electro-luminiscence). Many LED products are available that can </w:t>
                                  </w:r>
                                  <w:r>
                                    <w:rPr>
                                      <w:rFonts w:ascii="Arial Narrow" w:hAnsi="Arial Narrow" w:cs="Arial"/>
                                      <w:noProof/>
                                      <w:sz w:val="18"/>
                                      <w:szCs w:val="18"/>
                                      <w:lang w:val="en-GB"/>
                                    </w:rPr>
                                    <w:t>r</w:t>
                                  </w:r>
                                  <w:r w:rsidRPr="00A6381E">
                                    <w:rPr>
                                      <w:rFonts w:ascii="Arial Narrow" w:hAnsi="Arial Narrow" w:cs="Arial"/>
                                      <w:noProof/>
                                      <w:sz w:val="18"/>
                                      <w:szCs w:val="18"/>
                                      <w:lang w:val="en-GB"/>
                                    </w:rPr>
                                    <w:t>eplace the previous lamp</w:t>
                                  </w:r>
                                  <w:r>
                                    <w:rPr>
                                      <w:rFonts w:ascii="Arial Narrow" w:hAnsi="Arial Narrow" w:cs="Arial"/>
                                      <w:noProof/>
                                      <w:sz w:val="18"/>
                                      <w:szCs w:val="18"/>
                                      <w:lang w:val="en-GB"/>
                                    </w:rPr>
                                    <w:t xml:space="preserve"> inclduing bulbs and tubular lamps</w:t>
                                  </w:r>
                                  <w:r w:rsidRPr="00A6381E">
                                    <w:rPr>
                                      <w:rFonts w:ascii="Arial Narrow" w:hAnsi="Arial Narrow" w:cs="Arial"/>
                                      <w:noProof/>
                                      <w:sz w:val="18"/>
                                      <w:szCs w:val="18"/>
                                      <w:lang w:val="en-GB"/>
                                    </w:rPr>
                                    <w:t>.</w:t>
                                  </w:r>
                                </w:p>
                                <w:p w:rsidR="00540FEA" w:rsidRPr="00A6381E" w:rsidRDefault="00540FEA" w:rsidP="00050A86">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There are also LED for</w:t>
                                  </w:r>
                                  <w:r>
                                    <w:rPr>
                                      <w:rFonts w:ascii="Arial Narrow" w:hAnsi="Arial Narrow" w:cs="Arial"/>
                                      <w:noProof/>
                                      <w:sz w:val="18"/>
                                      <w:szCs w:val="18"/>
                                      <w:lang w:val="en-GB"/>
                                    </w:rPr>
                                    <w:t xml:space="preserve"> </w:t>
                                  </w:r>
                                  <w:r w:rsidRPr="00A6381E">
                                    <w:rPr>
                                      <w:rFonts w:ascii="Arial Narrow" w:hAnsi="Arial Narrow" w:cs="Arial"/>
                                      <w:noProof/>
                                      <w:sz w:val="18"/>
                                      <w:szCs w:val="18"/>
                                      <w:lang w:val="en-GB"/>
                                    </w:rPr>
                                    <w:t>street lights and outdoor</w:t>
                                  </w:r>
                                  <w:r>
                                    <w:rPr>
                                      <w:rFonts w:ascii="Arial Narrow" w:hAnsi="Arial Narrow" w:cs="Arial"/>
                                      <w:noProof/>
                                      <w:sz w:val="18"/>
                                      <w:szCs w:val="18"/>
                                      <w:lang w:val="en-GB"/>
                                    </w:rPr>
                                    <w:t xml:space="preserve"> applications</w:t>
                                  </w:r>
                                </w:p>
                              </w:tc>
                              <w:tc>
                                <w:tcPr>
                                  <w:tcW w:w="3544" w:type="dxa"/>
                                  <w:gridSpan w:val="6"/>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High intensity discharge (HID) lighting produces light from an electrical arc contained within a capsule of gas (metal vapour) which is sealed inside a bulb. HID lights require a ballast to start and operate, which regulates the voltage.</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HID lighting is commonly found in outdoor lighting</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applications such as street lighting, area flood lighting and sports stadium lighting. HID lighting is also found in</w:t>
                                  </w:r>
                                  <w:r>
                                    <w:rPr>
                                      <w:rFonts w:ascii="Arial Narrow" w:hAnsi="Arial Narrow" w:cs="Arial"/>
                                      <w:noProof/>
                                      <w:sz w:val="18"/>
                                      <w:szCs w:val="18"/>
                                      <w:lang w:val="en-GB"/>
                                    </w:rPr>
                                    <w:t>-</w:t>
                                  </w:r>
                                  <w:r w:rsidRPr="00A6381E">
                                    <w:rPr>
                                      <w:rFonts w:ascii="Arial Narrow" w:hAnsi="Arial Narrow" w:cs="Arial"/>
                                      <w:noProof/>
                                      <w:sz w:val="18"/>
                                      <w:szCs w:val="18"/>
                                      <w:lang w:val="en-GB"/>
                                    </w:rPr>
                                    <w:t>door in places such as large retail outlets, warehouses and</w:t>
                                  </w:r>
                                  <w:r>
                                    <w:rPr>
                                      <w:rFonts w:ascii="Arial Narrow" w:hAnsi="Arial Narrow" w:cs="Arial"/>
                                      <w:noProof/>
                                      <w:sz w:val="18"/>
                                      <w:szCs w:val="18"/>
                                      <w:lang w:val="en-GB"/>
                                    </w:rPr>
                                    <w:t xml:space="preserve"> buildings of </w:t>
                                  </w:r>
                                  <w:r w:rsidRPr="00A6381E">
                                    <w:rPr>
                                      <w:rFonts w:ascii="Arial Narrow" w:hAnsi="Arial Narrow" w:cs="Arial"/>
                                      <w:noProof/>
                                      <w:sz w:val="18"/>
                                      <w:szCs w:val="18"/>
                                      <w:lang w:val="en-GB"/>
                                    </w:rPr>
                                    <w:t>manufacturing facilities.</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 xml:space="preserve">A ballast is a </w:t>
                                  </w:r>
                                  <w:r w:rsidRPr="00A6381E">
                                    <w:rPr>
                                      <w:rFonts w:ascii="Arial Narrow" w:hAnsi="Arial Narrow" w:cs="Arial"/>
                                      <w:noProof/>
                                      <w:sz w:val="18"/>
                                      <w:szCs w:val="18"/>
                                      <w:lang w:val="en-GB"/>
                                    </w:rPr>
                                    <w:t>piece of equipment designed to start and properly control the flow of power to discharge light sources such as fluorescent and high intensity discharge (HID) lamps</w:t>
                                  </w:r>
                                </w:p>
                              </w:tc>
                            </w:tr>
                            <w:tr w:rsidR="00540FEA" w:rsidTr="00DA48E8">
                              <w:trPr>
                                <w:trHeight w:val="349"/>
                              </w:trPr>
                              <w:tc>
                                <w:tcPr>
                                  <w:tcW w:w="1101" w:type="dxa"/>
                                  <w:vMerge w:val="restart"/>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 comparison</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40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28-29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41-43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70-72 W</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75%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9-11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13-16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23-27 W</w:t>
                                  </w:r>
                                </w:p>
                              </w:tc>
                              <w:tc>
                                <w:tcPr>
                                  <w:tcW w:w="1417"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fr-FR"/>
                                    </w:rPr>
                                  </w:pPr>
                                  <w:r w:rsidRPr="00A6381E">
                                    <w:rPr>
                                      <w:rFonts w:ascii="Arial Narrow" w:hAnsi="Arial Narrow" w:cs="Arial"/>
                                      <w:noProof/>
                                      <w:sz w:val="18"/>
                                      <w:szCs w:val="18"/>
                                      <w:lang w:val="fr-FR"/>
                                    </w:rPr>
                                    <w:t xml:space="preserve">40 W incandescent compares to </w:t>
                                  </w:r>
                                </w:p>
                                <w:p w:rsidR="00540FEA" w:rsidRPr="00A6381E" w:rsidRDefault="00540FEA" w:rsidP="003374DA">
                                  <w:pPr>
                                    <w:spacing w:after="0"/>
                                    <w:jc w:val="center"/>
                                    <w:rPr>
                                      <w:rFonts w:ascii="Arial Narrow" w:hAnsi="Arial Narrow" w:cs="Arial"/>
                                      <w:noProof/>
                                      <w:sz w:val="18"/>
                                      <w:szCs w:val="18"/>
                                      <w:lang w:val="fr-FR"/>
                                    </w:rPr>
                                  </w:pPr>
                                  <w:r>
                                    <w:rPr>
                                      <w:rFonts w:ascii="Arial Narrow" w:hAnsi="Arial Narrow" w:cs="Arial"/>
                                      <w:noProof/>
                                      <w:sz w:val="18"/>
                                      <w:szCs w:val="18"/>
                                      <w:lang w:val="fr-FR"/>
                                    </w:rPr>
                                    <w:t>40 (T12)-32 (T8)</w:t>
                                  </w:r>
                                </w:p>
                              </w:tc>
                              <w:tc>
                                <w:tcPr>
                                  <w:tcW w:w="1559"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5-8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10-13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20-26 W</w:t>
                                  </w:r>
                                </w:p>
                              </w:tc>
                              <w:tc>
                                <w:tcPr>
                                  <w:tcW w:w="3544" w:type="dxa"/>
                                  <w:gridSpan w:val="6"/>
                                  <w:shd w:val="clear" w:color="auto" w:fill="auto"/>
                                </w:tcPr>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Street lighting comparison:</w:t>
                                  </w:r>
                                </w:p>
                              </w:tc>
                            </w:tr>
                            <w:tr w:rsidR="00540FEA" w:rsidTr="003374DA">
                              <w:trPr>
                                <w:trHeight w:val="552"/>
                              </w:trPr>
                              <w:tc>
                                <w:tcPr>
                                  <w:tcW w:w="1101" w:type="dxa"/>
                                  <w:vMerge/>
                                  <w:shd w:val="clear" w:color="auto" w:fill="auto"/>
                                </w:tcPr>
                                <w:p w:rsidR="00540FEA" w:rsidRPr="00A6381E" w:rsidRDefault="00540FEA" w:rsidP="003374DA">
                                  <w:pPr>
                                    <w:spacing w:after="0"/>
                                    <w:jc w:val="left"/>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417" w:type="dxa"/>
                                  <w:vMerge/>
                                  <w:shd w:val="clear" w:color="auto" w:fill="auto"/>
                                </w:tcPr>
                                <w:p w:rsidR="00540FEA" w:rsidRPr="00A6381E" w:rsidRDefault="00540FEA" w:rsidP="003374DA">
                                  <w:pPr>
                                    <w:spacing w:after="0"/>
                                    <w:jc w:val="center"/>
                                    <w:rPr>
                                      <w:rFonts w:ascii="Arial Narrow" w:hAnsi="Arial Narrow" w:cs="Arial"/>
                                      <w:noProof/>
                                      <w:sz w:val="18"/>
                                      <w:szCs w:val="18"/>
                                      <w:lang w:val="fr-FR"/>
                                    </w:rPr>
                                  </w:pPr>
                                </w:p>
                              </w:tc>
                              <w:tc>
                                <w:tcPr>
                                  <w:tcW w:w="1559"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886" w:type="dxa"/>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MV</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240 W</w:t>
                                  </w:r>
                                </w:p>
                              </w:tc>
                              <w:tc>
                                <w:tcPr>
                                  <w:tcW w:w="886" w:type="dxa"/>
                                  <w:gridSpan w:val="2"/>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HPS</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160 W</w:t>
                                  </w:r>
                                </w:p>
                                <w:p w:rsidR="00540FEA" w:rsidRDefault="00540FEA" w:rsidP="003374DA">
                                  <w:pPr>
                                    <w:spacing w:after="0"/>
                                    <w:jc w:val="center"/>
                                    <w:rPr>
                                      <w:rFonts w:ascii="Arial Narrow" w:hAnsi="Arial Narrow" w:cs="Arial"/>
                                      <w:noProof/>
                                      <w:sz w:val="18"/>
                                      <w:szCs w:val="18"/>
                                      <w:lang w:val="en-GB"/>
                                    </w:rPr>
                                  </w:pPr>
                                </w:p>
                              </w:tc>
                              <w:tc>
                                <w:tcPr>
                                  <w:tcW w:w="886" w:type="dxa"/>
                                  <w:gridSpan w:val="2"/>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MH</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180 W</w:t>
                                  </w:r>
                                </w:p>
                                <w:p w:rsidR="00540FEA" w:rsidRDefault="00540FEA" w:rsidP="003374DA">
                                  <w:pPr>
                                    <w:spacing w:after="0"/>
                                    <w:jc w:val="center"/>
                                    <w:rPr>
                                      <w:rFonts w:ascii="Arial Narrow" w:hAnsi="Arial Narrow" w:cs="Arial"/>
                                      <w:noProof/>
                                      <w:sz w:val="18"/>
                                      <w:szCs w:val="18"/>
                                      <w:lang w:val="en-GB"/>
                                    </w:rPr>
                                  </w:pPr>
                                </w:p>
                              </w:tc>
                              <w:tc>
                                <w:tcPr>
                                  <w:tcW w:w="886" w:type="dxa"/>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LED</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80 W</w:t>
                                  </w:r>
                                </w:p>
                              </w:tc>
                            </w:tr>
                          </w:tbl>
                          <w:p w:rsidR="00540FEA" w:rsidRPr="00307D82" w:rsidRDefault="00540FEA" w:rsidP="00297A17">
                            <w:pPr>
                              <w:spacing w:before="60"/>
                              <w:rPr>
                                <w:noProof/>
                                <w:sz w:val="19"/>
                                <w:szCs w:val="19"/>
                              </w:rPr>
                            </w:pPr>
                            <w:r w:rsidRPr="00307D82">
                              <w:rPr>
                                <w:noProof/>
                                <w:sz w:val="19"/>
                                <w:szCs w:val="19"/>
                                <w:lang w:val="en-GB"/>
                              </w:rPr>
                              <w:t>Compact fluorescent lamps were developed in 1970s as a replacement for the less efficient incandescent lamps and could fit in the same volume and the same</w:t>
                            </w:r>
                            <w:r>
                              <w:rPr>
                                <w:noProof/>
                                <w:sz w:val="19"/>
                                <w:szCs w:val="19"/>
                                <w:lang w:val="en-GB"/>
                              </w:rPr>
                              <w:t xml:space="preserve"> fitting</w:t>
                            </w:r>
                            <w:r w:rsidRPr="00307D82">
                              <w:rPr>
                                <w:noProof/>
                                <w:sz w:val="19"/>
                                <w:szCs w:val="19"/>
                                <w:lang w:val="en-GB"/>
                              </w:rPr>
                              <w:t>.</w:t>
                            </w:r>
                            <w:r w:rsidRPr="00307D82">
                              <w:rPr>
                                <w:sz w:val="19"/>
                                <w:szCs w:val="19"/>
                              </w:rPr>
                              <w:t xml:space="preserve"> However,</w:t>
                            </w:r>
                            <w:r>
                              <w:rPr>
                                <w:sz w:val="19"/>
                                <w:szCs w:val="19"/>
                              </w:rPr>
                              <w:t xml:space="preserve"> about 52% </w:t>
                            </w:r>
                            <w:r w:rsidRPr="00307D82">
                              <w:rPr>
                                <w:noProof/>
                                <w:sz w:val="19"/>
                                <w:szCs w:val="19"/>
                                <w:lang w:val="en-GB"/>
                              </w:rPr>
                              <w:t xml:space="preserve">percent of the world's total lighting market sales </w:t>
                            </w:r>
                            <w:r>
                              <w:rPr>
                                <w:noProof/>
                                <w:sz w:val="19"/>
                                <w:szCs w:val="19"/>
                                <w:lang w:val="en-GB"/>
                              </w:rPr>
                              <w:t xml:space="preserve">of 15 billion units </w:t>
                            </w:r>
                            <w:r w:rsidRPr="00307D82">
                              <w:rPr>
                                <w:noProof/>
                                <w:sz w:val="19"/>
                                <w:szCs w:val="19"/>
                                <w:lang w:val="en-GB"/>
                              </w:rPr>
                              <w:t xml:space="preserve">were still incandescent in 2010. </w:t>
                            </w:r>
                            <w:r>
                              <w:rPr>
                                <w:noProof/>
                                <w:sz w:val="19"/>
                                <w:szCs w:val="19"/>
                              </w:rPr>
                              <w:t>Therefore, c</w:t>
                            </w:r>
                            <w:r w:rsidRPr="00307D82">
                              <w:rPr>
                                <w:noProof/>
                                <w:sz w:val="19"/>
                                <w:szCs w:val="19"/>
                              </w:rPr>
                              <w:t xml:space="preserve">ountries around the world have </w:t>
                            </w:r>
                            <w:r>
                              <w:rPr>
                                <w:noProof/>
                                <w:sz w:val="19"/>
                                <w:szCs w:val="19"/>
                              </w:rPr>
                              <w:t>started to</w:t>
                            </w:r>
                            <w:r w:rsidRPr="00307D82">
                              <w:rPr>
                                <w:noProof/>
                                <w:sz w:val="19"/>
                                <w:szCs w:val="19"/>
                              </w:rPr>
                              <w:t xml:space="preserve"> </w:t>
                            </w:r>
                            <w:r>
                              <w:rPr>
                                <w:noProof/>
                                <w:sz w:val="19"/>
                                <w:szCs w:val="19"/>
                              </w:rPr>
                              <w:t>phasing out</w:t>
                            </w:r>
                            <w:r w:rsidRPr="00307D82">
                              <w:rPr>
                                <w:noProof/>
                                <w:sz w:val="19"/>
                                <w:szCs w:val="19"/>
                              </w:rPr>
                              <w:t xml:space="preserve"> inefficient incandescent lamps. Some countries have established effective approaches to eliminate inefficient lamps via mandatory minimum energy performance standards and energy labelling</w:t>
                            </w:r>
                            <w:r>
                              <w:rPr>
                                <w:noProof/>
                                <w:sz w:val="19"/>
                                <w:szCs w:val="19"/>
                              </w:rPr>
                              <w:t xml:space="preserve"> and other policy measures)</w:t>
                            </w:r>
                          </w:p>
                          <w:p w:rsidR="00540FEA" w:rsidRPr="00307D82" w:rsidRDefault="00540FEA" w:rsidP="00F737AD">
                            <w:pPr>
                              <w:shd w:val="clear" w:color="auto" w:fill="FBE4D5"/>
                              <w:spacing w:after="0"/>
                              <w:rPr>
                                <w:noProof/>
                                <w:sz w:val="19"/>
                                <w:szCs w:val="19"/>
                              </w:rPr>
                            </w:pPr>
                            <w:r w:rsidRPr="00032E96">
                              <w:rPr>
                                <w:noProof/>
                                <w:sz w:val="19"/>
                                <w:szCs w:val="19"/>
                              </w:rPr>
                              <w:t>LED lamps have a lifespan and electrical efficiency which are several times greater than incandescent lamps, and are significantly more efficient than most fluorescent lamps</w:t>
                            </w:r>
                            <w:r>
                              <w:rPr>
                                <w:noProof/>
                                <w:sz w:val="19"/>
                                <w:szCs w:val="19"/>
                              </w:rPr>
                              <w:t xml:space="preserve">. </w:t>
                            </w:r>
                            <w:r w:rsidRPr="00032E96">
                              <w:rPr>
                                <w:noProof/>
                                <w:sz w:val="19"/>
                                <w:szCs w:val="19"/>
                              </w:rPr>
                              <w:t>Recent d</w:t>
                            </w:r>
                            <w:r>
                              <w:rPr>
                                <w:noProof/>
                                <w:sz w:val="19"/>
                                <w:szCs w:val="19"/>
                              </w:rPr>
                              <w:t>evelopments have produced LEDs  and new control systems that are suitable for all apllications, in buildings, traffic lights and outdoor lighting. Market share of LEDs was projected by McKinsey in 2016 (of a total of 11 billion units) to reach 22% (1% in 2010), that of CFLs 25% (up from 17% in 2010), linear fluorescent 20% (16% in 2010), HIDs 2% (also 2% in 2010), halogen 22% (20% in 2010 and incandescents down to 9% of global sales (52% in 2010).</w:t>
                            </w:r>
                          </w:p>
                          <w:p w:rsidR="00540FEA" w:rsidRPr="00307D82" w:rsidRDefault="00540FEA" w:rsidP="00F737AD">
                            <w:pPr>
                              <w:shd w:val="clear" w:color="auto" w:fill="FBE4D5"/>
                              <w:spacing w:before="60" w:after="0"/>
                              <w:rPr>
                                <w:noProof/>
                                <w:sz w:val="19"/>
                                <w:szCs w:val="19"/>
                              </w:rPr>
                            </w:pPr>
                            <w:r w:rsidRPr="00307D82">
                              <w:rPr>
                                <w:noProof/>
                                <w:sz w:val="19"/>
                                <w:szCs w:val="19"/>
                              </w:rPr>
                              <w:t xml:space="preserve">Electricity for lighting accounts for approximately 15% of global power consumption and 5% of worldwide greenhouse gas (GHG) emissions. A switch to efficient on-grid and off-grid lighting globally would save more than </w:t>
                            </w:r>
                            <w:r>
                              <w:rPr>
                                <w:noProof/>
                                <w:sz w:val="19"/>
                                <w:szCs w:val="19"/>
                              </w:rPr>
                              <w:t xml:space="preserve">USD </w:t>
                            </w:r>
                            <w:r w:rsidRPr="00307D82">
                              <w:rPr>
                                <w:noProof/>
                                <w:sz w:val="19"/>
                                <w:szCs w:val="19"/>
                              </w:rPr>
                              <w:t>140 billion and reduce CO</w:t>
                            </w:r>
                            <w:r w:rsidRPr="00AA4659">
                              <w:rPr>
                                <w:noProof/>
                                <w:sz w:val="19"/>
                                <w:szCs w:val="19"/>
                                <w:vertAlign w:val="subscript"/>
                              </w:rPr>
                              <w:t xml:space="preserve">2 </w:t>
                            </w:r>
                            <w:r w:rsidRPr="00307D82">
                              <w:rPr>
                                <w:noProof/>
                                <w:sz w:val="19"/>
                                <w:szCs w:val="19"/>
                              </w:rPr>
                              <w:t>emissions by 580 million tonnes every year.</w:t>
                            </w:r>
                            <w:r w:rsidRPr="005A4AFC">
                              <w:t xml:space="preserve"> </w:t>
                            </w:r>
                            <w:r w:rsidRPr="005A4AFC">
                              <w:rPr>
                                <w:noProof/>
                                <w:sz w:val="19"/>
                                <w:szCs w:val="19"/>
                              </w:rPr>
                              <w:t>Worldwide,</w:t>
                            </w:r>
                            <w:r>
                              <w:rPr>
                                <w:noProof/>
                                <w:sz w:val="19"/>
                                <w:szCs w:val="19"/>
                              </w:rPr>
                              <w:t xml:space="preserve"> electricity accounts for about 15% of power consumption (and 5% of global greenhouse gas emissions). A reduction to the more efficient lighting would reduce global power demand for lighting by 30-40%.</w:t>
                            </w:r>
                            <w:r w:rsidRPr="005A4AFC">
                              <w:rPr>
                                <w:noProof/>
                                <w:sz w:val="19"/>
                                <w:szCs w:val="19"/>
                              </w:rPr>
                              <w:t xml:space="preserve"> </w:t>
                            </w:r>
                            <w:r>
                              <w:rPr>
                                <w:noProof/>
                                <w:sz w:val="19"/>
                                <w:szCs w:val="19"/>
                              </w:rPr>
                              <w:t xml:space="preserve">If countries would follow the integrated efficiency policy </w:t>
                            </w:r>
                            <w:r w:rsidRPr="00F737AD">
                              <w:rPr>
                                <w:noProof/>
                                <w:sz w:val="19"/>
                                <w:szCs w:val="19"/>
                                <w:shd w:val="clear" w:color="auto" w:fill="FBE4D5"/>
                              </w:rPr>
                              <w:t xml:space="preserve">approach, </w:t>
                            </w:r>
                            <w:r>
                              <w:rPr>
                                <w:noProof/>
                                <w:sz w:val="19"/>
                                <w:szCs w:val="19"/>
                              </w:rPr>
                              <w:t xml:space="preserve">the energy savings could reach 640,000 GWh in 2030. This is the equivalent of USD 360 billion in avoided investments in 290 large coal-fired plants, or, the savings would be enough to provide 300 million non-connected households with electric energy (assuming a consumption of 2000 kWh per household per year). </w:t>
                            </w:r>
                          </w:p>
                          <w:p w:rsidR="00540FEA" w:rsidRPr="00307D82" w:rsidRDefault="00540FEA" w:rsidP="00F737AD">
                            <w:pPr>
                              <w:shd w:val="clear" w:color="auto" w:fill="FBE4D5"/>
                              <w:spacing w:after="0"/>
                              <w:rPr>
                                <w:noProof/>
                                <w:sz w:val="19"/>
                                <w:szCs w:val="19"/>
                              </w:rPr>
                            </w:pPr>
                          </w:p>
                          <w:p w:rsidR="00540FEA" w:rsidRPr="00030AD6" w:rsidRDefault="00540FEA" w:rsidP="00297A17">
                            <w:pPr>
                              <w:rPr>
                                <w:noProof/>
                                <w:lang w:val="en-GB"/>
                              </w:rPr>
                            </w:pPr>
                            <w:r w:rsidRPr="00D73253">
                              <w:rPr>
                                <w:i/>
                                <w:noProof/>
                                <w:sz w:val="18"/>
                                <w:lang w:val="en-GB"/>
                              </w:rPr>
                              <w:t>Source: Accelerating t</w:t>
                            </w:r>
                            <w:r>
                              <w:rPr>
                                <w:i/>
                                <w:noProof/>
                                <w:sz w:val="18"/>
                                <w:lang w:val="en-GB"/>
                              </w:rPr>
                              <w:t xml:space="preserve">he global adoption of energy-efficient lighting, </w:t>
                            </w:r>
                            <w:r>
                              <w:rPr>
                                <w:noProof/>
                                <w:sz w:val="18"/>
                                <w:lang w:val="en-GB"/>
                              </w:rPr>
                              <w:t>UN Environment-GEF ‘United for Energy Effciiency (2016)</w:t>
                            </w:r>
                            <w:r w:rsidRPr="00D73253">
                              <w:rPr>
                                <w:i/>
                                <w:noProof/>
                                <w:sz w:val="18"/>
                                <w:lang w:val="en-GB"/>
                              </w:rPr>
                              <w:t xml:space="preserve"> ; BC Hydro (</w:t>
                            </w:r>
                            <w:r>
                              <w:rPr>
                                <w:noProof/>
                                <w:sz w:val="18"/>
                                <w:lang w:val="en-GB"/>
                              </w:rPr>
                              <w:t>www.bchydro.c</w:t>
                            </w:r>
                            <w:r w:rsidRPr="00D73253">
                              <w:rPr>
                                <w:noProof/>
                                <w:sz w:val="18"/>
                                <w:lang w:val="en-GB"/>
                              </w:rPr>
                              <w:t>om</w:t>
                            </w:r>
                            <w:r>
                              <w:rPr>
                                <w:noProof/>
                                <w:sz w:val="18"/>
                                <w:lang w:val="en-GB"/>
                              </w:rPr>
                              <w:t>)</w:t>
                            </w:r>
                            <w:r w:rsidRPr="00D73253">
                              <w:rPr>
                                <w:i/>
                                <w:noProof/>
                                <w:sz w:val="18"/>
                                <w:lang w:val="en-GB"/>
                              </w:rPr>
                              <w:t xml:space="preserve">;  </w:t>
                            </w:r>
                            <w:r>
                              <w:rPr>
                                <w:i/>
                                <w:noProof/>
                                <w:sz w:val="18"/>
                                <w:lang w:val="en-GB"/>
                              </w:rPr>
                              <w:t xml:space="preserve">Lighting the way: Perspectives on the global market, </w:t>
                            </w:r>
                            <w:r>
                              <w:rPr>
                                <w:noProof/>
                                <w:sz w:val="18"/>
                                <w:lang w:val="en-GB"/>
                              </w:rPr>
                              <w:t>McKinsey (2011). CRI: colour rendering index</w:t>
                            </w:r>
                          </w:p>
                          <w:p w:rsidR="00540FEA" w:rsidRDefault="00540FEA" w:rsidP="00297A17">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6" o:spid="_x0000_s1039" type="#_x0000_t202" style="position:absolute;left:0;text-align:left;margin-left:0;margin-top:50.4pt;width:555pt;height:643.45pt;z-index:251619328;visibility:visible;mso-wrap-style:square;mso-width-percent:0;mso-height-percent:0;mso-wrap-distance-left:9pt;mso-wrap-distance-top:3.6pt;mso-wrap-distance-right:9pt;mso-wrap-distance-bottom:3.6pt;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" fillcolor="#fbe5d6" stroked="f">
                <v:textbox>
                  <w:txbxContent>
                    <w:p w:rsidR="00540FEA" w:rsidRDefault="00540FEA" w:rsidP="00297A17">
                      <w:pPr>
                        <w:pStyle w:val="Caption"/>
                        <w:rPr>
                          <w:rFonts w:ascii="Arial" w:hAnsi="Arial" w:cs="Arial"/>
                          <w:color w:val="2E74B5"/>
                          <w:sz w:val="18"/>
                        </w:rPr>
                      </w:pPr>
                      <w:bookmarkStart w:id="246" w:name="_Ref495417628"/>
                      <w:bookmarkStart w:id="247" w:name="_Toc496967024"/>
                      <w:bookmarkStart w:id="248" w:name="_Toc17984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24</w:t>
                      </w:r>
                      <w:r w:rsidRPr="00A21E05">
                        <w:rPr>
                          <w:rFonts w:ascii="Arial" w:hAnsi="Arial" w:cs="Arial"/>
                          <w:color w:val="2E74B5"/>
                          <w:sz w:val="18"/>
                        </w:rPr>
                        <w:fldChar w:fldCharType="end"/>
                      </w:r>
                      <w:bookmarkEnd w:id="246"/>
                      <w:r>
                        <w:rPr>
                          <w:rFonts w:ascii="Arial" w:hAnsi="Arial" w:cs="Arial"/>
                          <w:color w:val="2E74B5"/>
                          <w:sz w:val="18"/>
                        </w:rPr>
                        <w:tab/>
                        <w:t>Energy-efficient lighting</w:t>
                      </w:r>
                      <w:bookmarkEnd w:id="247"/>
                      <w:r>
                        <w:rPr>
                          <w:rFonts w:ascii="Arial" w:hAnsi="Arial" w:cs="Arial"/>
                          <w:color w:val="2E74B5"/>
                          <w:sz w:val="18"/>
                        </w:rPr>
                        <w:t>: an overview</w:t>
                      </w:r>
                      <w:bookmarkEnd w:id="248"/>
                    </w:p>
                    <w:p w:rsidR="00540FEA" w:rsidRDefault="00540FEA" w:rsidP="00297A17">
                      <w:pPr>
                        <w:rPr>
                          <w:noProof/>
                        </w:rPr>
                      </w:pPr>
                    </w:p>
                    <w:p w:rsidR="00540FEA" w:rsidRPr="00032E96" w:rsidRDefault="00540FEA" w:rsidP="00297A17">
                      <w:pPr>
                        <w:rPr>
                          <w:rFonts w:cs="Calibri"/>
                          <w:noProof/>
                          <w:sz w:val="19"/>
                          <w:szCs w:val="19"/>
                          <w:lang w:val="en-GB"/>
                        </w:rPr>
                      </w:pPr>
                      <w:r w:rsidRPr="00032E96">
                        <w:rPr>
                          <w:rFonts w:cs="Calibri"/>
                          <w:noProof/>
                          <w:sz w:val="19"/>
                          <w:szCs w:val="19"/>
                        </w:rPr>
                        <w:t>The following table gives an overview of various lighting technologie</w:t>
                      </w:r>
                      <w:r w:rsidRPr="00032E96">
                        <w:rPr>
                          <w:rFonts w:cs="Calibri"/>
                          <w:noProof/>
                          <w:sz w:val="19"/>
                          <w:szCs w:val="19"/>
                          <w:lang w:val="en-GB"/>
                        </w:rPr>
                        <w:t xml:space="preserve">s:    </w:t>
                      </w: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134"/>
                        <w:gridCol w:w="1134"/>
                        <w:gridCol w:w="1134"/>
                        <w:gridCol w:w="1417"/>
                        <w:gridCol w:w="1559"/>
                        <w:gridCol w:w="886"/>
                        <w:gridCol w:w="248"/>
                        <w:gridCol w:w="638"/>
                        <w:gridCol w:w="638"/>
                        <w:gridCol w:w="248"/>
                        <w:gridCol w:w="886"/>
                      </w:tblGrid>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p>
                        </w:tc>
                        <w:tc>
                          <w:tcPr>
                            <w:tcW w:w="2268"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Incandescent-type</w:t>
                            </w:r>
                          </w:p>
                        </w:tc>
                        <w:tc>
                          <w:tcPr>
                            <w:tcW w:w="2551"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lighting</w:t>
                            </w:r>
                          </w:p>
                        </w:tc>
                        <w:tc>
                          <w:tcPr>
                            <w:tcW w:w="1559" w:type="dxa"/>
                            <w:vMerge w:val="restart"/>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Light-emiting diode (LED)</w:t>
                            </w:r>
                          </w:p>
                        </w:tc>
                        <w:tc>
                          <w:tcPr>
                            <w:tcW w:w="3544" w:type="dxa"/>
                            <w:gridSpan w:val="6"/>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High-intensity dischrage lamps (HID)</w:t>
                            </w:r>
                          </w:p>
                        </w:tc>
                      </w:tr>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Incandescent</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Halogen</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CFL</w:t>
                            </w:r>
                          </w:p>
                        </w:tc>
                        <w:tc>
                          <w:tcPr>
                            <w:tcW w:w="1417"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Fluorescent – tube (TL)</w:t>
                            </w:r>
                          </w:p>
                        </w:tc>
                        <w:tc>
                          <w:tcPr>
                            <w:tcW w:w="1559" w:type="dxa"/>
                            <w:vMerge/>
                            <w:shd w:val="clear" w:color="auto" w:fill="auto"/>
                          </w:tcPr>
                          <w:p w:rsidR="00540FEA" w:rsidRPr="00A6381E" w:rsidRDefault="00540FEA" w:rsidP="009B69D7">
                            <w:pPr>
                              <w:spacing w:after="0"/>
                              <w:jc w:val="center"/>
                              <w:rPr>
                                <w:rFonts w:ascii="Arial Narrow" w:hAnsi="Arial Narrow" w:cs="Arial"/>
                                <w:noProof/>
                                <w:sz w:val="18"/>
                                <w:szCs w:val="18"/>
                                <w:lang w:val="en-GB"/>
                              </w:rPr>
                            </w:pP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Mercury vapour</w:t>
                            </w:r>
                          </w:p>
                        </w:tc>
                        <w:tc>
                          <w:tcPr>
                            <w:tcW w:w="1276"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High-pressure sodium (HPS)</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Metal halide</w:t>
                            </w:r>
                          </w:p>
                        </w:tc>
                      </w:tr>
                      <w:tr w:rsidR="00540FEA" w:rsidTr="00981515">
                        <w:tc>
                          <w:tcPr>
                            <w:tcW w:w="1101" w:type="dxa"/>
                            <w:shd w:val="clear" w:color="auto" w:fill="auto"/>
                          </w:tcPr>
                          <w:p w:rsidR="00540FEA" w:rsidRPr="00A6381E" w:rsidRDefault="00540FEA" w:rsidP="009B69D7">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Luminous efficiency (lm/W)</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8-17</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11-25</w:t>
                            </w:r>
                          </w:p>
                        </w:tc>
                        <w:tc>
                          <w:tcPr>
                            <w:tcW w:w="1134"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417"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80-110</w:t>
                            </w:r>
                          </w:p>
                        </w:tc>
                        <w:tc>
                          <w:tcPr>
                            <w:tcW w:w="1559" w:type="dxa"/>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60-130</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45-55</w:t>
                            </w:r>
                          </w:p>
                        </w:tc>
                        <w:tc>
                          <w:tcPr>
                            <w:tcW w:w="1276"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105-125</w:t>
                            </w:r>
                          </w:p>
                        </w:tc>
                        <w:tc>
                          <w:tcPr>
                            <w:tcW w:w="1134" w:type="dxa"/>
                            <w:gridSpan w:val="2"/>
                            <w:shd w:val="clear" w:color="auto" w:fill="auto"/>
                          </w:tcPr>
                          <w:p w:rsidR="00540FEA" w:rsidRPr="00A6381E" w:rsidRDefault="00540FEA" w:rsidP="009B69D7">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80-100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Lifetime (hrs)</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1000-1500</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2000-3000</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6000-15000</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w:t>
                            </w:r>
                            <w:r w:rsidRPr="00A6381E">
                              <w:rPr>
                                <w:rFonts w:ascii="Arial Narrow" w:hAnsi="Arial Narrow" w:cs="Arial"/>
                                <w:noProof/>
                                <w:sz w:val="18"/>
                                <w:szCs w:val="18"/>
                                <w:lang w:val="en-GB"/>
                              </w:rPr>
                              <w:t>000-30000</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20000-6</w:t>
                            </w:r>
                            <w:r w:rsidRPr="00A6381E">
                              <w:rPr>
                                <w:rFonts w:ascii="Arial Narrow" w:hAnsi="Arial Narrow" w:cs="Arial"/>
                                <w:noProof/>
                                <w:sz w:val="18"/>
                                <w:szCs w:val="18"/>
                                <w:lang w:val="en-GB"/>
                              </w:rPr>
                              <w:t>0000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20000</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15000-24000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10000-20000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CRI</w:t>
                            </w:r>
                            <w:r w:rsidRPr="00A6381E">
                              <w:rPr>
                                <w:rFonts w:ascii="Arial Narrow" w:hAnsi="Arial Narrow" w:cs="Arial"/>
                                <w:noProof/>
                                <w:sz w:val="18"/>
                                <w:szCs w:val="18"/>
                                <w:lang w:val="en-GB"/>
                              </w:rPr>
                              <w:t xml:space="preserve"> &amp; </w:t>
                            </w:r>
                            <w:r>
                              <w:rPr>
                                <w:rFonts w:ascii="Arial Narrow" w:hAnsi="Arial Narrow" w:cs="Arial"/>
                                <w:noProof/>
                                <w:sz w:val="18"/>
                                <w:szCs w:val="18"/>
                                <w:lang w:val="en-GB"/>
                              </w:rPr>
                              <w:t xml:space="preserve"> colour </w:t>
                            </w:r>
                            <w:r w:rsidRPr="00A6381E">
                              <w:rPr>
                                <w:rFonts w:ascii="Arial Narrow" w:hAnsi="Arial Narrow" w:cs="Arial"/>
                                <w:noProof/>
                                <w:sz w:val="18"/>
                                <w:szCs w:val="18"/>
                                <w:lang w:val="en-GB"/>
                              </w:rPr>
                              <w:t>temperature</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t>
                            </w:r>
                            <w:r>
                              <w:rPr>
                                <w:rFonts w:ascii="Arial Narrow" w:hAnsi="Arial Narrow" w:cs="Arial"/>
                                <w:noProof/>
                                <w:sz w:val="18"/>
                                <w:szCs w:val="18"/>
                                <w:lang w:val="en-GB"/>
                              </w:rPr>
                              <w:t>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2600-2800 K</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w:t>
                            </w:r>
                            <w:r>
                              <w:rPr>
                                <w:rFonts w:ascii="Arial Narrow" w:hAnsi="Arial Narrow" w:cs="Arial"/>
                                <w:noProof/>
                                <w:sz w:val="18"/>
                                <w:szCs w:val="18"/>
                                <w:lang w:val="en-GB"/>
                              </w:rPr>
                              <w:t xml:space="preserve"> </w:t>
                            </w:r>
                            <w:r w:rsidRPr="00915D59">
                              <w:rPr>
                                <w:rFonts w:ascii="Arial Narrow" w:hAnsi="Arial Narrow" w:cs="Arial"/>
                                <w:noProof/>
                                <w:sz w:val="18"/>
                                <w:szCs w:val="18"/>
                                <w:lang w:val="en-GB"/>
                              </w:rPr>
                              <w:t>(CRI)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xml:space="preserve">2800-3200 </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60-9</w:t>
                            </w:r>
                            <w:r>
                              <w:rPr>
                                <w:rFonts w:ascii="Arial Narrow" w:hAnsi="Arial Narrow" w:cs="Arial"/>
                                <w:noProof/>
                                <w:sz w:val="18"/>
                                <w:szCs w:val="18"/>
                                <w:lang w:val="en-GB"/>
                              </w:rPr>
                              <w:t>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70-95</w:t>
                            </w:r>
                            <w:r>
                              <w:rPr>
                                <w:rFonts w:ascii="Arial Narrow" w:hAnsi="Arial Narrow" w:cs="Arial"/>
                                <w:noProof/>
                                <w:sz w:val="18"/>
                                <w:szCs w:val="18"/>
                                <w:lang w:val="en-GB"/>
                              </w:rPr>
                              <w:t xml:space="preserve">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2700-6500 K</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15-50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3900-5700 K</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2000-2100</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65-85 (CRI)</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2500-6500</w:t>
                            </w:r>
                          </w:p>
                        </w:tc>
                      </w:tr>
                      <w:tr w:rsidR="00540FEA" w:rsidTr="00981515">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Dimmable</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Y</w:t>
                            </w:r>
                          </w:p>
                        </w:tc>
                        <w:tc>
                          <w:tcPr>
                            <w:tcW w:w="1134"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417"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559" w:type="dxa"/>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driver dimmable</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276"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c>
                          <w:tcPr>
                            <w:tcW w:w="1134" w:type="dxa"/>
                            <w:gridSpan w:val="2"/>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if ballast dimmable</w:t>
                            </w:r>
                          </w:p>
                        </w:tc>
                      </w:tr>
                      <w:tr w:rsidR="00540FEA" w:rsidTr="00981515">
                        <w:trPr>
                          <w:trHeight w:val="2502"/>
                        </w:trPr>
                        <w:tc>
                          <w:tcPr>
                            <w:tcW w:w="1101" w:type="dxa"/>
                            <w:shd w:val="clear" w:color="auto" w:fill="auto"/>
                          </w:tcPr>
                          <w:p w:rsidR="00540FEA" w:rsidRPr="00A6381E" w:rsidRDefault="00540FEA" w:rsidP="003374DA">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Produce light by passing electrical current through tungsten metal wire suspended in an inert  tmosphere inside a glass bulb.</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p>
                        </w:tc>
                        <w:tc>
                          <w:tcPr>
                            <w:tcW w:w="1134"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lamps are an improvement over</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w:t>
                            </w:r>
                            <w:r w:rsidRPr="00A6381E">
                              <w:rPr>
                                <w:sz w:val="18"/>
                              </w:rPr>
                              <w:t xml:space="preserve"> </w:t>
                            </w:r>
                            <w:r w:rsidRPr="00A6381E">
                              <w:rPr>
                                <w:rFonts w:ascii="Arial Narrow" w:hAnsi="Arial Narrow" w:cs="Arial"/>
                                <w:noProof/>
                                <w:sz w:val="18"/>
                                <w:szCs w:val="18"/>
                                <w:lang w:val="en-GB"/>
                              </w:rPr>
                              <w:t>Contain</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 small quantity of</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halogen that increases lamp life</w:t>
                            </w:r>
                          </w:p>
                        </w:tc>
                        <w:tc>
                          <w:tcPr>
                            <w:tcW w:w="2551" w:type="dxa"/>
                            <w:gridSpan w:val="2"/>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The lamps incorporate an electronic ballast and phosphor-lined glass tube. An electrical arc is struck at the tube’s electrodes, causing the  mercury atoms to emit ultraviolet (UV) light, exciting the phosphor coating and emitting visible light. Tubular fluorescent lamps are typically classified by their diameter (most common are: T12 = 38mm, T8 = 25mm, T5 = 16mm). CFLs were developed </w:t>
                            </w:r>
                            <w:r>
                              <w:rPr>
                                <w:rFonts w:ascii="Arial Narrow" w:hAnsi="Arial Narrow" w:cs="Arial"/>
                                <w:noProof/>
                                <w:sz w:val="18"/>
                                <w:szCs w:val="18"/>
                                <w:lang w:val="en-GB"/>
                              </w:rPr>
                              <w:t xml:space="preserve">as retrofits for incandesents, </w:t>
                            </w:r>
                            <w:r w:rsidRPr="00A6381E">
                              <w:rPr>
                                <w:rFonts w:ascii="Arial Narrow" w:hAnsi="Arial Narrow" w:cs="Arial"/>
                                <w:noProof/>
                                <w:sz w:val="18"/>
                                <w:szCs w:val="18"/>
                                <w:lang w:val="en-GB"/>
                              </w:rPr>
                              <w:t xml:space="preserve">and are essentially a miniaturised version of a linear fluorescent lamp (TL). </w:t>
                            </w:r>
                            <w:r>
                              <w:rPr>
                                <w:rFonts w:ascii="Arial Narrow" w:hAnsi="Arial Narrow" w:cs="Arial"/>
                                <w:noProof/>
                                <w:sz w:val="18"/>
                                <w:szCs w:val="18"/>
                                <w:lang w:val="en-GB"/>
                              </w:rPr>
                              <w:t xml:space="preserve">All fluorescent lamps </w:t>
                            </w:r>
                            <w:r w:rsidRPr="00A6381E">
                              <w:rPr>
                                <w:rFonts w:ascii="Arial Narrow" w:hAnsi="Arial Narrow" w:cs="Arial"/>
                                <w:noProof/>
                                <w:sz w:val="18"/>
                                <w:szCs w:val="18"/>
                                <w:lang w:val="en-GB"/>
                              </w:rPr>
                              <w:t>contain mercury</w:t>
                            </w:r>
                            <w:r>
                              <w:rPr>
                                <w:rFonts w:ascii="Arial Narrow" w:hAnsi="Arial Narrow" w:cs="Arial"/>
                                <w:noProof/>
                                <w:sz w:val="18"/>
                                <w:szCs w:val="18"/>
                                <w:lang w:val="en-GB"/>
                              </w:rPr>
                              <w:t>.</w:t>
                            </w:r>
                          </w:p>
                        </w:tc>
                        <w:tc>
                          <w:tcPr>
                            <w:tcW w:w="1559" w:type="dxa"/>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 xml:space="preserve">A LED is a semiconductor light source, whose p–n junction diode that emits light when activated –(electro-luminiscence). Many LED products are available that can </w:t>
                            </w:r>
                            <w:r>
                              <w:rPr>
                                <w:rFonts w:ascii="Arial Narrow" w:hAnsi="Arial Narrow" w:cs="Arial"/>
                                <w:noProof/>
                                <w:sz w:val="18"/>
                                <w:szCs w:val="18"/>
                                <w:lang w:val="en-GB"/>
                              </w:rPr>
                              <w:t>r</w:t>
                            </w:r>
                            <w:r w:rsidRPr="00A6381E">
                              <w:rPr>
                                <w:rFonts w:ascii="Arial Narrow" w:hAnsi="Arial Narrow" w:cs="Arial"/>
                                <w:noProof/>
                                <w:sz w:val="18"/>
                                <w:szCs w:val="18"/>
                                <w:lang w:val="en-GB"/>
                              </w:rPr>
                              <w:t>eplace the previous lamp</w:t>
                            </w:r>
                            <w:r>
                              <w:rPr>
                                <w:rFonts w:ascii="Arial Narrow" w:hAnsi="Arial Narrow" w:cs="Arial"/>
                                <w:noProof/>
                                <w:sz w:val="18"/>
                                <w:szCs w:val="18"/>
                                <w:lang w:val="en-GB"/>
                              </w:rPr>
                              <w:t xml:space="preserve"> inclduing bulbs and tubular lamps</w:t>
                            </w:r>
                            <w:r w:rsidRPr="00A6381E">
                              <w:rPr>
                                <w:rFonts w:ascii="Arial Narrow" w:hAnsi="Arial Narrow" w:cs="Arial"/>
                                <w:noProof/>
                                <w:sz w:val="18"/>
                                <w:szCs w:val="18"/>
                                <w:lang w:val="en-GB"/>
                              </w:rPr>
                              <w:t>.</w:t>
                            </w:r>
                          </w:p>
                          <w:p w:rsidR="00540FEA" w:rsidRPr="00A6381E" w:rsidRDefault="00540FEA" w:rsidP="00050A86">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There are also LED for</w:t>
                            </w:r>
                            <w:r>
                              <w:rPr>
                                <w:rFonts w:ascii="Arial Narrow" w:hAnsi="Arial Narrow" w:cs="Arial"/>
                                <w:noProof/>
                                <w:sz w:val="18"/>
                                <w:szCs w:val="18"/>
                                <w:lang w:val="en-GB"/>
                              </w:rPr>
                              <w:t xml:space="preserve"> </w:t>
                            </w:r>
                            <w:r w:rsidRPr="00A6381E">
                              <w:rPr>
                                <w:rFonts w:ascii="Arial Narrow" w:hAnsi="Arial Narrow" w:cs="Arial"/>
                                <w:noProof/>
                                <w:sz w:val="18"/>
                                <w:szCs w:val="18"/>
                                <w:lang w:val="en-GB"/>
                              </w:rPr>
                              <w:t>street lights and outdoor</w:t>
                            </w:r>
                            <w:r>
                              <w:rPr>
                                <w:rFonts w:ascii="Arial Narrow" w:hAnsi="Arial Narrow" w:cs="Arial"/>
                                <w:noProof/>
                                <w:sz w:val="18"/>
                                <w:szCs w:val="18"/>
                                <w:lang w:val="en-GB"/>
                              </w:rPr>
                              <w:t xml:space="preserve"> applications</w:t>
                            </w:r>
                          </w:p>
                        </w:tc>
                        <w:tc>
                          <w:tcPr>
                            <w:tcW w:w="3544" w:type="dxa"/>
                            <w:gridSpan w:val="6"/>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High intensity discharge (HID) lighting produces light from an electrical arc contained within a capsule of gas (metal vapour) which is sealed inside a bulb. HID lights require a ballast to start and operate, which regulates the voltage.</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HID lighting is commonly found in outdoor lighting</w:t>
                            </w:r>
                          </w:p>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applications such as street lighting, area flood lighting and sports stadium lighting. HID lighting is also found in</w:t>
                            </w:r>
                            <w:r>
                              <w:rPr>
                                <w:rFonts w:ascii="Arial Narrow" w:hAnsi="Arial Narrow" w:cs="Arial"/>
                                <w:noProof/>
                                <w:sz w:val="18"/>
                                <w:szCs w:val="18"/>
                                <w:lang w:val="en-GB"/>
                              </w:rPr>
                              <w:t>-</w:t>
                            </w:r>
                            <w:r w:rsidRPr="00A6381E">
                              <w:rPr>
                                <w:rFonts w:ascii="Arial Narrow" w:hAnsi="Arial Narrow" w:cs="Arial"/>
                                <w:noProof/>
                                <w:sz w:val="18"/>
                                <w:szCs w:val="18"/>
                                <w:lang w:val="en-GB"/>
                              </w:rPr>
                              <w:t>door in places such as large retail outlets, warehouses and</w:t>
                            </w:r>
                            <w:r>
                              <w:rPr>
                                <w:rFonts w:ascii="Arial Narrow" w:hAnsi="Arial Narrow" w:cs="Arial"/>
                                <w:noProof/>
                                <w:sz w:val="18"/>
                                <w:szCs w:val="18"/>
                                <w:lang w:val="en-GB"/>
                              </w:rPr>
                              <w:t xml:space="preserve"> buildings of </w:t>
                            </w:r>
                            <w:r w:rsidRPr="00A6381E">
                              <w:rPr>
                                <w:rFonts w:ascii="Arial Narrow" w:hAnsi="Arial Narrow" w:cs="Arial"/>
                                <w:noProof/>
                                <w:sz w:val="18"/>
                                <w:szCs w:val="18"/>
                                <w:lang w:val="en-GB"/>
                              </w:rPr>
                              <w:t>manufacturing facilities.</w:t>
                            </w:r>
                          </w:p>
                          <w:p w:rsidR="00540FEA" w:rsidRPr="00A6381E" w:rsidRDefault="00540FEA" w:rsidP="003374DA">
                            <w:pPr>
                              <w:spacing w:after="0"/>
                              <w:jc w:val="left"/>
                              <w:rPr>
                                <w:rFonts w:ascii="Arial Narrow" w:hAnsi="Arial Narrow" w:cs="Arial"/>
                                <w:noProof/>
                                <w:sz w:val="18"/>
                                <w:szCs w:val="18"/>
                                <w:lang w:val="en-GB"/>
                              </w:rPr>
                            </w:pPr>
                          </w:p>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 xml:space="preserve">A ballast is a </w:t>
                            </w:r>
                            <w:r w:rsidRPr="00A6381E">
                              <w:rPr>
                                <w:rFonts w:ascii="Arial Narrow" w:hAnsi="Arial Narrow" w:cs="Arial"/>
                                <w:noProof/>
                                <w:sz w:val="18"/>
                                <w:szCs w:val="18"/>
                                <w:lang w:val="en-GB"/>
                              </w:rPr>
                              <w:t>piece of equipment designed to start and properly control the flow of power to discharge light sources such as fluorescent and high intensity discharge (HID) lamps</w:t>
                            </w:r>
                          </w:p>
                        </w:tc>
                      </w:tr>
                      <w:tr w:rsidR="00540FEA" w:rsidTr="00DA48E8">
                        <w:trPr>
                          <w:trHeight w:val="349"/>
                        </w:trPr>
                        <w:tc>
                          <w:tcPr>
                            <w:tcW w:w="1101" w:type="dxa"/>
                            <w:vMerge w:val="restart"/>
                            <w:shd w:val="clear" w:color="auto" w:fill="auto"/>
                          </w:tcPr>
                          <w:p w:rsidR="00540FEA" w:rsidRPr="00A6381E" w:rsidRDefault="00540FEA" w:rsidP="003374DA">
                            <w:pPr>
                              <w:spacing w:after="0"/>
                              <w:jc w:val="left"/>
                              <w:rPr>
                                <w:rFonts w:ascii="Arial Narrow" w:hAnsi="Arial Narrow" w:cs="Arial"/>
                                <w:noProof/>
                                <w:sz w:val="18"/>
                                <w:szCs w:val="18"/>
                                <w:lang w:val="en-GB"/>
                              </w:rPr>
                            </w:pPr>
                            <w:r w:rsidRPr="00A6381E">
                              <w:rPr>
                                <w:rFonts w:ascii="Arial Narrow" w:hAnsi="Arial Narrow" w:cs="Arial"/>
                                <w:noProof/>
                                <w:sz w:val="18"/>
                                <w:szCs w:val="18"/>
                                <w:lang w:val="en-GB"/>
                              </w:rPr>
                              <w:t>Incandescent comparison</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40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60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100 W</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28-29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41-43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70-72 W</w:t>
                            </w:r>
                          </w:p>
                        </w:tc>
                        <w:tc>
                          <w:tcPr>
                            <w:tcW w:w="1134"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 75%</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9-11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13-16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23-27 W</w:t>
                            </w:r>
                          </w:p>
                        </w:tc>
                        <w:tc>
                          <w:tcPr>
                            <w:tcW w:w="1417"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fr-FR"/>
                              </w:rPr>
                            </w:pPr>
                            <w:r w:rsidRPr="00A6381E">
                              <w:rPr>
                                <w:rFonts w:ascii="Arial Narrow" w:hAnsi="Arial Narrow" w:cs="Arial"/>
                                <w:noProof/>
                                <w:sz w:val="18"/>
                                <w:szCs w:val="18"/>
                                <w:lang w:val="fr-FR"/>
                              </w:rPr>
                              <w:t xml:space="preserve">40 W incandescent compares to </w:t>
                            </w:r>
                          </w:p>
                          <w:p w:rsidR="00540FEA" w:rsidRPr="00A6381E" w:rsidRDefault="00540FEA" w:rsidP="003374DA">
                            <w:pPr>
                              <w:spacing w:after="0"/>
                              <w:jc w:val="center"/>
                              <w:rPr>
                                <w:rFonts w:ascii="Arial Narrow" w:hAnsi="Arial Narrow" w:cs="Arial"/>
                                <w:noProof/>
                                <w:sz w:val="18"/>
                                <w:szCs w:val="18"/>
                                <w:lang w:val="fr-FR"/>
                              </w:rPr>
                            </w:pPr>
                            <w:r>
                              <w:rPr>
                                <w:rFonts w:ascii="Arial Narrow" w:hAnsi="Arial Narrow" w:cs="Arial"/>
                                <w:noProof/>
                                <w:sz w:val="18"/>
                                <w:szCs w:val="18"/>
                                <w:lang w:val="fr-FR"/>
                              </w:rPr>
                              <w:t>40 (T12)-32 (T8)</w:t>
                            </w:r>
                          </w:p>
                        </w:tc>
                        <w:tc>
                          <w:tcPr>
                            <w:tcW w:w="1559" w:type="dxa"/>
                            <w:vMerge w:val="restart"/>
                            <w:shd w:val="clear" w:color="auto" w:fill="auto"/>
                          </w:tcPr>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80%</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5-8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10-13 W</w:t>
                            </w:r>
                          </w:p>
                          <w:p w:rsidR="00540FEA" w:rsidRPr="00A6381E" w:rsidRDefault="00540FEA" w:rsidP="003374DA">
                            <w:pPr>
                              <w:spacing w:after="0"/>
                              <w:jc w:val="center"/>
                              <w:rPr>
                                <w:rFonts w:ascii="Arial Narrow" w:hAnsi="Arial Narrow" w:cs="Arial"/>
                                <w:noProof/>
                                <w:sz w:val="18"/>
                                <w:szCs w:val="18"/>
                                <w:lang w:val="en-GB"/>
                              </w:rPr>
                            </w:pPr>
                            <w:r w:rsidRPr="00A6381E">
                              <w:rPr>
                                <w:rFonts w:ascii="Arial Narrow" w:hAnsi="Arial Narrow" w:cs="Arial"/>
                                <w:noProof/>
                                <w:sz w:val="18"/>
                                <w:szCs w:val="18"/>
                                <w:lang w:val="en-GB"/>
                              </w:rPr>
                              <w:t>20-26 W</w:t>
                            </w:r>
                          </w:p>
                        </w:tc>
                        <w:tc>
                          <w:tcPr>
                            <w:tcW w:w="3544" w:type="dxa"/>
                            <w:gridSpan w:val="6"/>
                            <w:shd w:val="clear" w:color="auto" w:fill="auto"/>
                          </w:tcPr>
                          <w:p w:rsidR="00540FEA" w:rsidRPr="00A6381E" w:rsidRDefault="00540FEA" w:rsidP="003374DA">
                            <w:pPr>
                              <w:spacing w:after="0"/>
                              <w:jc w:val="left"/>
                              <w:rPr>
                                <w:rFonts w:ascii="Arial Narrow" w:hAnsi="Arial Narrow" w:cs="Arial"/>
                                <w:noProof/>
                                <w:sz w:val="18"/>
                                <w:szCs w:val="18"/>
                                <w:lang w:val="en-GB"/>
                              </w:rPr>
                            </w:pPr>
                            <w:r>
                              <w:rPr>
                                <w:rFonts w:ascii="Arial Narrow" w:hAnsi="Arial Narrow" w:cs="Arial"/>
                                <w:noProof/>
                                <w:sz w:val="18"/>
                                <w:szCs w:val="18"/>
                                <w:lang w:val="en-GB"/>
                              </w:rPr>
                              <w:t>Street lighting comparison:</w:t>
                            </w:r>
                          </w:p>
                        </w:tc>
                      </w:tr>
                      <w:tr w:rsidR="00540FEA" w:rsidTr="003374DA">
                        <w:trPr>
                          <w:trHeight w:val="552"/>
                        </w:trPr>
                        <w:tc>
                          <w:tcPr>
                            <w:tcW w:w="1101" w:type="dxa"/>
                            <w:vMerge/>
                            <w:shd w:val="clear" w:color="auto" w:fill="auto"/>
                          </w:tcPr>
                          <w:p w:rsidR="00540FEA" w:rsidRPr="00A6381E" w:rsidRDefault="00540FEA" w:rsidP="003374DA">
                            <w:pPr>
                              <w:spacing w:after="0"/>
                              <w:jc w:val="left"/>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134"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1417" w:type="dxa"/>
                            <w:vMerge/>
                            <w:shd w:val="clear" w:color="auto" w:fill="auto"/>
                          </w:tcPr>
                          <w:p w:rsidR="00540FEA" w:rsidRPr="00A6381E" w:rsidRDefault="00540FEA" w:rsidP="003374DA">
                            <w:pPr>
                              <w:spacing w:after="0"/>
                              <w:jc w:val="center"/>
                              <w:rPr>
                                <w:rFonts w:ascii="Arial Narrow" w:hAnsi="Arial Narrow" w:cs="Arial"/>
                                <w:noProof/>
                                <w:sz w:val="18"/>
                                <w:szCs w:val="18"/>
                                <w:lang w:val="fr-FR"/>
                              </w:rPr>
                            </w:pPr>
                          </w:p>
                        </w:tc>
                        <w:tc>
                          <w:tcPr>
                            <w:tcW w:w="1559" w:type="dxa"/>
                            <w:vMerge/>
                            <w:shd w:val="clear" w:color="auto" w:fill="auto"/>
                          </w:tcPr>
                          <w:p w:rsidR="00540FEA" w:rsidRPr="00A6381E" w:rsidRDefault="00540FEA" w:rsidP="003374DA">
                            <w:pPr>
                              <w:spacing w:after="0"/>
                              <w:jc w:val="center"/>
                              <w:rPr>
                                <w:rFonts w:ascii="Arial Narrow" w:hAnsi="Arial Narrow" w:cs="Arial"/>
                                <w:noProof/>
                                <w:sz w:val="18"/>
                                <w:szCs w:val="18"/>
                                <w:lang w:val="en-GB"/>
                              </w:rPr>
                            </w:pPr>
                          </w:p>
                        </w:tc>
                        <w:tc>
                          <w:tcPr>
                            <w:tcW w:w="886" w:type="dxa"/>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MV</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240 W</w:t>
                            </w:r>
                          </w:p>
                        </w:tc>
                        <w:tc>
                          <w:tcPr>
                            <w:tcW w:w="886" w:type="dxa"/>
                            <w:gridSpan w:val="2"/>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HPS</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160 W</w:t>
                            </w:r>
                          </w:p>
                          <w:p w:rsidR="00540FEA" w:rsidRDefault="00540FEA" w:rsidP="003374DA">
                            <w:pPr>
                              <w:spacing w:after="0"/>
                              <w:jc w:val="center"/>
                              <w:rPr>
                                <w:rFonts w:ascii="Arial Narrow" w:hAnsi="Arial Narrow" w:cs="Arial"/>
                                <w:noProof/>
                                <w:sz w:val="18"/>
                                <w:szCs w:val="18"/>
                                <w:lang w:val="en-GB"/>
                              </w:rPr>
                            </w:pPr>
                          </w:p>
                        </w:tc>
                        <w:tc>
                          <w:tcPr>
                            <w:tcW w:w="886" w:type="dxa"/>
                            <w:gridSpan w:val="2"/>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MH</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180 W</w:t>
                            </w:r>
                          </w:p>
                          <w:p w:rsidR="00540FEA" w:rsidRDefault="00540FEA" w:rsidP="003374DA">
                            <w:pPr>
                              <w:spacing w:after="0"/>
                              <w:jc w:val="center"/>
                              <w:rPr>
                                <w:rFonts w:ascii="Arial Narrow" w:hAnsi="Arial Narrow" w:cs="Arial"/>
                                <w:noProof/>
                                <w:sz w:val="18"/>
                                <w:szCs w:val="18"/>
                                <w:lang w:val="en-GB"/>
                              </w:rPr>
                            </w:pPr>
                          </w:p>
                        </w:tc>
                        <w:tc>
                          <w:tcPr>
                            <w:tcW w:w="886" w:type="dxa"/>
                            <w:shd w:val="clear" w:color="auto" w:fill="auto"/>
                          </w:tcPr>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LED</w:t>
                            </w:r>
                          </w:p>
                          <w:p w:rsidR="00540FEA" w:rsidRDefault="00540FEA" w:rsidP="003374DA">
                            <w:pPr>
                              <w:spacing w:after="0"/>
                              <w:jc w:val="center"/>
                              <w:rPr>
                                <w:rFonts w:ascii="Arial Narrow" w:hAnsi="Arial Narrow" w:cs="Arial"/>
                                <w:noProof/>
                                <w:sz w:val="18"/>
                                <w:szCs w:val="18"/>
                                <w:lang w:val="en-GB"/>
                              </w:rPr>
                            </w:pPr>
                            <w:r>
                              <w:rPr>
                                <w:rFonts w:ascii="Arial Narrow" w:hAnsi="Arial Narrow" w:cs="Arial"/>
                                <w:noProof/>
                                <w:sz w:val="18"/>
                                <w:szCs w:val="18"/>
                                <w:lang w:val="en-GB"/>
                              </w:rPr>
                              <w:t>80 W</w:t>
                            </w:r>
                          </w:p>
                        </w:tc>
                      </w:tr>
                    </w:tbl>
                    <w:p w:rsidR="00540FEA" w:rsidRPr="00307D82" w:rsidRDefault="00540FEA" w:rsidP="00297A17">
                      <w:pPr>
                        <w:spacing w:before="60"/>
                        <w:rPr>
                          <w:noProof/>
                          <w:sz w:val="19"/>
                          <w:szCs w:val="19"/>
                        </w:rPr>
                      </w:pPr>
                      <w:r w:rsidRPr="00307D82">
                        <w:rPr>
                          <w:noProof/>
                          <w:sz w:val="19"/>
                          <w:szCs w:val="19"/>
                          <w:lang w:val="en-GB"/>
                        </w:rPr>
                        <w:t>Compact fluorescent lamps were developed in 1970s as a replacement for the less efficient incandescent lamps and could fit in the same volume and the same</w:t>
                      </w:r>
                      <w:r>
                        <w:rPr>
                          <w:noProof/>
                          <w:sz w:val="19"/>
                          <w:szCs w:val="19"/>
                          <w:lang w:val="en-GB"/>
                        </w:rPr>
                        <w:t xml:space="preserve"> fitting</w:t>
                      </w:r>
                      <w:r w:rsidRPr="00307D82">
                        <w:rPr>
                          <w:noProof/>
                          <w:sz w:val="19"/>
                          <w:szCs w:val="19"/>
                          <w:lang w:val="en-GB"/>
                        </w:rPr>
                        <w:t>.</w:t>
                      </w:r>
                      <w:r w:rsidRPr="00307D82">
                        <w:rPr>
                          <w:sz w:val="19"/>
                          <w:szCs w:val="19"/>
                        </w:rPr>
                        <w:t xml:space="preserve"> However,</w:t>
                      </w:r>
                      <w:r>
                        <w:rPr>
                          <w:sz w:val="19"/>
                          <w:szCs w:val="19"/>
                        </w:rPr>
                        <w:t xml:space="preserve"> about 52% </w:t>
                      </w:r>
                      <w:r w:rsidRPr="00307D82">
                        <w:rPr>
                          <w:noProof/>
                          <w:sz w:val="19"/>
                          <w:szCs w:val="19"/>
                          <w:lang w:val="en-GB"/>
                        </w:rPr>
                        <w:t xml:space="preserve">percent of the world's total lighting market sales </w:t>
                      </w:r>
                      <w:r>
                        <w:rPr>
                          <w:noProof/>
                          <w:sz w:val="19"/>
                          <w:szCs w:val="19"/>
                          <w:lang w:val="en-GB"/>
                        </w:rPr>
                        <w:t xml:space="preserve">of 15 billion units </w:t>
                      </w:r>
                      <w:r w:rsidRPr="00307D82">
                        <w:rPr>
                          <w:noProof/>
                          <w:sz w:val="19"/>
                          <w:szCs w:val="19"/>
                          <w:lang w:val="en-GB"/>
                        </w:rPr>
                        <w:t xml:space="preserve">were still incandescent in 2010. </w:t>
                      </w:r>
                      <w:r>
                        <w:rPr>
                          <w:noProof/>
                          <w:sz w:val="19"/>
                          <w:szCs w:val="19"/>
                        </w:rPr>
                        <w:t>Therefore, c</w:t>
                      </w:r>
                      <w:r w:rsidRPr="00307D82">
                        <w:rPr>
                          <w:noProof/>
                          <w:sz w:val="19"/>
                          <w:szCs w:val="19"/>
                        </w:rPr>
                        <w:t xml:space="preserve">ountries around the world have </w:t>
                      </w:r>
                      <w:r>
                        <w:rPr>
                          <w:noProof/>
                          <w:sz w:val="19"/>
                          <w:szCs w:val="19"/>
                        </w:rPr>
                        <w:t>started to</w:t>
                      </w:r>
                      <w:r w:rsidRPr="00307D82">
                        <w:rPr>
                          <w:noProof/>
                          <w:sz w:val="19"/>
                          <w:szCs w:val="19"/>
                        </w:rPr>
                        <w:t xml:space="preserve"> </w:t>
                      </w:r>
                      <w:r>
                        <w:rPr>
                          <w:noProof/>
                          <w:sz w:val="19"/>
                          <w:szCs w:val="19"/>
                        </w:rPr>
                        <w:t>phasing out</w:t>
                      </w:r>
                      <w:r w:rsidRPr="00307D82">
                        <w:rPr>
                          <w:noProof/>
                          <w:sz w:val="19"/>
                          <w:szCs w:val="19"/>
                        </w:rPr>
                        <w:t xml:space="preserve"> inefficient incandescent lamps. Some countries have established effective approaches to eliminate inefficient lamps via mandatory minimum energy performance standards and energy labelling</w:t>
                      </w:r>
                      <w:r>
                        <w:rPr>
                          <w:noProof/>
                          <w:sz w:val="19"/>
                          <w:szCs w:val="19"/>
                        </w:rPr>
                        <w:t xml:space="preserve"> and other policy measures)</w:t>
                      </w:r>
                    </w:p>
                    <w:p w:rsidR="00540FEA" w:rsidRPr="00307D82" w:rsidRDefault="00540FEA" w:rsidP="00F737AD">
                      <w:pPr>
                        <w:shd w:val="clear" w:color="auto" w:fill="FBE4D5"/>
                        <w:spacing w:after="0"/>
                        <w:rPr>
                          <w:noProof/>
                          <w:sz w:val="19"/>
                          <w:szCs w:val="19"/>
                        </w:rPr>
                      </w:pPr>
                      <w:r w:rsidRPr="00032E96">
                        <w:rPr>
                          <w:noProof/>
                          <w:sz w:val="19"/>
                          <w:szCs w:val="19"/>
                        </w:rPr>
                        <w:t>LED lamps have a lifespan and electrical efficiency which are several times greater than incandescent lamps, and are significantly more efficient than most fluorescent lamps</w:t>
                      </w:r>
                      <w:r>
                        <w:rPr>
                          <w:noProof/>
                          <w:sz w:val="19"/>
                          <w:szCs w:val="19"/>
                        </w:rPr>
                        <w:t xml:space="preserve">. </w:t>
                      </w:r>
                      <w:r w:rsidRPr="00032E96">
                        <w:rPr>
                          <w:noProof/>
                          <w:sz w:val="19"/>
                          <w:szCs w:val="19"/>
                        </w:rPr>
                        <w:t>Recent d</w:t>
                      </w:r>
                      <w:r>
                        <w:rPr>
                          <w:noProof/>
                          <w:sz w:val="19"/>
                          <w:szCs w:val="19"/>
                        </w:rPr>
                        <w:t>evelopments have produced LEDs  and new control systems that are suitable for all apllications, in buildings, traffic lights and outdoor lighting. Market share of LEDs was projected by McKinsey in 2016 (of a total of 11 billion units) to reach 22% (1% in 2010), that of CFLs 25% (up from 17% in 2010), linear fluorescent 20% (16% in 2010), HIDs 2% (also 2% in 2010), halogen 22% (20% in 2010 and incandescents down to 9% of global sales (52% in 2010).</w:t>
                      </w:r>
                    </w:p>
                    <w:p w:rsidR="00540FEA" w:rsidRPr="00307D82" w:rsidRDefault="00540FEA" w:rsidP="00F737AD">
                      <w:pPr>
                        <w:shd w:val="clear" w:color="auto" w:fill="FBE4D5"/>
                        <w:spacing w:before="60" w:after="0"/>
                        <w:rPr>
                          <w:noProof/>
                          <w:sz w:val="19"/>
                          <w:szCs w:val="19"/>
                        </w:rPr>
                      </w:pPr>
                      <w:r w:rsidRPr="00307D82">
                        <w:rPr>
                          <w:noProof/>
                          <w:sz w:val="19"/>
                          <w:szCs w:val="19"/>
                        </w:rPr>
                        <w:t xml:space="preserve">Electricity for lighting accounts for approximately 15% of global power consumption and 5% of worldwide greenhouse gas (GHG) emissions. A switch to efficient on-grid and off-grid lighting globally would save more than </w:t>
                      </w:r>
                      <w:r>
                        <w:rPr>
                          <w:noProof/>
                          <w:sz w:val="19"/>
                          <w:szCs w:val="19"/>
                        </w:rPr>
                        <w:t xml:space="preserve">USD </w:t>
                      </w:r>
                      <w:r w:rsidRPr="00307D82">
                        <w:rPr>
                          <w:noProof/>
                          <w:sz w:val="19"/>
                          <w:szCs w:val="19"/>
                        </w:rPr>
                        <w:t>140 billion and reduce CO</w:t>
                      </w:r>
                      <w:r w:rsidRPr="00AA4659">
                        <w:rPr>
                          <w:noProof/>
                          <w:sz w:val="19"/>
                          <w:szCs w:val="19"/>
                          <w:vertAlign w:val="subscript"/>
                        </w:rPr>
                        <w:t xml:space="preserve">2 </w:t>
                      </w:r>
                      <w:r w:rsidRPr="00307D82">
                        <w:rPr>
                          <w:noProof/>
                          <w:sz w:val="19"/>
                          <w:szCs w:val="19"/>
                        </w:rPr>
                        <w:t>emissions by 580 million tonnes every year.</w:t>
                      </w:r>
                      <w:r w:rsidRPr="005A4AFC">
                        <w:t xml:space="preserve"> </w:t>
                      </w:r>
                      <w:r w:rsidRPr="005A4AFC">
                        <w:rPr>
                          <w:noProof/>
                          <w:sz w:val="19"/>
                          <w:szCs w:val="19"/>
                        </w:rPr>
                        <w:t>Worldwide,</w:t>
                      </w:r>
                      <w:r>
                        <w:rPr>
                          <w:noProof/>
                          <w:sz w:val="19"/>
                          <w:szCs w:val="19"/>
                        </w:rPr>
                        <w:t xml:space="preserve"> electricity accounts for about 15% of power consumption (and 5% of global greenhouse gas emissions). A reduction to the more efficient lighting would reduce global power demand for lighting by 30-40%.</w:t>
                      </w:r>
                      <w:r w:rsidRPr="005A4AFC">
                        <w:rPr>
                          <w:noProof/>
                          <w:sz w:val="19"/>
                          <w:szCs w:val="19"/>
                        </w:rPr>
                        <w:t xml:space="preserve"> </w:t>
                      </w:r>
                      <w:r>
                        <w:rPr>
                          <w:noProof/>
                          <w:sz w:val="19"/>
                          <w:szCs w:val="19"/>
                        </w:rPr>
                        <w:t xml:space="preserve">If countries would follow the integrated efficiency policy </w:t>
                      </w:r>
                      <w:r w:rsidRPr="00F737AD">
                        <w:rPr>
                          <w:noProof/>
                          <w:sz w:val="19"/>
                          <w:szCs w:val="19"/>
                          <w:shd w:val="clear" w:color="auto" w:fill="FBE4D5"/>
                        </w:rPr>
                        <w:t xml:space="preserve">approach, </w:t>
                      </w:r>
                      <w:r>
                        <w:rPr>
                          <w:noProof/>
                          <w:sz w:val="19"/>
                          <w:szCs w:val="19"/>
                        </w:rPr>
                        <w:t xml:space="preserve">the energy savings could reach 640,000 GWh in 2030. This is the equivalent of USD 360 billion in avoided investments in 290 large coal-fired plants, or, the savings would be enough to provide 300 million non-connected households with electric energy (assuming a consumption of 2000 kWh per household per year). </w:t>
                      </w:r>
                    </w:p>
                    <w:p w:rsidR="00540FEA" w:rsidRPr="00307D82" w:rsidRDefault="00540FEA" w:rsidP="00F737AD">
                      <w:pPr>
                        <w:shd w:val="clear" w:color="auto" w:fill="FBE4D5"/>
                        <w:spacing w:after="0"/>
                        <w:rPr>
                          <w:noProof/>
                          <w:sz w:val="19"/>
                          <w:szCs w:val="19"/>
                        </w:rPr>
                      </w:pPr>
                    </w:p>
                    <w:p w:rsidR="00540FEA" w:rsidRPr="00030AD6" w:rsidRDefault="00540FEA" w:rsidP="00297A17">
                      <w:pPr>
                        <w:rPr>
                          <w:noProof/>
                          <w:lang w:val="en-GB"/>
                        </w:rPr>
                      </w:pPr>
                      <w:r w:rsidRPr="00D73253">
                        <w:rPr>
                          <w:i/>
                          <w:noProof/>
                          <w:sz w:val="18"/>
                          <w:lang w:val="en-GB"/>
                        </w:rPr>
                        <w:t>Source: Accelerating t</w:t>
                      </w:r>
                      <w:r>
                        <w:rPr>
                          <w:i/>
                          <w:noProof/>
                          <w:sz w:val="18"/>
                          <w:lang w:val="en-GB"/>
                        </w:rPr>
                        <w:t xml:space="preserve">he global adoption of energy-efficient lighting, </w:t>
                      </w:r>
                      <w:r>
                        <w:rPr>
                          <w:noProof/>
                          <w:sz w:val="18"/>
                          <w:lang w:val="en-GB"/>
                        </w:rPr>
                        <w:t>UN Environment-GEF ‘United for Energy Effciiency (2016)</w:t>
                      </w:r>
                      <w:r w:rsidRPr="00D73253">
                        <w:rPr>
                          <w:i/>
                          <w:noProof/>
                          <w:sz w:val="18"/>
                          <w:lang w:val="en-GB"/>
                        </w:rPr>
                        <w:t xml:space="preserve"> ; BC Hydro (</w:t>
                      </w:r>
                      <w:r>
                        <w:rPr>
                          <w:noProof/>
                          <w:sz w:val="18"/>
                          <w:lang w:val="en-GB"/>
                        </w:rPr>
                        <w:t>www.bchydro.c</w:t>
                      </w:r>
                      <w:r w:rsidRPr="00D73253">
                        <w:rPr>
                          <w:noProof/>
                          <w:sz w:val="18"/>
                          <w:lang w:val="en-GB"/>
                        </w:rPr>
                        <w:t>om</w:t>
                      </w:r>
                      <w:r>
                        <w:rPr>
                          <w:noProof/>
                          <w:sz w:val="18"/>
                          <w:lang w:val="en-GB"/>
                        </w:rPr>
                        <w:t>)</w:t>
                      </w:r>
                      <w:r w:rsidRPr="00D73253">
                        <w:rPr>
                          <w:i/>
                          <w:noProof/>
                          <w:sz w:val="18"/>
                          <w:lang w:val="en-GB"/>
                        </w:rPr>
                        <w:t xml:space="preserve">;  </w:t>
                      </w:r>
                      <w:r>
                        <w:rPr>
                          <w:i/>
                          <w:noProof/>
                          <w:sz w:val="18"/>
                          <w:lang w:val="en-GB"/>
                        </w:rPr>
                        <w:t xml:space="preserve">Lighting the way: Perspectives on the global market, </w:t>
                      </w:r>
                      <w:r>
                        <w:rPr>
                          <w:noProof/>
                          <w:sz w:val="18"/>
                          <w:lang w:val="en-GB"/>
                        </w:rPr>
                        <w:t>McKinsey (2011). CRI: colour rendering index</w:t>
                      </w:r>
                    </w:p>
                    <w:p w:rsidR="00540FEA" w:rsidRDefault="00540FEA" w:rsidP="00297A17">
                      <w:pPr>
                        <w:rPr>
                          <w:noProof/>
                        </w:rPr>
                      </w:pPr>
                    </w:p>
                  </w:txbxContent>
                </v:textbox>
                <w10:wrap type="topAndBottom" anchorx="page" anchory="page"/>
              </v:shape>
            </w:pict>
          </mc:Fallback>
        </mc:AlternateContent>
      </w:r>
    </w:p>
    <w:p w:rsidR="002D2AAF" w:rsidRPr="0057545E" w:rsidRDefault="002D2AAF" w:rsidP="00297A17">
      <w:pPr>
        <w:spacing w:after="0"/>
        <w:rPr>
          <w:lang w:val="en-GB" w:eastAsia="en-GB"/>
        </w:rPr>
      </w:pPr>
    </w:p>
    <w:p w:rsidR="007F0998" w:rsidRPr="00666B27" w:rsidRDefault="003A2690" w:rsidP="007F0998">
      <w:pPr>
        <w:spacing w:after="0"/>
        <w:rPr>
          <w:lang w:val="en-GB" w:eastAsia="en-GB"/>
        </w:rPr>
      </w:pPr>
      <w:r>
        <w:rPr>
          <w:noProof/>
        </w:rPr>
        <mc:AlternateContent>
          <mc:Choice Requires="wps">
            <w:drawing>
              <wp:anchor distT="45720" distB="107950" distL="144145" distR="144145" simplePos="0" relativeHeight="251625472" behindDoc="1" locked="0" layoutInCell="1" allowOverlap="1">
                <wp:simplePos x="0" y="0"/>
                <wp:positionH relativeFrom="page">
                  <wp:posOffset>3236595</wp:posOffset>
                </wp:positionH>
                <wp:positionV relativeFrom="page">
                  <wp:posOffset>1076960</wp:posOffset>
                </wp:positionV>
                <wp:extent cx="3927475" cy="4400550"/>
                <wp:effectExtent l="0" t="0" r="0" b="0"/>
                <wp:wrapSquare wrapText="bothSides"/>
                <wp:docPr id="238"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4400550"/>
                        </a:xfrm>
                        <a:prstGeom prst="rect">
                          <a:avLst/>
                        </a:prstGeom>
                        <a:solidFill>
                          <a:srgbClr val="ED7D31">
                            <a:lumMod val="20000"/>
                            <a:lumOff val="80000"/>
                          </a:srgbClr>
                        </a:solidFill>
                        <a:ln w="15875">
                          <a:noFill/>
                        </a:ln>
                      </wps:spPr>
                      <wps:txbx>
                        <w:txbxContent>
                          <w:p w:rsidR="00540FEA" w:rsidRDefault="00540FEA" w:rsidP="00297A17">
                            <w:pPr>
                              <w:pStyle w:val="Caption"/>
                              <w:ind w:left="709" w:hanging="709"/>
                              <w:rPr>
                                <w:rFonts w:ascii="Arial" w:hAnsi="Arial" w:cs="Arial"/>
                                <w:color w:val="2E74B5"/>
                                <w:sz w:val="18"/>
                              </w:rPr>
                            </w:pPr>
                            <w:bookmarkStart w:id="249" w:name="_Ref495437930"/>
                            <w:bookmarkStart w:id="250" w:name="_Toc496967025"/>
                            <w:bookmarkStart w:id="251" w:name="_Toc17984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bookmarkEnd w:id="249"/>
                            <w:r>
                              <w:rPr>
                                <w:rFonts w:ascii="Arial" w:hAnsi="Arial" w:cs="Arial"/>
                                <w:color w:val="2E74B5"/>
                                <w:sz w:val="18"/>
                              </w:rPr>
                              <w:tab/>
                              <w:t>Estimates of annual lamps sales and installed stock in 2014</w:t>
                            </w:r>
                            <w:bookmarkEnd w:id="250"/>
                            <w:bookmarkEnd w:id="251"/>
                          </w:p>
                          <w:p w:rsidR="00540FEA" w:rsidRDefault="00540FEA" w:rsidP="00297A17">
                            <w:pPr>
                              <w:spacing w:after="0"/>
                            </w:pPr>
                          </w:p>
                          <w:p w:rsidR="00540FEA" w:rsidRPr="00F54B26" w:rsidRDefault="00540FEA" w:rsidP="00297A17">
                            <w:pPr>
                              <w:spacing w:after="0"/>
                              <w:rPr>
                                <w:sz w:val="19"/>
                                <w:szCs w:val="19"/>
                              </w:rPr>
                            </w:pPr>
                            <w:r>
                              <w:rPr>
                                <w:sz w:val="19"/>
                                <w:szCs w:val="19"/>
                              </w:rPr>
                              <w:t>Stock (installed lamps)</w:t>
                            </w:r>
                          </w:p>
                          <w:p w:rsidR="00540FEA" w:rsidRDefault="00540FEA" w:rsidP="00297A17">
                            <w:pPr>
                              <w:tabs>
                                <w:tab w:val="left" w:pos="284"/>
                              </w:tabs>
                              <w:spacing w:after="0"/>
                              <w:rPr>
                                <w:sz w:val="18"/>
                              </w:rPr>
                            </w:pPr>
                            <w:r>
                              <w:object w:dxaOrig="6287" w:dyaOrig="2928">
                                <v:shape id="_x0000_i1031" type="#_x0000_t75" style="width:302.4pt;height:136.75pt" o:ole="">
                                  <v:imagedata r:id="rId95" o:title=""/>
                                </v:shape>
                                <o:OLEObject Type="Embed" ProgID="Excel.Sheet.12" ShapeID="_x0000_i1031" DrawAspect="Content" ObjectID="_1641123699" r:id="rId96"/>
                              </w:object>
                            </w:r>
                          </w:p>
                          <w:p w:rsidR="00540FEA" w:rsidRDefault="00540FEA" w:rsidP="00297A17">
                            <w:pPr>
                              <w:spacing w:after="0"/>
                              <w:rPr>
                                <w:noProof/>
                                <w:sz w:val="18"/>
                              </w:rPr>
                            </w:pPr>
                            <w:r>
                              <w:rPr>
                                <w:noProof/>
                                <w:sz w:val="18"/>
                              </w:rPr>
                              <w:t>Annual lighting market</w:t>
                            </w:r>
                          </w:p>
                          <w:p w:rsidR="00540FEA" w:rsidRDefault="00540FEA" w:rsidP="00297A17">
                            <w:pPr>
                              <w:spacing w:after="0"/>
                              <w:rPr>
                                <w:i/>
                                <w:noProof/>
                                <w:sz w:val="18"/>
                              </w:rPr>
                            </w:pPr>
                            <w:r>
                              <w:rPr>
                                <w:noProof/>
                                <w:sz w:val="18"/>
                              </w:rPr>
                              <w:object w:dxaOrig="6287" w:dyaOrig="2928">
                                <v:shape id="_x0000_i1033" type="#_x0000_t75" style="width:302.4pt;height:136.75pt">
                                  <v:imagedata r:id="rId97" o:title=""/>
                                </v:shape>
                                <o:OLEObject Type="Embed" ProgID="Excel.Sheet.12" ShapeID="_x0000_i1033" DrawAspect="Content" ObjectID="_1641123700" r:id="rId98"/>
                              </w:object>
                            </w:r>
                            <w:r>
                              <w:rPr>
                                <w:i/>
                                <w:noProof/>
                                <w:sz w:val="18"/>
                              </w:rPr>
                              <w:t>Source:</w:t>
                            </w:r>
                          </w:p>
                          <w:p w:rsidR="00540FEA" w:rsidRPr="00F54B26" w:rsidRDefault="00540FEA" w:rsidP="00297A17">
                            <w:pPr>
                              <w:spacing w:after="0"/>
                              <w:rPr>
                                <w:noProof/>
                                <w:sz w:val="18"/>
                              </w:rPr>
                            </w:pPr>
                            <w:bookmarkStart w:id="252" w:name="OLE_LINK1"/>
                            <w:r>
                              <w:rPr>
                                <w:noProof/>
                                <w:sz w:val="18"/>
                              </w:rPr>
                              <w:t>Based on UN Environment-GEF</w:t>
                            </w:r>
                            <w:r w:rsidRPr="00F54B26">
                              <w:rPr>
                                <w:i/>
                                <w:noProof/>
                                <w:sz w:val="18"/>
                              </w:rPr>
                              <w:t xml:space="preserve"> South Africa Country Assessment</w:t>
                            </w:r>
                            <w:r>
                              <w:rPr>
                                <w:noProof/>
                                <w:sz w:val="18"/>
                              </w:rPr>
                              <w:t xml:space="preserve"> (2016)</w:t>
                            </w:r>
                            <w:bookmarkEnd w:id="252"/>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noProof/>
                                <w:sz w:val="18"/>
                              </w:rPr>
                            </w:pPr>
                            <w:r w:rsidRPr="00A21E05">
                              <w:rPr>
                                <w:i/>
                                <w:noProof/>
                                <w:sz w:val="18"/>
                              </w:rPr>
                              <w:t>Source:</w:t>
                            </w:r>
                            <w:r>
                              <w:rPr>
                                <w:i/>
                                <w:noProof/>
                                <w:sz w:val="18"/>
                              </w:rPr>
                              <w:t xml:space="preserve"> </w:t>
                            </w:r>
                            <w:r>
                              <w:rPr>
                                <w:noProof/>
                                <w:sz w:val="18"/>
                              </w:rPr>
                              <w:t>DOE (2017).</w:t>
                            </w:r>
                          </w:p>
                          <w:p w:rsidR="00540FEA" w:rsidRDefault="00540FEA" w:rsidP="00297A17">
                            <w:pPr>
                              <w:spacing w:after="0"/>
                              <w:rPr>
                                <w:noProof/>
                                <w:sz w:val="18"/>
                              </w:rPr>
                            </w:pPr>
                          </w:p>
                          <w:p w:rsidR="00540FEA" w:rsidRPr="00E376AE" w:rsidRDefault="00540FEA"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1" o:spid="_x0000_s1040" type="#_x0000_t202" style="position:absolute;left:0;text-align:left;margin-left:254.85pt;margin-top:84.8pt;width:309.25pt;height:346.5pt;z-index:-251691008;visibility:visible;mso-wrap-style:square;mso-width-percent:0;mso-height-percent:0;mso-wrap-distance-left:11.35pt;mso-wrap-distance-top:3.6pt;mso-wrap-distance-right:11.35pt;mso-wrap-distance-bottom:8.5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" fillcolor="#fbe5d6" stroked="f" strokeweight="1.25pt">
                <v:textbox>
                  <w:txbxContent>
                    <w:p w:rsidR="00540FEA" w:rsidRDefault="00540FEA" w:rsidP="00297A17">
                      <w:pPr>
                        <w:pStyle w:val="Caption"/>
                        <w:ind w:left="709" w:hanging="709"/>
                        <w:rPr>
                          <w:rFonts w:ascii="Arial" w:hAnsi="Arial" w:cs="Arial"/>
                          <w:color w:val="2E74B5"/>
                          <w:sz w:val="18"/>
                        </w:rPr>
                      </w:pPr>
                      <w:bookmarkStart w:id="283" w:name="_Ref495437930"/>
                      <w:bookmarkStart w:id="284" w:name="_Toc496967025"/>
                      <w:bookmarkStart w:id="285" w:name="_Toc17984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25</w:t>
                      </w:r>
                      <w:r w:rsidRPr="00A21E05">
                        <w:rPr>
                          <w:rFonts w:ascii="Arial" w:hAnsi="Arial" w:cs="Arial"/>
                          <w:color w:val="2E74B5"/>
                          <w:sz w:val="18"/>
                        </w:rPr>
                        <w:fldChar w:fldCharType="end"/>
                      </w:r>
                      <w:bookmarkEnd w:id="283"/>
                      <w:r>
                        <w:rPr>
                          <w:rFonts w:ascii="Arial" w:hAnsi="Arial" w:cs="Arial"/>
                          <w:color w:val="2E74B5"/>
                          <w:sz w:val="18"/>
                        </w:rPr>
                        <w:tab/>
                        <w:t>Estimates of annual lamps sales and installed stock in 2014</w:t>
                      </w:r>
                      <w:bookmarkEnd w:id="284"/>
                      <w:bookmarkEnd w:id="285"/>
                    </w:p>
                    <w:p w:rsidR="00540FEA" w:rsidRDefault="00540FEA" w:rsidP="00297A17">
                      <w:pPr>
                        <w:spacing w:after="0"/>
                      </w:pPr>
                    </w:p>
                    <w:p w:rsidR="00540FEA" w:rsidRPr="00F54B26" w:rsidRDefault="00540FEA" w:rsidP="00297A17">
                      <w:pPr>
                        <w:spacing w:after="0"/>
                        <w:rPr>
                          <w:sz w:val="19"/>
                          <w:szCs w:val="19"/>
                        </w:rPr>
                      </w:pPr>
                      <w:r>
                        <w:rPr>
                          <w:sz w:val="19"/>
                          <w:szCs w:val="19"/>
                        </w:rPr>
                        <w:t>Stock (installed lamps)</w:t>
                      </w:r>
                    </w:p>
                    <w:p w:rsidR="00540FEA" w:rsidRDefault="00540FEA" w:rsidP="00297A17">
                      <w:pPr>
                        <w:tabs>
                          <w:tab w:val="left" w:pos="284"/>
                        </w:tabs>
                        <w:spacing w:after="0"/>
                        <w:rPr>
                          <w:sz w:val="18"/>
                        </w:rPr>
                      </w:pPr>
                      <w:r>
                        <w:object w:dxaOrig="6287" w:dyaOrig="2928">
                          <v:shape id="_x0000_i1031" type="#_x0000_t75" style="width:302.4pt;height:136.75pt" o:ole="">
                            <v:imagedata r:id="rId99" o:title=""/>
                          </v:shape>
                          <o:OLEObject Type="Embed" ProgID="Excel.Sheet.12" ShapeID="_x0000_i1031" DrawAspect="Content" ObjectID="_1637756604" r:id="rId100"/>
                        </w:object>
                      </w:r>
                    </w:p>
                    <w:p w:rsidR="00540FEA" w:rsidRDefault="00540FEA" w:rsidP="00297A17">
                      <w:pPr>
                        <w:spacing w:after="0"/>
                        <w:rPr>
                          <w:noProof/>
                          <w:sz w:val="18"/>
                        </w:rPr>
                      </w:pPr>
                      <w:r>
                        <w:rPr>
                          <w:noProof/>
                          <w:sz w:val="18"/>
                        </w:rPr>
                        <w:t>Annual lighting market</w:t>
                      </w:r>
                    </w:p>
                    <w:p w:rsidR="00540FEA" w:rsidRDefault="00540FEA" w:rsidP="00297A17">
                      <w:pPr>
                        <w:spacing w:after="0"/>
                        <w:rPr>
                          <w:i/>
                          <w:noProof/>
                          <w:sz w:val="18"/>
                        </w:rPr>
                      </w:pPr>
                      <w:r>
                        <w:rPr>
                          <w:noProof/>
                          <w:sz w:val="18"/>
                        </w:rPr>
                        <w:object w:dxaOrig="6287" w:dyaOrig="2928">
                          <v:shape id="_x0000_i1033" type="#_x0000_t75" style="width:302.4pt;height:136.75pt">
                            <v:imagedata r:id="rId101" o:title=""/>
                          </v:shape>
                          <o:OLEObject Type="Embed" ProgID="Excel.Sheet.12" ShapeID="_x0000_i1033" DrawAspect="Content" ObjectID="_1637756605" r:id="rId102"/>
                        </w:object>
                      </w:r>
                      <w:r>
                        <w:rPr>
                          <w:i/>
                          <w:noProof/>
                          <w:sz w:val="18"/>
                        </w:rPr>
                        <w:t>Source:</w:t>
                      </w:r>
                    </w:p>
                    <w:p w:rsidR="00540FEA" w:rsidRPr="00F54B26" w:rsidRDefault="00540FEA" w:rsidP="00297A17">
                      <w:pPr>
                        <w:spacing w:after="0"/>
                        <w:rPr>
                          <w:noProof/>
                          <w:sz w:val="18"/>
                        </w:rPr>
                      </w:pPr>
                      <w:bookmarkStart w:id="286" w:name="OLE_LINK1"/>
                      <w:r>
                        <w:rPr>
                          <w:noProof/>
                          <w:sz w:val="18"/>
                        </w:rPr>
                        <w:t>Based on UN Environment-GEF</w:t>
                      </w:r>
                      <w:r w:rsidRPr="00F54B26">
                        <w:rPr>
                          <w:i/>
                          <w:noProof/>
                          <w:sz w:val="18"/>
                        </w:rPr>
                        <w:t xml:space="preserve"> South Africa Country Assessment</w:t>
                      </w:r>
                      <w:r>
                        <w:rPr>
                          <w:noProof/>
                          <w:sz w:val="18"/>
                        </w:rPr>
                        <w:t xml:space="preserve"> (2016)</w:t>
                      </w:r>
                      <w:bookmarkEnd w:id="286"/>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i/>
                          <w:noProof/>
                          <w:sz w:val="18"/>
                        </w:rPr>
                      </w:pPr>
                    </w:p>
                    <w:p w:rsidR="00540FEA" w:rsidRDefault="00540FEA" w:rsidP="00297A17">
                      <w:pPr>
                        <w:spacing w:after="0"/>
                        <w:rPr>
                          <w:noProof/>
                          <w:sz w:val="18"/>
                        </w:rPr>
                      </w:pPr>
                      <w:r w:rsidRPr="00A21E05">
                        <w:rPr>
                          <w:i/>
                          <w:noProof/>
                          <w:sz w:val="18"/>
                        </w:rPr>
                        <w:t>Source:</w:t>
                      </w:r>
                      <w:r>
                        <w:rPr>
                          <w:i/>
                          <w:noProof/>
                          <w:sz w:val="18"/>
                        </w:rPr>
                        <w:t xml:space="preserve"> </w:t>
                      </w:r>
                      <w:r>
                        <w:rPr>
                          <w:noProof/>
                          <w:sz w:val="18"/>
                        </w:rPr>
                        <w:t>DOE (2017).</w:t>
                      </w:r>
                    </w:p>
                    <w:p w:rsidR="00540FEA" w:rsidRDefault="00540FEA" w:rsidP="00297A17">
                      <w:pPr>
                        <w:spacing w:after="0"/>
                        <w:rPr>
                          <w:noProof/>
                          <w:sz w:val="18"/>
                        </w:rPr>
                      </w:pPr>
                    </w:p>
                    <w:p w:rsidR="00540FEA" w:rsidRPr="00E376AE" w:rsidRDefault="00540FEA" w:rsidP="00297A17">
                      <w:pPr>
                        <w:rPr>
                          <w:sz w:val="18"/>
                        </w:rPr>
                      </w:pPr>
                    </w:p>
                  </w:txbxContent>
                </v:textbox>
                <w10:wrap type="square" anchorx="page" anchory="page"/>
              </v:shape>
            </w:pict>
          </mc:Fallback>
        </mc:AlternateContent>
      </w:r>
      <w:r w:rsidR="007F0998" w:rsidRPr="0057545E">
        <w:rPr>
          <w:lang w:val="en-GB" w:eastAsia="en-GB"/>
        </w:rPr>
        <w:t xml:space="preserve">The same study also provides estimates on the stock of residential lamps in South Africa, based on the number of rooms per households in South Africa, putting the total stock of installed lamps at about 62-80 million (there are 79,084,776 rooms, according </w:t>
      </w:r>
      <w:r w:rsidR="007F0998" w:rsidRPr="00353542">
        <w:rPr>
          <w:lang w:val="en-GB" w:eastAsia="en-GB"/>
        </w:rPr>
        <w:t>to 2012 General Household Survey). Assuming on</w:t>
      </w:r>
      <w:r w:rsidR="007F0998" w:rsidRPr="003B7D62">
        <w:rPr>
          <w:lang w:val="en-GB" w:eastAsia="en-GB"/>
        </w:rPr>
        <w:t>e lamp per room, this is likely to be an underestimate, as many rooms (even in lower-income households) will have more lamps than just one. On the other end of the range, there is the estimate by the UN Environment-GEF U4E/</w:t>
      </w:r>
      <w:proofErr w:type="spellStart"/>
      <w:r w:rsidR="007F0998" w:rsidRPr="003B7D62">
        <w:rPr>
          <w:lang w:val="en-GB" w:eastAsia="en-GB"/>
        </w:rPr>
        <w:t>en.lighten</w:t>
      </w:r>
      <w:proofErr w:type="spellEnd"/>
      <w:r w:rsidR="007F0998" w:rsidRPr="003B7D62">
        <w:rPr>
          <w:lang w:val="en-GB" w:eastAsia="en-GB"/>
        </w:rPr>
        <w:t xml:space="preserve"> programme (see </w:t>
      </w:r>
      <w:r w:rsidR="007F0998" w:rsidRPr="00353542">
        <w:rPr>
          <w:color w:val="0070C0"/>
          <w:lang w:val="en-GB" w:eastAsia="en-GB"/>
        </w:rPr>
        <w:fldChar w:fldCharType="begin"/>
      </w:r>
      <w:r w:rsidR="007F0998" w:rsidRPr="00666B27">
        <w:rPr>
          <w:color w:val="0070C0"/>
          <w:lang w:val="en-GB" w:eastAsia="en-GB"/>
        </w:rPr>
        <w:instrText xml:space="preserve"> REF _Ref495437930 \h  \* MERGEFORMAT </w:instrText>
      </w:r>
      <w:r w:rsidR="007F0998" w:rsidRPr="00353542">
        <w:rPr>
          <w:color w:val="0070C0"/>
          <w:lang w:val="en-GB" w:eastAsia="en-GB"/>
        </w:rPr>
      </w:r>
      <w:r w:rsidR="007F0998" w:rsidRPr="00353542">
        <w:rPr>
          <w:color w:val="0070C0"/>
          <w:lang w:val="en-GB" w:eastAsia="en-GB"/>
        </w:rPr>
        <w:fldChar w:fldCharType="separate"/>
      </w:r>
      <w:r w:rsidR="00BB1E93" w:rsidRPr="00BB1E93">
        <w:rPr>
          <w:rFonts w:ascii="Arial" w:hAnsi="Arial" w:cs="Arial"/>
          <w:color w:val="0070C0"/>
          <w:sz w:val="18"/>
          <w:lang w:val="en-GB"/>
        </w:rPr>
        <w:t xml:space="preserve">Box </w:t>
      </w:r>
      <w:r w:rsidR="00BB1E93" w:rsidRPr="00BB1E93">
        <w:rPr>
          <w:rFonts w:ascii="Arial" w:hAnsi="Arial" w:cs="Arial"/>
          <w:noProof/>
          <w:color w:val="0070C0"/>
          <w:sz w:val="18"/>
          <w:lang w:val="en-GB"/>
        </w:rPr>
        <w:t>25</w:t>
      </w:r>
      <w:r w:rsidR="007F0998" w:rsidRPr="00353542">
        <w:rPr>
          <w:color w:val="0070C0"/>
          <w:lang w:val="en-GB" w:eastAsia="en-GB"/>
        </w:rPr>
        <w:fldChar w:fldCharType="end"/>
      </w:r>
      <w:r w:rsidR="007F0998" w:rsidRPr="0057545E">
        <w:rPr>
          <w:lang w:val="en-GB" w:eastAsia="en-GB"/>
        </w:rPr>
        <w:t xml:space="preserve">) of about 248 million lamps in households (implying 4 lamps per room per household on average, which </w:t>
      </w:r>
      <w:r w:rsidR="007F0998" w:rsidRPr="00353542">
        <w:rPr>
          <w:lang w:val="en-GB" w:eastAsia="en-GB"/>
        </w:rPr>
        <w:t>seems more plausible). In the remaining of this report, we will use the</w:t>
      </w:r>
      <w:r w:rsidR="00BF4F86" w:rsidRPr="003B7D62">
        <w:rPr>
          <w:lang w:val="en-GB" w:eastAsia="en-GB"/>
        </w:rPr>
        <w:t xml:space="preserve"> U4E </w:t>
      </w:r>
      <w:r w:rsidR="007F0998" w:rsidRPr="004722F0">
        <w:rPr>
          <w:lang w:val="en-GB" w:eastAsia="en-GB"/>
        </w:rPr>
        <w:t xml:space="preserve">data as an estimate for annual sales </w:t>
      </w:r>
      <w:r w:rsidR="007F0998" w:rsidRPr="00666B27">
        <w:rPr>
          <w:lang w:val="en-GB" w:eastAsia="en-GB"/>
        </w:rPr>
        <w:t xml:space="preserve">and installed stock, also because it encompasses not only households but also </w:t>
      </w:r>
      <w:r w:rsidR="00BF4F86" w:rsidRPr="00666B27">
        <w:rPr>
          <w:lang w:val="en-GB" w:eastAsia="en-GB"/>
        </w:rPr>
        <w:t>sectors (</w:t>
      </w:r>
      <w:r w:rsidR="007F0998" w:rsidRPr="00666B27">
        <w:rPr>
          <w:lang w:val="en-GB" w:eastAsia="en-GB"/>
        </w:rPr>
        <w:t xml:space="preserve">public, commercial and </w:t>
      </w:r>
      <w:r w:rsidR="007F0998" w:rsidRPr="00666B27">
        <w:rPr>
          <w:noProof/>
          <w:lang w:val="en-GB" w:eastAsia="en-GB"/>
        </w:rPr>
        <w:t>industr</w:t>
      </w:r>
      <w:r w:rsidR="00C45283" w:rsidRPr="00666B27">
        <w:rPr>
          <w:noProof/>
          <w:lang w:val="en-GB" w:eastAsia="en-GB"/>
        </w:rPr>
        <w:t>ial</w:t>
      </w:r>
      <w:r w:rsidR="007F0998" w:rsidRPr="00666B27">
        <w:rPr>
          <w:lang w:val="en-GB" w:eastAsia="en-GB"/>
        </w:rPr>
        <w:t>)</w:t>
      </w:r>
      <w:r w:rsidR="00BF4F86" w:rsidRPr="00666B27">
        <w:rPr>
          <w:lang w:val="en-GB" w:eastAsia="en-GB"/>
        </w:rPr>
        <w:t>.</w:t>
      </w:r>
    </w:p>
    <w:p w:rsidR="007F0998" w:rsidRPr="00666B27" w:rsidRDefault="007F0998" w:rsidP="007F0998">
      <w:pPr>
        <w:spacing w:after="0"/>
        <w:rPr>
          <w:lang w:val="en-GB" w:eastAsia="en-GB"/>
        </w:rPr>
      </w:pPr>
    </w:p>
    <w:p w:rsidR="007F0998" w:rsidRPr="00353542" w:rsidRDefault="007F0998" w:rsidP="007F0998">
      <w:pPr>
        <w:spacing w:after="0"/>
        <w:rPr>
          <w:lang w:val="en-GB" w:eastAsia="en-GB"/>
        </w:rPr>
      </w:pPr>
      <w:r w:rsidRPr="00666B27">
        <w:rPr>
          <w:lang w:val="en-GB" w:eastAsia="en-GB"/>
        </w:rPr>
        <w:t>Historically, most lamps in buildings were incandescent lamps (often 60 W or 100 W) or linear fluorescent lamps. As part of its emergency ‘energy efficiency and demand-side management programme’ (EE-DSM), the utility Eskom started to exchange incandescent bulbs in homes for more energy-efficient compact fluorescent lamps (CFLs) in 2008. By January 2017, more than 65 million CFLs have been distributed. The Eskom CFL roll-out programme has been one of the biggest energy-saving initiatives of its kind in the world. Eskom-appointed installers going door to door in designated areas to replace (a) energy intensive incandescent light bulbs with new energy saving CFL (Compact Fluorescent Lamps) and (b) spent CFLs with new CFLs in homes across South Africa. As a result, CFL has become synonymous to ‘energy saving bulb’ or just ‘light’.</w:t>
      </w:r>
      <w:r w:rsidRPr="00666B27">
        <w:rPr>
          <w:lang w:val="en-GB"/>
        </w:rPr>
        <w:t xml:space="preserve"> </w:t>
      </w:r>
      <w:r w:rsidRPr="00666B27">
        <w:rPr>
          <w:lang w:val="en-GB" w:eastAsia="en-GB"/>
        </w:rPr>
        <w:t>The door-to-door programme was targeted mainly at lower-income groups</w:t>
      </w:r>
      <w:r w:rsidRPr="0057545E">
        <w:rPr>
          <w:rStyle w:val="FootnoteReference"/>
          <w:lang w:val="en-GB" w:eastAsia="en-GB"/>
        </w:rPr>
        <w:footnoteReference w:id="41"/>
      </w:r>
      <w:r w:rsidRPr="0057545E">
        <w:rPr>
          <w:lang w:val="en-GB" w:eastAsia="en-GB"/>
        </w:rPr>
        <w:t xml:space="preserve">. </w:t>
      </w:r>
    </w:p>
    <w:p w:rsidR="007F0998" w:rsidRPr="003B7D62" w:rsidRDefault="007F0998" w:rsidP="00297A17">
      <w:pPr>
        <w:spacing w:after="0"/>
        <w:rPr>
          <w:lang w:val="en-GB" w:eastAsia="en-GB"/>
        </w:rPr>
      </w:pPr>
    </w:p>
    <w:p w:rsidR="001F1F0B" w:rsidRPr="00353542" w:rsidRDefault="00297A17" w:rsidP="00297A17">
      <w:pPr>
        <w:spacing w:after="0"/>
        <w:rPr>
          <w:lang w:val="en-GB" w:eastAsia="en-GB"/>
        </w:rPr>
      </w:pPr>
      <w:r w:rsidRPr="004722F0">
        <w:rPr>
          <w:lang w:val="en-GB" w:eastAsia="en-GB"/>
        </w:rPr>
        <w:t xml:space="preserve"> In South Africa, the sale of incandescent bulbs (of 40 W or abo</w:t>
      </w:r>
      <w:r w:rsidRPr="00666B27">
        <w:rPr>
          <w:lang w:val="en-GB" w:eastAsia="en-GB"/>
        </w:rPr>
        <w:t xml:space="preserve">ve) has effectively been banned. However, this also has </w:t>
      </w:r>
      <w:r w:rsidRPr="00666B27">
        <w:rPr>
          <w:noProof/>
          <w:lang w:val="en-GB" w:eastAsia="en-GB"/>
        </w:rPr>
        <w:t>favoured</w:t>
      </w:r>
      <w:r w:rsidRPr="00666B27">
        <w:rPr>
          <w:lang w:val="en-GB" w:eastAsia="en-GB"/>
        </w:rPr>
        <w:t xml:space="preserve"> the sales of new halogen lamps (these operate very similar to incandescent bulbs and more efficient, but less so than CFLs) that are sold at prices below that of CFLs (see </w:t>
      </w:r>
      <w:r w:rsidR="00CD3228" w:rsidRPr="00353542">
        <w:rPr>
          <w:color w:val="0070C0"/>
          <w:lang w:val="en-GB" w:eastAsia="en-GB"/>
        </w:rPr>
        <w:fldChar w:fldCharType="begin"/>
      </w:r>
      <w:r w:rsidR="00CD3228" w:rsidRPr="00666B27">
        <w:rPr>
          <w:color w:val="0070C0"/>
          <w:lang w:val="en-GB" w:eastAsia="en-GB"/>
        </w:rPr>
        <w:instrText xml:space="preserve"> REF _Ref497917568 \h  \* MERGEFORMAT </w:instrText>
      </w:r>
      <w:r w:rsidR="00CD3228" w:rsidRPr="00353542">
        <w:rPr>
          <w:color w:val="0070C0"/>
          <w:lang w:val="en-GB" w:eastAsia="en-GB"/>
        </w:rPr>
      </w:r>
      <w:r w:rsidR="00CD3228" w:rsidRPr="00353542">
        <w:rPr>
          <w:color w:val="0070C0"/>
          <w:lang w:val="en-GB" w:eastAsia="en-GB"/>
        </w:rPr>
        <w:fldChar w:fldCharType="separate"/>
      </w:r>
      <w:r w:rsidR="00BB1E93" w:rsidRPr="00BB1E93">
        <w:rPr>
          <w:rFonts w:ascii="Arial" w:hAnsi="Arial" w:cs="Arial"/>
          <w:color w:val="0070C0"/>
          <w:sz w:val="18"/>
          <w:lang w:val="en-GB"/>
        </w:rPr>
        <w:t xml:space="preserve">Box </w:t>
      </w:r>
      <w:r w:rsidR="00BB1E93" w:rsidRPr="00BB1E93">
        <w:rPr>
          <w:rFonts w:ascii="Arial" w:hAnsi="Arial" w:cs="Arial"/>
          <w:noProof/>
          <w:color w:val="0070C0"/>
          <w:sz w:val="18"/>
          <w:lang w:val="en-GB"/>
        </w:rPr>
        <w:t>23</w:t>
      </w:r>
      <w:r w:rsidR="00CD3228" w:rsidRPr="00353542">
        <w:rPr>
          <w:color w:val="0070C0"/>
          <w:lang w:val="en-GB" w:eastAsia="en-GB"/>
        </w:rPr>
        <w:fldChar w:fldCharType="end"/>
      </w:r>
      <w:r w:rsidR="00CD3228" w:rsidRPr="0057545E">
        <w:rPr>
          <w:color w:val="0070C0"/>
          <w:lang w:val="en-GB" w:eastAsia="en-GB"/>
        </w:rPr>
        <w:t xml:space="preserve"> </w:t>
      </w:r>
      <w:r w:rsidRPr="00353542">
        <w:rPr>
          <w:lang w:val="en-GB" w:eastAsia="en-GB"/>
        </w:rPr>
        <w:t xml:space="preserve">and </w:t>
      </w:r>
      <w:r w:rsidRPr="00353542">
        <w:rPr>
          <w:color w:val="0070C0"/>
          <w:lang w:val="en-GB" w:eastAsia="en-GB"/>
        </w:rPr>
        <w:fldChar w:fldCharType="begin"/>
      </w:r>
      <w:r w:rsidRPr="00666B27">
        <w:rPr>
          <w:color w:val="0070C0"/>
          <w:lang w:val="en-GB" w:eastAsia="en-GB"/>
        </w:rPr>
        <w:instrText xml:space="preserve"> REF _Ref495417628 \h </w:instrText>
      </w:r>
      <w:r w:rsidR="00CD3228" w:rsidRPr="00666B27">
        <w:rPr>
          <w:color w:val="0070C0"/>
          <w:lang w:val="en-GB" w:eastAsia="en-GB"/>
        </w:rPr>
        <w:instrText xml:space="preserve"> \* MERGEFORMAT </w:instrText>
      </w:r>
      <w:r w:rsidRPr="00353542">
        <w:rPr>
          <w:color w:val="0070C0"/>
          <w:lang w:val="en-GB" w:eastAsia="en-GB"/>
        </w:rPr>
      </w:r>
      <w:r w:rsidRPr="00353542">
        <w:rPr>
          <w:color w:val="0070C0"/>
          <w:lang w:val="en-GB" w:eastAsia="en-GB"/>
        </w:rPr>
        <w:fldChar w:fldCharType="separate"/>
      </w:r>
      <w:r w:rsidR="00BB1E93" w:rsidRPr="00BB1E93">
        <w:rPr>
          <w:rFonts w:ascii="Arial" w:hAnsi="Arial" w:cs="Arial"/>
          <w:color w:val="0070C0"/>
          <w:sz w:val="18"/>
          <w:lang w:val="en-GB"/>
        </w:rPr>
        <w:t xml:space="preserve">Box </w:t>
      </w:r>
      <w:r w:rsidR="00BB1E93" w:rsidRPr="00BB1E93">
        <w:rPr>
          <w:rFonts w:ascii="Arial" w:hAnsi="Arial" w:cs="Arial"/>
          <w:noProof/>
          <w:color w:val="0070C0"/>
          <w:sz w:val="18"/>
          <w:lang w:val="en-GB"/>
        </w:rPr>
        <w:t>24</w:t>
      </w:r>
      <w:r w:rsidRPr="00353542">
        <w:rPr>
          <w:color w:val="0070C0"/>
          <w:lang w:val="en-GB" w:eastAsia="en-GB"/>
        </w:rPr>
        <w:fldChar w:fldCharType="end"/>
      </w:r>
      <w:r w:rsidRPr="0057545E">
        <w:rPr>
          <w:lang w:val="en-GB" w:eastAsia="en-GB"/>
        </w:rPr>
        <w:t xml:space="preserve">). </w:t>
      </w:r>
    </w:p>
    <w:p w:rsidR="001F1F0B" w:rsidRPr="003B7D62" w:rsidRDefault="001F1F0B" w:rsidP="00297A17">
      <w:pPr>
        <w:spacing w:after="0"/>
        <w:rPr>
          <w:lang w:val="en-GB" w:eastAsia="en-GB"/>
        </w:rPr>
      </w:pPr>
    </w:p>
    <w:p w:rsidR="00297A17" w:rsidRPr="00666B27" w:rsidRDefault="00297A17" w:rsidP="00297A17">
      <w:pPr>
        <w:spacing w:after="0"/>
        <w:rPr>
          <w:lang w:val="en-GB" w:eastAsia="en-GB"/>
        </w:rPr>
      </w:pPr>
      <w:r w:rsidRPr="004722F0">
        <w:rPr>
          <w:lang w:val="en-GB" w:eastAsia="en-GB"/>
        </w:rPr>
        <w:t xml:space="preserve"> Over the past 5 years, LEDs have been entering the market in South Africa, as part of the i</w:t>
      </w:r>
      <w:r w:rsidRPr="00666B27">
        <w:rPr>
          <w:lang w:val="en-GB" w:eastAsia="en-GB"/>
        </w:rPr>
        <w:t xml:space="preserve">nternational trend with rapid LED technology advancements (better light </w:t>
      </w:r>
      <w:r w:rsidRPr="00666B27">
        <w:rPr>
          <w:noProof/>
          <w:lang w:val="en-GB" w:eastAsia="en-GB"/>
        </w:rPr>
        <w:t>colouring</w:t>
      </w:r>
      <w:r w:rsidRPr="00666B27">
        <w:rPr>
          <w:lang w:val="en-GB" w:eastAsia="en-GB"/>
        </w:rPr>
        <w:t>, longevity, efficiency) and lowering of costs.</w:t>
      </w:r>
      <w:r w:rsidR="00261EC6" w:rsidRPr="00666B27">
        <w:rPr>
          <w:lang w:val="en-GB" w:eastAsia="en-GB"/>
        </w:rPr>
        <w:t xml:space="preserve"> </w:t>
      </w:r>
      <w:r w:rsidR="001F1F0B" w:rsidRPr="00666B27">
        <w:rPr>
          <w:lang w:val="en-GB" w:eastAsia="en-GB"/>
        </w:rPr>
        <w:t xml:space="preserve">Market feedback and observations of retail shelves suggest that this has shifted significantly over the preceding 12 months with a larger variety of LED </w:t>
      </w:r>
      <w:r w:rsidR="00471EC2" w:rsidRPr="00666B27">
        <w:rPr>
          <w:lang w:val="en-GB" w:eastAsia="en-GB"/>
        </w:rPr>
        <w:t>bulbs available</w:t>
      </w:r>
      <w:r w:rsidR="001F1F0B" w:rsidRPr="00666B27">
        <w:rPr>
          <w:lang w:val="en-GB" w:eastAsia="en-GB"/>
        </w:rPr>
        <w:t>, a bigger share of shelf space allocated to LEDs and prices competing directly with the halogen and CFL alternatives</w:t>
      </w:r>
      <w:r w:rsidR="00471EC2" w:rsidRPr="0057545E">
        <w:rPr>
          <w:rStyle w:val="FootnoteReference"/>
          <w:lang w:val="en-GB" w:eastAsia="en-GB"/>
        </w:rPr>
        <w:footnoteReference w:id="42"/>
      </w:r>
      <w:r w:rsidR="00471EC2" w:rsidRPr="0057545E">
        <w:rPr>
          <w:lang w:val="en-GB" w:eastAsia="en-GB"/>
        </w:rPr>
        <w:t>.</w:t>
      </w:r>
      <w:r w:rsidR="00D56F0B" w:rsidRPr="00353542">
        <w:rPr>
          <w:lang w:val="en-GB" w:eastAsia="en-GB"/>
        </w:rPr>
        <w:t xml:space="preserve"> </w:t>
      </w:r>
      <w:r w:rsidR="00BF4F86" w:rsidRPr="003B7D62">
        <w:rPr>
          <w:lang w:val="en-GB" w:eastAsia="en-GB"/>
        </w:rPr>
        <w:t>Nonetheless, im</w:t>
      </w:r>
      <w:r w:rsidRPr="004722F0">
        <w:rPr>
          <w:lang w:val="en-GB" w:eastAsia="en-GB"/>
        </w:rPr>
        <w:t xml:space="preserve">portant factors that hinder </w:t>
      </w:r>
      <w:r w:rsidRPr="00666B27">
        <w:rPr>
          <w:noProof/>
          <w:lang w:val="en-GB" w:eastAsia="en-GB"/>
        </w:rPr>
        <w:t>more</w:t>
      </w:r>
      <w:r w:rsidRPr="00666B27">
        <w:rPr>
          <w:lang w:val="en-GB" w:eastAsia="en-GB"/>
        </w:rPr>
        <w:t xml:space="preserve"> widespread use of LED (and other energy efficient) lamps in the market:</w:t>
      </w:r>
    </w:p>
    <w:p w:rsidR="00297A17" w:rsidRPr="00666B27" w:rsidRDefault="00297A17" w:rsidP="00C922B7">
      <w:pPr>
        <w:numPr>
          <w:ilvl w:val="0"/>
          <w:numId w:val="25"/>
        </w:numPr>
        <w:spacing w:before="60" w:after="0"/>
        <w:ind w:left="284" w:hanging="284"/>
        <w:rPr>
          <w:lang w:val="en-GB" w:eastAsia="en-GB"/>
        </w:rPr>
      </w:pPr>
      <w:r w:rsidRPr="00666B27">
        <w:rPr>
          <w:lang w:val="en-GB" w:eastAsia="en-GB"/>
        </w:rPr>
        <w:lastRenderedPageBreak/>
        <w:t xml:space="preserve">For the lower-income households, Eskom is still distributing free CFLs and in the mindset of many households, these have become the first choice of lighting.  </w:t>
      </w:r>
      <w:r w:rsidR="00C922B7" w:rsidRPr="00666B27">
        <w:rPr>
          <w:lang w:val="en-GB" w:eastAsia="en-GB"/>
        </w:rPr>
        <w:t>By</w:t>
      </w:r>
      <w:r w:rsidR="00AE7880" w:rsidRPr="00666B27">
        <w:rPr>
          <w:lang w:val="en-GB" w:eastAsia="en-GB"/>
        </w:rPr>
        <w:t xml:space="preserve"> the end of 2016</w:t>
      </w:r>
      <w:r w:rsidR="00C922B7" w:rsidRPr="00666B27">
        <w:rPr>
          <w:lang w:val="en-GB" w:eastAsia="en-GB"/>
        </w:rPr>
        <w:t>, E</w:t>
      </w:r>
      <w:r w:rsidRPr="00666B27">
        <w:rPr>
          <w:lang w:val="en-GB" w:eastAsia="en-GB"/>
        </w:rPr>
        <w:t>skom still ha</w:t>
      </w:r>
      <w:r w:rsidR="00BF4F86" w:rsidRPr="00666B27">
        <w:rPr>
          <w:lang w:val="en-GB" w:eastAsia="en-GB"/>
        </w:rPr>
        <w:t>d</w:t>
      </w:r>
      <w:r w:rsidRPr="00666B27">
        <w:rPr>
          <w:lang w:val="en-GB" w:eastAsia="en-GB"/>
        </w:rPr>
        <w:t xml:space="preserve"> some 5.9 million CFLs in stock and </w:t>
      </w:r>
      <w:r w:rsidR="00C922B7" w:rsidRPr="00666B27">
        <w:rPr>
          <w:lang w:val="en-GB" w:eastAsia="en-GB"/>
        </w:rPr>
        <w:t xml:space="preserve">to </w:t>
      </w:r>
      <w:r w:rsidR="00BF4F86" w:rsidRPr="00666B27">
        <w:rPr>
          <w:lang w:val="en-GB" w:eastAsia="en-GB"/>
        </w:rPr>
        <w:t>be rolled</w:t>
      </w:r>
      <w:r w:rsidRPr="00666B27">
        <w:rPr>
          <w:lang w:val="en-GB" w:eastAsia="en-GB"/>
        </w:rPr>
        <w:t xml:space="preserve"> out </w:t>
      </w:r>
      <w:r w:rsidR="00C922B7" w:rsidRPr="00666B27">
        <w:rPr>
          <w:lang w:val="en-GB" w:eastAsia="en-GB"/>
        </w:rPr>
        <w:t>during 20</w:t>
      </w:r>
      <w:r w:rsidR="00AE7880" w:rsidRPr="00666B27">
        <w:rPr>
          <w:lang w:val="en-GB" w:eastAsia="en-GB"/>
        </w:rPr>
        <w:t xml:space="preserve">17-18 </w:t>
      </w:r>
      <w:r w:rsidRPr="00666B27">
        <w:rPr>
          <w:lang w:val="en-GB" w:eastAsia="en-GB"/>
        </w:rPr>
        <w:t>(mostly as aging lamp replacements);</w:t>
      </w:r>
    </w:p>
    <w:p w:rsidR="00297A17" w:rsidRPr="00666B27" w:rsidRDefault="00297A17" w:rsidP="00731F0C">
      <w:pPr>
        <w:numPr>
          <w:ilvl w:val="0"/>
          <w:numId w:val="25"/>
        </w:numPr>
        <w:spacing w:after="0"/>
        <w:ind w:left="284" w:hanging="284"/>
        <w:rPr>
          <w:lang w:val="en-GB" w:eastAsia="en-GB"/>
        </w:rPr>
      </w:pPr>
      <w:r w:rsidRPr="00666B27">
        <w:rPr>
          <w:lang w:val="en-GB" w:eastAsia="en-GB"/>
        </w:rPr>
        <w:t xml:space="preserve">For the average consumer, the comparison of lamps types, brands, performance, and energy efficiency is rather complex and confusing. This will lead to some buyer resistance regarding new LED technology and what to expect. </w:t>
      </w:r>
    </w:p>
    <w:p w:rsidR="00297A17" w:rsidRPr="00666B27" w:rsidRDefault="00297A17" w:rsidP="00731F0C">
      <w:pPr>
        <w:numPr>
          <w:ilvl w:val="0"/>
          <w:numId w:val="25"/>
        </w:numPr>
        <w:spacing w:after="0"/>
        <w:ind w:left="284" w:hanging="284"/>
        <w:rPr>
          <w:lang w:val="en-GB" w:eastAsia="en-GB"/>
        </w:rPr>
      </w:pPr>
      <w:r w:rsidRPr="00666B27">
        <w:rPr>
          <w:lang w:val="en-GB" w:eastAsia="en-GB"/>
        </w:rPr>
        <w:t xml:space="preserve">Low-quality LED bulbs are being imported with three deficiencies, poor power factor (as low as 0.3), low efficiency (lumens per Watt) and low lifetime. The current lack of minimum standards leads to </w:t>
      </w:r>
      <w:r w:rsidRPr="00666B27">
        <w:rPr>
          <w:noProof/>
          <w:lang w:val="en-GB" w:eastAsia="en-GB"/>
        </w:rPr>
        <w:t>dumping</w:t>
      </w:r>
      <w:r w:rsidRPr="00666B27">
        <w:rPr>
          <w:lang w:val="en-GB" w:eastAsia="en-GB"/>
        </w:rPr>
        <w:t xml:space="preserve"> of these lower-cost, low quality on the market</w:t>
      </w:r>
      <w:r w:rsidR="00471EC2" w:rsidRPr="00666B27">
        <w:rPr>
          <w:lang w:val="en-GB" w:eastAsia="en-GB"/>
        </w:rPr>
        <w:t>.</w:t>
      </w:r>
      <w:r w:rsidR="001F1F0B" w:rsidRPr="00666B27">
        <w:rPr>
          <w:lang w:val="en-GB" w:eastAsia="en-GB"/>
        </w:rPr>
        <w:t xml:space="preserve"> </w:t>
      </w:r>
      <w:r w:rsidRPr="00666B27">
        <w:rPr>
          <w:lang w:val="en-GB" w:eastAsia="en-GB"/>
        </w:rPr>
        <w:t xml:space="preserve"> This causes competition problems for suppliers that want to provide good-quality lamps</w:t>
      </w:r>
      <w:r w:rsidR="00BF4F86" w:rsidRPr="00666B27">
        <w:rPr>
          <w:lang w:val="en-GB" w:eastAsia="en-GB"/>
        </w:rPr>
        <w:t>, and this is made worse by fierce competition amongst LED lamp suppliers.</w:t>
      </w:r>
      <w:r w:rsidRPr="00666B27">
        <w:rPr>
          <w:lang w:val="en-GB" w:eastAsia="en-GB"/>
        </w:rPr>
        <w:t xml:space="preserve"> Especially in the higher-income </w:t>
      </w:r>
      <w:r w:rsidR="009B2715" w:rsidRPr="00666B27">
        <w:rPr>
          <w:lang w:val="en-GB" w:eastAsia="en-GB"/>
        </w:rPr>
        <w:t>households</w:t>
      </w:r>
      <w:r w:rsidR="00C922B7" w:rsidRPr="00666B27">
        <w:rPr>
          <w:lang w:val="en-GB" w:eastAsia="en-GB"/>
        </w:rPr>
        <w:t>’</w:t>
      </w:r>
      <w:r w:rsidRPr="00666B27">
        <w:rPr>
          <w:lang w:val="en-GB" w:eastAsia="en-GB"/>
        </w:rPr>
        <w:t xml:space="preserve"> segment, the uptake of LEDs will be hampered by the poor quality which will give the product a bad name. </w:t>
      </w:r>
    </w:p>
    <w:p w:rsidR="00297A17" w:rsidRPr="00666B27" w:rsidRDefault="001F1F0B" w:rsidP="00731F0C">
      <w:pPr>
        <w:numPr>
          <w:ilvl w:val="0"/>
          <w:numId w:val="25"/>
        </w:numPr>
        <w:spacing w:after="0"/>
        <w:ind w:left="284" w:hanging="284"/>
        <w:rPr>
          <w:lang w:val="en-GB" w:eastAsia="en-GB"/>
        </w:rPr>
      </w:pPr>
      <w:r w:rsidRPr="00666B27">
        <w:rPr>
          <w:lang w:val="en-GB" w:eastAsia="en-GB"/>
        </w:rPr>
        <w:t>Poor quality inefficient lighting options (old stock, illegal imports of incandescent lamps) continue to find their way into homes</w:t>
      </w:r>
      <w:r w:rsidR="00471EC2" w:rsidRPr="00666B27">
        <w:rPr>
          <w:lang w:val="en-GB"/>
        </w:rPr>
        <w:t xml:space="preserve"> </w:t>
      </w:r>
      <w:r w:rsidR="00471EC2" w:rsidRPr="00666B27">
        <w:rPr>
          <w:lang w:val="en-GB" w:eastAsia="en-GB"/>
        </w:rPr>
        <w:t xml:space="preserve">through obscure retail outlets in the country at very low prices. Thus, the lower-end market segment is </w:t>
      </w:r>
      <w:r w:rsidR="00297A17" w:rsidRPr="00666B27">
        <w:rPr>
          <w:lang w:val="en-GB" w:eastAsia="en-GB"/>
        </w:rPr>
        <w:t xml:space="preserve">flooded with cheap, low quality imported lamps (LEDs, CFLs) </w:t>
      </w:r>
      <w:r w:rsidR="00471EC2" w:rsidRPr="00666B27">
        <w:rPr>
          <w:lang w:val="en-GB" w:eastAsia="en-GB"/>
        </w:rPr>
        <w:t xml:space="preserve">and illegal incandescent bulbs </w:t>
      </w:r>
      <w:r w:rsidR="00297A17" w:rsidRPr="00666B27">
        <w:rPr>
          <w:lang w:val="en-GB" w:eastAsia="en-GB"/>
        </w:rPr>
        <w:t>that vary in terms of performance. Enforcement of lighting standards (e.g. CFLs) remains flawed due to the dysfunction in the regulatory process</w:t>
      </w:r>
      <w:r w:rsidR="00BF4F86" w:rsidRPr="00666B27">
        <w:rPr>
          <w:lang w:val="en-GB" w:eastAsia="en-GB"/>
        </w:rPr>
        <w:t>.</w:t>
      </w:r>
    </w:p>
    <w:p w:rsidR="00297A17" w:rsidRPr="00666B27" w:rsidRDefault="00297A17"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Supply chain characteristics and potential for local manufacturing</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In South Africa, all lamps are imported (most are manufactured by in large-scale factories in China) by multinational brand companies, such as Philips, Osram, </w:t>
      </w:r>
      <w:proofErr w:type="spellStart"/>
      <w:r w:rsidRPr="00666B27">
        <w:rPr>
          <w:lang w:val="en-GB" w:eastAsia="en-GB"/>
        </w:rPr>
        <w:t>Eurolux</w:t>
      </w:r>
      <w:proofErr w:type="spellEnd"/>
      <w:r w:rsidRPr="00666B27">
        <w:rPr>
          <w:lang w:val="en-GB" w:eastAsia="en-GB"/>
        </w:rPr>
        <w:t xml:space="preserve"> as well as by house brands. Consumers by the lamps at grocery retailers (such as Pick </w:t>
      </w:r>
      <w:r w:rsidRPr="00666B27">
        <w:rPr>
          <w:noProof/>
          <w:lang w:val="en-GB" w:eastAsia="en-GB"/>
        </w:rPr>
        <w:t>‘n</w:t>
      </w:r>
      <w:r w:rsidRPr="00666B27">
        <w:rPr>
          <w:lang w:val="en-GB" w:eastAsia="en-GB"/>
        </w:rPr>
        <w:t xml:space="preserve"> Pay, Shoprite, Spar), general household retailers (e.g. Makro, Cash &amp; Carry), hardware stores (e.g. Builders, Mica) and dedicated lighting suppliers. In addition, Eskom has been providing CFLs</w:t>
      </w:r>
      <w:r w:rsidR="00BF4F86" w:rsidRPr="00666B27">
        <w:rPr>
          <w:lang w:val="en-GB" w:eastAsia="en-GB"/>
        </w:rPr>
        <w:t xml:space="preserve"> in its residential replacement programme,</w:t>
      </w:r>
      <w:r w:rsidRPr="00666B27">
        <w:rPr>
          <w:lang w:val="en-GB" w:eastAsia="en-GB"/>
        </w:rPr>
        <w:t xml:space="preserve"> as mentioned above.</w:t>
      </w:r>
    </w:p>
    <w:p w:rsidR="00297A17" w:rsidRPr="00666B27" w:rsidRDefault="00297A17" w:rsidP="00297A17">
      <w:pPr>
        <w:spacing w:after="0"/>
        <w:rPr>
          <w:lang w:val="en-GB" w:eastAsia="en-GB"/>
        </w:rPr>
      </w:pPr>
    </w:p>
    <w:p w:rsidR="00297A17" w:rsidRPr="00353542" w:rsidRDefault="003A2690" w:rsidP="00297A17">
      <w:pPr>
        <w:spacing w:after="0"/>
        <w:rPr>
          <w:lang w:val="en-GB" w:eastAsia="en-GB"/>
        </w:rPr>
      </w:pPr>
      <w:r>
        <w:rPr>
          <w:noProof/>
        </w:rPr>
        <mc:AlternateContent>
          <mc:Choice Requires="wps">
            <w:drawing>
              <wp:anchor distT="45720" distB="45720" distL="144145" distR="144145" simplePos="0" relativeHeight="251628544" behindDoc="1" locked="0" layoutInCell="1" allowOverlap="1">
                <wp:simplePos x="0" y="0"/>
                <wp:positionH relativeFrom="page">
                  <wp:posOffset>3298190</wp:posOffset>
                </wp:positionH>
                <wp:positionV relativeFrom="page">
                  <wp:posOffset>4520565</wp:posOffset>
                </wp:positionV>
                <wp:extent cx="3927475" cy="2905125"/>
                <wp:effectExtent l="0" t="0" r="0" b="0"/>
                <wp:wrapTight wrapText="bothSides">
                  <wp:wrapPolygon edited="0">
                    <wp:start x="0" y="0"/>
                    <wp:lineTo x="0" y="21529"/>
                    <wp:lineTo x="21478" y="21529"/>
                    <wp:lineTo x="21478" y="0"/>
                    <wp:lineTo x="0" y="0"/>
                  </wp:wrapPolygon>
                </wp:wrapTight>
                <wp:docPr id="237" name="Text Box 1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2905125"/>
                        </a:xfrm>
                        <a:prstGeom prst="rect">
                          <a:avLst/>
                        </a:prstGeom>
                        <a:solidFill>
                          <a:srgbClr val="ED7D31">
                            <a:lumMod val="20000"/>
                            <a:lumOff val="80000"/>
                          </a:srgbClr>
                        </a:solidFill>
                        <a:ln>
                          <a:noFill/>
                        </a:ln>
                      </wps:spPr>
                      <wps:txbx>
                        <w:txbxContent>
                          <w:p w:rsidR="00540FEA" w:rsidRDefault="00540FEA" w:rsidP="00EF7EFA">
                            <w:pPr>
                              <w:pStyle w:val="Caption"/>
                              <w:ind w:left="709" w:hanging="709"/>
                              <w:rPr>
                                <w:rFonts w:ascii="Arial" w:hAnsi="Arial" w:cs="Arial"/>
                                <w:color w:val="2E74B5"/>
                                <w:sz w:val="18"/>
                              </w:rPr>
                            </w:pPr>
                            <w:bookmarkStart w:id="254" w:name="_Toc496967026"/>
                            <w:bookmarkStart w:id="255" w:name="_Toc17985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r>
                              <w:rPr>
                                <w:rFonts w:ascii="Arial" w:hAnsi="Arial" w:cs="Arial"/>
                                <w:color w:val="2E74B5"/>
                                <w:sz w:val="18"/>
                              </w:rPr>
                              <w:tab/>
                            </w:r>
                            <w:bookmarkEnd w:id="254"/>
                            <w:r>
                              <w:rPr>
                                <w:rFonts w:ascii="Arial" w:hAnsi="Arial" w:cs="Arial"/>
                                <w:color w:val="2E74B5"/>
                                <w:sz w:val="18"/>
                              </w:rPr>
                              <w:t>Lamp supply chain in South Africa</w:t>
                            </w:r>
                            <w:bookmarkEnd w:id="255"/>
                          </w:p>
                          <w:p w:rsidR="00540FEA" w:rsidRPr="001378F4" w:rsidRDefault="00540FEA" w:rsidP="00EF7EFA"/>
                          <w:p w:rsidR="00540FEA" w:rsidRDefault="00540FEA" w:rsidP="00EF7EFA">
                            <w:pPr>
                              <w:spacing w:after="0"/>
                            </w:pPr>
                            <w:r w:rsidRPr="00676649">
                              <w:rPr>
                                <w:noProof/>
                              </w:rPr>
                              <w:drawing>
                                <wp:inline distT="0" distB="0" distL="0" distR="0">
                                  <wp:extent cx="3728720" cy="2336800"/>
                                  <wp:effectExtent l="0" t="0" r="0" b="0"/>
                                  <wp:docPr id="25"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3728720" cy="2336800"/>
                                          </a:xfrm>
                                          <a:prstGeom prst="rect">
                                            <a:avLst/>
                                          </a:prstGeom>
                                          <a:noFill/>
                                          <a:ln>
                                            <a:noFill/>
                                          </a:ln>
                                        </pic:spPr>
                                      </pic:pic>
                                    </a:graphicData>
                                  </a:graphic>
                                </wp:inline>
                              </w:drawing>
                            </w:r>
                          </w:p>
                          <w:p w:rsidR="00540FEA" w:rsidRDefault="00540FEA" w:rsidP="00EF7EFA">
                            <w:pPr>
                              <w:spacing w:after="0"/>
                              <w:rPr>
                                <w:noProof/>
                                <w:sz w:val="18"/>
                              </w:rPr>
                            </w:pPr>
                            <w:r>
                              <w:rPr>
                                <w:i/>
                                <w:noProof/>
                                <w:sz w:val="18"/>
                              </w:rPr>
                              <w:t xml:space="preserve">Source: </w:t>
                            </w:r>
                            <w:r>
                              <w:rPr>
                                <w:noProof/>
                                <w:sz w:val="18"/>
                              </w:rPr>
                              <w:t>DANIDA, DOE (2017).</w:t>
                            </w:r>
                          </w:p>
                          <w:p w:rsidR="00540FEA" w:rsidRDefault="00540FEA" w:rsidP="00EF7EFA">
                            <w:pPr>
                              <w:spacing w:after="0"/>
                              <w:rPr>
                                <w:noProof/>
                                <w:sz w:val="18"/>
                              </w:rPr>
                            </w:pPr>
                          </w:p>
                          <w:p w:rsidR="00540FEA" w:rsidRPr="00E376AE" w:rsidRDefault="00540FEA" w:rsidP="00EF7EFA">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7" o:spid="_x0000_s1041" type="#_x0000_t202" style="position:absolute;left:0;text-align:left;margin-left:259.7pt;margin-top:355.95pt;width:309.25pt;height:228.75pt;z-index:-251687936;visibility:visible;mso-wrap-style:square;mso-width-percent:0;mso-height-percent:0;mso-wrap-distance-left:11.35pt;mso-wrap-distance-top:3.6pt;mso-wrap-distance-right:11.35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" fillcolor="#fbe5d6" stroked="f">
                <v:textbox>
                  <w:txbxContent>
                    <w:p w:rsidR="00540FEA" w:rsidRDefault="00540FEA" w:rsidP="00EF7EFA">
                      <w:pPr>
                        <w:pStyle w:val="Caption"/>
                        <w:ind w:left="709" w:hanging="709"/>
                        <w:rPr>
                          <w:rFonts w:ascii="Arial" w:hAnsi="Arial" w:cs="Arial"/>
                          <w:color w:val="2E74B5"/>
                          <w:sz w:val="18"/>
                        </w:rPr>
                      </w:pPr>
                      <w:bookmarkStart w:id="290" w:name="_Toc496967026"/>
                      <w:bookmarkStart w:id="291" w:name="_Toc17985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26</w:t>
                      </w:r>
                      <w:r w:rsidRPr="00A21E05">
                        <w:rPr>
                          <w:rFonts w:ascii="Arial" w:hAnsi="Arial" w:cs="Arial"/>
                          <w:color w:val="2E74B5"/>
                          <w:sz w:val="18"/>
                        </w:rPr>
                        <w:fldChar w:fldCharType="end"/>
                      </w:r>
                      <w:r>
                        <w:rPr>
                          <w:rFonts w:ascii="Arial" w:hAnsi="Arial" w:cs="Arial"/>
                          <w:color w:val="2E74B5"/>
                          <w:sz w:val="18"/>
                        </w:rPr>
                        <w:tab/>
                      </w:r>
                      <w:bookmarkEnd w:id="290"/>
                      <w:r>
                        <w:rPr>
                          <w:rFonts w:ascii="Arial" w:hAnsi="Arial" w:cs="Arial"/>
                          <w:color w:val="2E74B5"/>
                          <w:sz w:val="18"/>
                        </w:rPr>
                        <w:t>Lamp supply chain in South Africa</w:t>
                      </w:r>
                      <w:bookmarkEnd w:id="291"/>
                    </w:p>
                    <w:p w:rsidR="00540FEA" w:rsidRPr="001378F4" w:rsidRDefault="00540FEA" w:rsidP="00EF7EFA"/>
                    <w:p w:rsidR="00540FEA" w:rsidRDefault="00540FEA" w:rsidP="00EF7EFA">
                      <w:pPr>
                        <w:spacing w:after="0"/>
                      </w:pPr>
                      <w:r w:rsidRPr="00676649">
                        <w:rPr>
                          <w:noProof/>
                        </w:rPr>
                        <w:drawing>
                          <wp:inline distT="0" distB="0" distL="0" distR="0">
                            <wp:extent cx="3728720" cy="2336800"/>
                            <wp:effectExtent l="0" t="0" r="0" b="0"/>
                            <wp:docPr id="25"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3728720" cy="2336800"/>
                                    </a:xfrm>
                                    <a:prstGeom prst="rect">
                                      <a:avLst/>
                                    </a:prstGeom>
                                    <a:noFill/>
                                    <a:ln>
                                      <a:noFill/>
                                    </a:ln>
                                  </pic:spPr>
                                </pic:pic>
                              </a:graphicData>
                            </a:graphic>
                          </wp:inline>
                        </w:drawing>
                      </w:r>
                    </w:p>
                    <w:p w:rsidR="00540FEA" w:rsidRDefault="00540FEA" w:rsidP="00EF7EFA">
                      <w:pPr>
                        <w:spacing w:after="0"/>
                        <w:rPr>
                          <w:noProof/>
                          <w:sz w:val="18"/>
                        </w:rPr>
                      </w:pPr>
                      <w:r>
                        <w:rPr>
                          <w:i/>
                          <w:noProof/>
                          <w:sz w:val="18"/>
                        </w:rPr>
                        <w:t xml:space="preserve">Source: </w:t>
                      </w:r>
                      <w:r>
                        <w:rPr>
                          <w:noProof/>
                          <w:sz w:val="18"/>
                        </w:rPr>
                        <w:t>DANIDA, DOE (2017).</w:t>
                      </w:r>
                    </w:p>
                    <w:p w:rsidR="00540FEA" w:rsidRDefault="00540FEA" w:rsidP="00EF7EFA">
                      <w:pPr>
                        <w:spacing w:after="0"/>
                        <w:rPr>
                          <w:noProof/>
                          <w:sz w:val="18"/>
                        </w:rPr>
                      </w:pPr>
                    </w:p>
                    <w:p w:rsidR="00540FEA" w:rsidRPr="00E376AE" w:rsidRDefault="00540FEA" w:rsidP="00EF7EFA">
                      <w:pPr>
                        <w:rPr>
                          <w:sz w:val="18"/>
                        </w:rPr>
                      </w:pPr>
                    </w:p>
                  </w:txbxContent>
                </v:textbox>
                <w10:wrap type="tight" anchorx="page" anchory="page"/>
              </v:shape>
            </w:pict>
          </mc:Fallback>
        </mc:AlternateContent>
      </w:r>
      <w:r w:rsidR="00297A17" w:rsidRPr="0057545E">
        <w:rPr>
          <w:lang w:val="en-GB" w:eastAsia="en-GB"/>
        </w:rPr>
        <w:t xml:space="preserve">Manufacture of LEDs is spread out globally, with fabrication plants operating in the United States, Germany, Malaysia, China </w:t>
      </w:r>
      <w:r w:rsidR="00297A17" w:rsidRPr="00353542">
        <w:rPr>
          <w:noProof/>
          <w:lang w:val="en-GB" w:eastAsia="en-GB"/>
        </w:rPr>
        <w:t>and</w:t>
      </w:r>
      <w:r w:rsidR="00297A17" w:rsidRPr="003B7D62">
        <w:rPr>
          <w:lang w:val="en-GB" w:eastAsia="en-GB"/>
        </w:rPr>
        <w:t xml:space="preserve"> India. </w:t>
      </w:r>
      <w:r w:rsidR="00297A17" w:rsidRPr="004722F0">
        <w:rPr>
          <w:lang w:val="en-GB" w:eastAsia="en-GB"/>
        </w:rPr>
        <w:t xml:space="preserve"> In comparison, the South African lighting industry is estimated at </w:t>
      </w:r>
      <w:r w:rsidR="00BF4F86" w:rsidRPr="00666B27">
        <w:rPr>
          <w:lang w:val="en-GB" w:eastAsia="en-GB"/>
        </w:rPr>
        <w:t>ZA</w:t>
      </w:r>
      <w:r w:rsidR="00297A17" w:rsidRPr="00666B27">
        <w:rPr>
          <w:lang w:val="en-GB" w:eastAsia="en-GB"/>
        </w:rPr>
        <w:t xml:space="preserve">R 5 billion a year (less than 1% of the global market), which include all types of light fittings such as street lighting, floodlighting, industrial and commercial lighting, control gear, lamps, the domestic and decorative ranges and other specialised lighting. Lamps and commercial lighting each contribute about </w:t>
      </w:r>
      <w:r w:rsidR="00BF4F86" w:rsidRPr="00666B27">
        <w:rPr>
          <w:lang w:val="en-GB" w:eastAsia="en-GB"/>
        </w:rPr>
        <w:t>ZAR</w:t>
      </w:r>
      <w:r w:rsidR="00297A17" w:rsidRPr="00666B27">
        <w:rPr>
          <w:lang w:val="en-GB" w:eastAsia="en-GB"/>
        </w:rPr>
        <w:t xml:space="preserve"> 1 billion to the industry, while industrial lighting is estimated to be worth </w:t>
      </w:r>
      <w:r w:rsidR="001B375A" w:rsidRPr="00666B27">
        <w:rPr>
          <w:lang w:val="en-GB" w:eastAsia="en-GB"/>
        </w:rPr>
        <w:t>about</w:t>
      </w:r>
      <w:r w:rsidR="00297A17" w:rsidRPr="00666B27">
        <w:rPr>
          <w:lang w:val="en-GB" w:eastAsia="en-GB"/>
        </w:rPr>
        <w:t xml:space="preserve"> </w:t>
      </w:r>
      <w:r w:rsidR="00BF4F86" w:rsidRPr="00666B27">
        <w:rPr>
          <w:lang w:val="en-GB" w:eastAsia="en-GB"/>
        </w:rPr>
        <w:t>ZAR</w:t>
      </w:r>
      <w:r w:rsidR="00297A17" w:rsidRPr="00666B27">
        <w:rPr>
          <w:lang w:val="en-GB" w:eastAsia="en-GB"/>
        </w:rPr>
        <w:t xml:space="preserve"> 500</w:t>
      </w:r>
      <w:r w:rsidR="00BF4F86" w:rsidRPr="00666B27">
        <w:rPr>
          <w:lang w:val="en-GB" w:eastAsia="en-GB"/>
        </w:rPr>
        <w:t>,</w:t>
      </w:r>
      <w:r w:rsidR="00297A17" w:rsidRPr="00666B27">
        <w:rPr>
          <w:lang w:val="en-GB" w:eastAsia="en-GB"/>
        </w:rPr>
        <w:t>000 a year. South Africa has the skills, equipment and manufacturing capacity to manufacture solid-state lighting products and fluorescent lamp, but the small size of the market does not provide economies of scale (yet) in high-intensity LED components manufacturing required for solid-state lighting applications. A typical LED fabrication plant requires an investment of approximately US</w:t>
      </w:r>
      <w:r w:rsidR="00BF4F86" w:rsidRPr="00666B27">
        <w:rPr>
          <w:lang w:val="en-GB" w:eastAsia="en-GB"/>
        </w:rPr>
        <w:t xml:space="preserve">D </w:t>
      </w:r>
      <w:r w:rsidR="001B375A" w:rsidRPr="00666B27">
        <w:rPr>
          <w:lang w:val="en-GB" w:eastAsia="en-GB"/>
        </w:rPr>
        <w:t>15-</w:t>
      </w:r>
      <w:r w:rsidR="00297A17" w:rsidRPr="00666B27">
        <w:rPr>
          <w:lang w:val="en-GB" w:eastAsia="en-GB"/>
        </w:rPr>
        <w:t>350</w:t>
      </w:r>
      <w:r w:rsidR="00231632" w:rsidRPr="00666B27">
        <w:rPr>
          <w:lang w:val="en-GB" w:eastAsia="en-GB"/>
        </w:rPr>
        <w:t xml:space="preserve"> million</w:t>
      </w:r>
      <w:r w:rsidR="001B375A" w:rsidRPr="00666B27">
        <w:rPr>
          <w:lang w:val="en-GB" w:eastAsia="en-GB"/>
        </w:rPr>
        <w:t>, depending on the size,</w:t>
      </w:r>
      <w:r w:rsidR="00297A17" w:rsidRPr="00666B27">
        <w:rPr>
          <w:lang w:val="en-GB" w:eastAsia="en-GB"/>
        </w:rPr>
        <w:t xml:space="preserve"> and can take up </w:t>
      </w:r>
      <w:r w:rsidR="001B375A" w:rsidRPr="00666B27">
        <w:rPr>
          <w:lang w:val="en-GB" w:eastAsia="en-GB"/>
        </w:rPr>
        <w:t>two to</w:t>
      </w:r>
      <w:r w:rsidR="00297A17" w:rsidRPr="00666B27">
        <w:rPr>
          <w:lang w:val="en-GB" w:eastAsia="en-GB"/>
        </w:rPr>
        <w:t xml:space="preserve"> five years before becoming fully operational</w:t>
      </w:r>
      <w:r w:rsidR="00297A17" w:rsidRPr="0057545E">
        <w:rPr>
          <w:vertAlign w:val="superscript"/>
          <w:lang w:val="en-GB" w:eastAsia="en-GB"/>
        </w:rPr>
        <w:footnoteReference w:id="43"/>
      </w:r>
      <w:r w:rsidR="00297A17" w:rsidRPr="0057545E">
        <w:rPr>
          <w:lang w:val="en-GB" w:eastAsia="en-GB"/>
        </w:rPr>
        <w:t>.</w:t>
      </w:r>
    </w:p>
    <w:p w:rsidR="00297A17" w:rsidRPr="003B7D62" w:rsidRDefault="00297A17" w:rsidP="00297A17">
      <w:pPr>
        <w:spacing w:after="0"/>
        <w:rPr>
          <w:lang w:val="en-GB" w:eastAsia="en-GB"/>
        </w:rPr>
      </w:pPr>
    </w:p>
    <w:p w:rsidR="00297A17" w:rsidRPr="00666B27" w:rsidRDefault="00471EC2" w:rsidP="00297A17">
      <w:pPr>
        <w:spacing w:after="0"/>
        <w:rPr>
          <w:lang w:val="en-GB" w:eastAsia="en-GB"/>
        </w:rPr>
      </w:pPr>
      <w:r w:rsidRPr="003B7D62">
        <w:rPr>
          <w:lang w:val="en-GB" w:eastAsia="en-GB"/>
        </w:rPr>
        <w:lastRenderedPageBreak/>
        <w:t>Currently, there are about 18 LED suppliers</w:t>
      </w:r>
      <w:r w:rsidRPr="004722F0">
        <w:rPr>
          <w:lang w:val="en-GB" w:eastAsia="en-GB"/>
        </w:rPr>
        <w:t xml:space="preserve"> in South Africa</w:t>
      </w:r>
      <w:r w:rsidRPr="0057545E">
        <w:rPr>
          <w:rStyle w:val="FootnoteReference"/>
          <w:lang w:val="en-GB" w:eastAsia="en-GB"/>
        </w:rPr>
        <w:footnoteReference w:id="44"/>
      </w:r>
      <w:r w:rsidRPr="0057545E">
        <w:rPr>
          <w:lang w:val="en-GB" w:eastAsia="en-GB"/>
        </w:rPr>
        <w:t xml:space="preserve">. </w:t>
      </w:r>
      <w:r w:rsidR="00297A17" w:rsidRPr="00353542">
        <w:rPr>
          <w:lang w:val="en-GB" w:eastAsia="en-GB"/>
        </w:rPr>
        <w:t xml:space="preserve">However, the market is expected to grow at a compound rate of 20% each year to reach market </w:t>
      </w:r>
      <w:r w:rsidR="00297A17" w:rsidRPr="003B7D62">
        <w:rPr>
          <w:lang w:val="en-GB" w:eastAsia="en-GB"/>
        </w:rPr>
        <w:t>penetration in general lighting of well over 60% by 2020. Efficacy values of 300</w:t>
      </w:r>
      <w:r w:rsidR="00CD3228" w:rsidRPr="004722F0">
        <w:rPr>
          <w:lang w:val="en-GB" w:eastAsia="en-GB"/>
        </w:rPr>
        <w:t xml:space="preserve"> </w:t>
      </w:r>
      <w:r w:rsidR="00297A17" w:rsidRPr="00666B27">
        <w:rPr>
          <w:noProof/>
          <w:lang w:val="en-GB" w:eastAsia="en-GB"/>
        </w:rPr>
        <w:t>l</w:t>
      </w:r>
      <w:r w:rsidR="00BF4F86" w:rsidRPr="00666B27">
        <w:rPr>
          <w:noProof/>
          <w:lang w:val="en-GB" w:eastAsia="en-GB"/>
        </w:rPr>
        <w:t>umen</w:t>
      </w:r>
      <w:r w:rsidR="00BF4F86" w:rsidRPr="00666B27">
        <w:rPr>
          <w:lang w:val="en-GB" w:eastAsia="en-GB"/>
        </w:rPr>
        <w:t xml:space="preserve"> per Watt</w:t>
      </w:r>
      <w:r w:rsidR="00297A17" w:rsidRPr="00666B27">
        <w:rPr>
          <w:lang w:val="en-GB" w:eastAsia="en-GB"/>
        </w:rPr>
        <w:t xml:space="preserve"> could be achieved and cost reduction by 20-30% each year will continue until costs are below that of conventional luminaires.</w:t>
      </w:r>
    </w:p>
    <w:p w:rsidR="00297A17" w:rsidRPr="00666B27" w:rsidRDefault="00297A17" w:rsidP="00297A17">
      <w:pPr>
        <w:spacing w:after="0"/>
        <w:rPr>
          <w:u w:val="single"/>
          <w:lang w:val="en-GB" w:eastAsia="en-GB"/>
        </w:rPr>
      </w:pPr>
    </w:p>
    <w:p w:rsidR="00297A17" w:rsidRPr="00666B27" w:rsidRDefault="00297A17" w:rsidP="00297A17">
      <w:pPr>
        <w:spacing w:after="0"/>
        <w:rPr>
          <w:u w:val="single"/>
          <w:lang w:val="en-GB" w:eastAsia="en-GB"/>
        </w:rPr>
      </w:pPr>
      <w:r w:rsidRPr="00666B27">
        <w:rPr>
          <w:u w:val="single"/>
          <w:lang w:val="en-GB" w:eastAsia="en-GB"/>
        </w:rPr>
        <w:t>LED market developments</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Globally, the lighting industry is transforming. LEDs are entering all end-use applications in the lighting market, from the non-directional household lamp, directional (or “spot”) light, LED tubular lamps (to replace fluorescent tubes and dedicated LED luminaire. Also, LED street lights, flood lights, high-bay replacements, and many other </w:t>
      </w:r>
      <w:r w:rsidRPr="00666B27">
        <w:rPr>
          <w:noProof/>
          <w:lang w:val="en-GB" w:eastAsia="en-GB"/>
        </w:rPr>
        <w:t>luminaires</w:t>
      </w:r>
      <w:r w:rsidRPr="00666B27">
        <w:rPr>
          <w:lang w:val="en-GB" w:eastAsia="en-GB"/>
        </w:rPr>
        <w:t xml:space="preserve"> and technologies are offered in the dynamic LED lighting market. In the medium to long-term, LEDs are expected by many to be the primary light source in all applications.</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 In the past, the lighting industry had two general distinct product segments: manufacturers of lamps (i.e. light bulbs) and manufacturers of luminaires (i.e. fixtures) The manufacturers of lamps (or commonly called “light bulbs”) were a small number of large, global suppliers whose majority of business was based around the sale of replacement lamps. Manufacturers of luminaires, where there are </w:t>
      </w:r>
      <w:proofErr w:type="gramStart"/>
      <w:r w:rsidRPr="00666B27">
        <w:rPr>
          <w:lang w:val="en-GB" w:eastAsia="en-GB"/>
        </w:rPr>
        <w:t>a large number of</w:t>
      </w:r>
      <w:proofErr w:type="gramEnd"/>
      <w:r w:rsidRPr="00666B27">
        <w:rPr>
          <w:lang w:val="en-GB" w:eastAsia="en-GB"/>
        </w:rPr>
        <w:t xml:space="preserve"> companies, tended to be more application- and regionally focused, </w:t>
      </w:r>
      <w:r w:rsidRPr="00666B27">
        <w:rPr>
          <w:noProof/>
          <w:lang w:val="en-GB" w:eastAsia="en-GB"/>
        </w:rPr>
        <w:t>specialising</w:t>
      </w:r>
      <w:r w:rsidRPr="00666B27">
        <w:rPr>
          <w:lang w:val="en-GB" w:eastAsia="en-GB"/>
        </w:rPr>
        <w:t xml:space="preserve"> in the production of comparatively small batches of a large variety of luminaires. Today the boundaries between the lamp and luminaire businesses have blurred. This is because of the increasing number of LED </w:t>
      </w:r>
      <w:r w:rsidR="001B375A" w:rsidRPr="00666B27">
        <w:rPr>
          <w:lang w:val="en-GB" w:eastAsia="en-GB"/>
        </w:rPr>
        <w:t xml:space="preserve">lamp-luminaire </w:t>
      </w:r>
      <w:r w:rsidRPr="00666B27">
        <w:rPr>
          <w:lang w:val="en-GB" w:eastAsia="en-GB"/>
        </w:rPr>
        <w:t>solutions. LED light sources bring the potential for ultra-long service life, which will gradually eliminate the replacement lamp business.</w:t>
      </w:r>
    </w:p>
    <w:p w:rsidR="00297A17" w:rsidRPr="00666B27" w:rsidRDefault="00297A17"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Street and traffic lighting</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There are no nation-wide statistics that are readily available on the number of lamps used in street lighting and </w:t>
      </w:r>
      <w:r w:rsidRPr="00666B27">
        <w:rPr>
          <w:noProof/>
          <w:lang w:val="en-GB" w:eastAsia="en-GB"/>
        </w:rPr>
        <w:t>type</w:t>
      </w:r>
      <w:r w:rsidRPr="00666B27">
        <w:rPr>
          <w:lang w:val="en-GB" w:eastAsia="en-GB"/>
        </w:rPr>
        <w:t xml:space="preserve"> of lamps used. The South African Cities Network (SACN) has carried a study on </w:t>
      </w:r>
      <w:r w:rsidRPr="00666B27">
        <w:rPr>
          <w:i/>
          <w:lang w:val="en-GB" w:eastAsia="en-GB"/>
        </w:rPr>
        <w:t>Modelling Energy Efficiency Potential in Municipal Operations in the Nine Member Cities of the SACN</w:t>
      </w:r>
      <w:r w:rsidRPr="00666B27">
        <w:rPr>
          <w:lang w:val="en-GB" w:eastAsia="en-GB"/>
        </w:rPr>
        <w:t xml:space="preserve"> (2014) that also include street lighting.</w:t>
      </w:r>
    </w:p>
    <w:p w:rsidR="00297A17" w:rsidRPr="0057545E" w:rsidRDefault="003A2690" w:rsidP="00297A17">
      <w:pPr>
        <w:spacing w:after="0"/>
        <w:rPr>
          <w:lang w:val="en-GB" w:eastAsia="en-GB"/>
        </w:rPr>
      </w:pPr>
      <w:r>
        <w:rPr>
          <w:noProof/>
        </w:rPr>
        <mc:AlternateContent>
          <mc:Choice Requires="wps">
            <w:drawing>
              <wp:anchor distT="45720" distB="45720" distL="144145" distR="144145" simplePos="0" relativeHeight="251626496" behindDoc="1" locked="0" layoutInCell="1" allowOverlap="1">
                <wp:simplePos x="0" y="0"/>
                <wp:positionH relativeFrom="margin">
                  <wp:posOffset>2577465</wp:posOffset>
                </wp:positionH>
                <wp:positionV relativeFrom="page">
                  <wp:posOffset>5253355</wp:posOffset>
                </wp:positionV>
                <wp:extent cx="3927475" cy="1960880"/>
                <wp:effectExtent l="0" t="0" r="0" b="1270"/>
                <wp:wrapTight wrapText="bothSides">
                  <wp:wrapPolygon edited="0">
                    <wp:start x="0" y="0"/>
                    <wp:lineTo x="0" y="21614"/>
                    <wp:lineTo x="21583" y="21614"/>
                    <wp:lineTo x="21583" y="0"/>
                    <wp:lineTo x="0" y="0"/>
                  </wp:wrapPolygon>
                </wp:wrapTight>
                <wp:docPr id="236"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7475" cy="1960880"/>
                        </a:xfrm>
                        <a:prstGeom prst="rect">
                          <a:avLst/>
                        </a:prstGeom>
                        <a:solidFill>
                          <a:srgbClr val="ED7D31">
                            <a:lumMod val="20000"/>
                            <a:lumOff val="80000"/>
                          </a:srgbClr>
                        </a:solidFill>
                        <a:ln w="15875">
                          <a:solidFill>
                            <a:srgbClr val="ED7D31">
                              <a:lumMod val="20000"/>
                              <a:lumOff val="80000"/>
                            </a:srgbClr>
                          </a:solidFill>
                        </a:ln>
                      </wps:spPr>
                      <wps:txbx>
                        <w:txbxContent>
                          <w:p w:rsidR="00540FEA" w:rsidRDefault="00540FEA" w:rsidP="00297A17">
                            <w:pPr>
                              <w:pStyle w:val="Caption"/>
                              <w:ind w:left="709" w:hanging="709"/>
                              <w:rPr>
                                <w:rFonts w:ascii="Arial" w:hAnsi="Arial" w:cs="Arial"/>
                                <w:color w:val="2E74B5"/>
                                <w:sz w:val="18"/>
                              </w:rPr>
                            </w:pPr>
                            <w:bookmarkStart w:id="256" w:name="_Toc496967027"/>
                            <w:bookmarkStart w:id="257" w:name="_Toc17985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r>
                              <w:rPr>
                                <w:rFonts w:ascii="Arial" w:hAnsi="Arial" w:cs="Arial"/>
                                <w:color w:val="2E74B5"/>
                                <w:sz w:val="18"/>
                              </w:rPr>
                              <w:tab/>
                              <w:t>Street lighting characteristics in South African cities</w:t>
                            </w:r>
                            <w:bookmarkEnd w:id="256"/>
                            <w:bookmarkEnd w:id="257"/>
                          </w:p>
                          <w:p w:rsidR="00540FEA" w:rsidRDefault="00540FEA"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172"/>
                              <w:gridCol w:w="1172"/>
                              <w:gridCol w:w="1174"/>
                              <w:gridCol w:w="1170"/>
                            </w:tblGrid>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p>
                              </w:tc>
                              <w:tc>
                                <w:tcPr>
                                  <w:tcW w:w="1182" w:type="dxa"/>
                                  <w:shd w:val="clear" w:color="auto" w:fill="auto"/>
                                </w:tcPr>
                                <w:p w:rsidR="00540FEA" w:rsidRPr="002E1CC5" w:rsidRDefault="00540FEA" w:rsidP="002E1CC5">
                                  <w:pPr>
                                    <w:spacing w:after="0"/>
                                    <w:jc w:val="center"/>
                                    <w:rPr>
                                      <w:rFonts w:ascii="Arial Narrow" w:hAnsi="Arial Narrow"/>
                                      <w:noProof/>
                                      <w:sz w:val="18"/>
                                      <w:lang w:val="en-GB"/>
                                    </w:rPr>
                                  </w:pPr>
                                  <w:r w:rsidRPr="002E1CC5">
                                    <w:rPr>
                                      <w:rFonts w:ascii="Arial Narrow" w:hAnsi="Arial Narrow"/>
                                      <w:noProof/>
                                      <w:sz w:val="18"/>
                                      <w:lang w:val="en-GB"/>
                                    </w:rPr>
                                    <w:t># of lamps</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Mercury vapour (MV)</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High-pressure sodium (HPS)</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Metal halide</w:t>
                                  </w: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Buffalo City</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128,375</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82%</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Cape Town</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210,385</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41%</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59%</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Tshwane</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122,638</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75%</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25%</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eThekwini</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129,688</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76%</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23%</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w:t>
                                  </w: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Mangaung</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21,123</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72%</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9%</w:t>
                                  </w:r>
                                </w:p>
                              </w:tc>
                            </w:tr>
                            <w:tr w:rsidR="00540FEA" w:rsidRPr="002E1CC5" w:rsidTr="002E1CC5">
                              <w:tc>
                                <w:tcPr>
                                  <w:tcW w:w="1182" w:type="dxa"/>
                                  <w:shd w:val="clear" w:color="auto" w:fill="auto"/>
                                </w:tcPr>
                                <w:p w:rsidR="00540FEA" w:rsidRPr="002E1CC5" w:rsidRDefault="00540FEA" w:rsidP="002E1CC5">
                                  <w:pPr>
                                    <w:spacing w:after="0"/>
                                    <w:jc w:val="right"/>
                                    <w:rPr>
                                      <w:rFonts w:ascii="Arial Narrow" w:hAnsi="Arial Narrow"/>
                                      <w:noProof/>
                                      <w:sz w:val="18"/>
                                    </w:rPr>
                                  </w:pPr>
                                  <w:r w:rsidRPr="002E1CC5">
                                    <w:rPr>
                                      <w:rFonts w:ascii="Arial Narrow" w:hAnsi="Arial Narrow"/>
                                      <w:noProof/>
                                      <w:sz w:val="18"/>
                                    </w:rPr>
                                    <w:t>Total</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712,209</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67%</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33%</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w:t>
                                  </w:r>
                                </w:p>
                              </w:tc>
                            </w:tr>
                          </w:tbl>
                          <w:p w:rsidR="00540FEA" w:rsidRPr="005552BF" w:rsidRDefault="00540FEA" w:rsidP="00297A17">
                            <w:pPr>
                              <w:spacing w:after="0"/>
                              <w:rPr>
                                <w:noProof/>
                                <w:sz w:val="18"/>
                              </w:rPr>
                            </w:pPr>
                          </w:p>
                          <w:p w:rsidR="00540FEA" w:rsidRPr="005552BF" w:rsidRDefault="00540FEA" w:rsidP="00297A17">
                            <w:pPr>
                              <w:spacing w:after="0"/>
                              <w:rPr>
                                <w:noProof/>
                                <w:sz w:val="18"/>
                              </w:rPr>
                            </w:pPr>
                            <w:r>
                              <w:rPr>
                                <w:i/>
                                <w:noProof/>
                                <w:sz w:val="18"/>
                              </w:rPr>
                              <w:t xml:space="preserve">Source: </w:t>
                            </w:r>
                            <w:r>
                              <w:rPr>
                                <w:noProof/>
                                <w:sz w:val="18"/>
                              </w:rPr>
                              <w:t>SACN (2014). For comparsion, in the 25 states of the European Union, the share of sodium lamps was 56%, MV 32%, metal halide 3% and CFLs 8% (2004)</w:t>
                            </w:r>
                          </w:p>
                          <w:p w:rsidR="00540FEA" w:rsidRDefault="00540FEA" w:rsidP="00297A17">
                            <w:pPr>
                              <w:spacing w:after="0"/>
                              <w:rPr>
                                <w:i/>
                                <w:noProof/>
                                <w:sz w:val="18"/>
                              </w:rPr>
                            </w:pPr>
                          </w:p>
                          <w:p w:rsidR="00540FEA" w:rsidRPr="00E376AE" w:rsidRDefault="00540FEA" w:rsidP="00297A17">
                            <w:pPr>
                              <w:rPr>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2" o:spid="_x0000_s1042" type="#_x0000_t202" style="position:absolute;left:0;text-align:left;margin-left:202.95pt;margin-top:413.65pt;width:309.25pt;height:154.4pt;z-index:-251689984;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" fillcolor="#fbe5d6" strokecolor="#fbe5d6" strokeweight="1.25pt">
                <v:textbox>
                  <w:txbxContent>
                    <w:p w:rsidR="00540FEA" w:rsidRDefault="00540FEA" w:rsidP="00297A17">
                      <w:pPr>
                        <w:pStyle w:val="Caption"/>
                        <w:ind w:left="709" w:hanging="709"/>
                        <w:rPr>
                          <w:rFonts w:ascii="Arial" w:hAnsi="Arial" w:cs="Arial"/>
                          <w:color w:val="2E74B5"/>
                          <w:sz w:val="18"/>
                        </w:rPr>
                      </w:pPr>
                      <w:bookmarkStart w:id="258" w:name="_Toc496967027"/>
                      <w:bookmarkStart w:id="259" w:name="_Toc17985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27</w:t>
                      </w:r>
                      <w:r w:rsidRPr="00A21E05">
                        <w:rPr>
                          <w:rFonts w:ascii="Arial" w:hAnsi="Arial" w:cs="Arial"/>
                          <w:color w:val="2E74B5"/>
                          <w:sz w:val="18"/>
                        </w:rPr>
                        <w:fldChar w:fldCharType="end"/>
                      </w:r>
                      <w:r>
                        <w:rPr>
                          <w:rFonts w:ascii="Arial" w:hAnsi="Arial" w:cs="Arial"/>
                          <w:color w:val="2E74B5"/>
                          <w:sz w:val="18"/>
                        </w:rPr>
                        <w:tab/>
                        <w:t>Street lighting characteristics in South African cities</w:t>
                      </w:r>
                      <w:bookmarkEnd w:id="258"/>
                      <w:bookmarkEnd w:id="259"/>
                    </w:p>
                    <w:p w:rsidR="00540FEA" w:rsidRDefault="00540FEA" w:rsidP="00297A17">
                      <w:pPr>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5"/>
                        <w:gridCol w:w="1172"/>
                        <w:gridCol w:w="1172"/>
                        <w:gridCol w:w="1174"/>
                        <w:gridCol w:w="1170"/>
                      </w:tblGrid>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p>
                        </w:tc>
                        <w:tc>
                          <w:tcPr>
                            <w:tcW w:w="1182" w:type="dxa"/>
                            <w:shd w:val="clear" w:color="auto" w:fill="auto"/>
                          </w:tcPr>
                          <w:p w:rsidR="00540FEA" w:rsidRPr="002E1CC5" w:rsidRDefault="00540FEA" w:rsidP="002E1CC5">
                            <w:pPr>
                              <w:spacing w:after="0"/>
                              <w:jc w:val="center"/>
                              <w:rPr>
                                <w:rFonts w:ascii="Arial Narrow" w:hAnsi="Arial Narrow"/>
                                <w:noProof/>
                                <w:sz w:val="18"/>
                                <w:lang w:val="en-GB"/>
                              </w:rPr>
                            </w:pPr>
                            <w:r w:rsidRPr="002E1CC5">
                              <w:rPr>
                                <w:rFonts w:ascii="Arial Narrow" w:hAnsi="Arial Narrow"/>
                                <w:noProof/>
                                <w:sz w:val="18"/>
                                <w:lang w:val="en-GB"/>
                              </w:rPr>
                              <w:t># of lamps</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Mercury vapour (MV)</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High-pressure sodium (HPS)</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Metal halide</w:t>
                            </w: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Buffalo City</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128,375</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82%</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Cape Town</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210,385</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41%</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59%</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Tshwane</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122,638</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75%</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25%</w:t>
                            </w:r>
                          </w:p>
                        </w:tc>
                        <w:tc>
                          <w:tcPr>
                            <w:tcW w:w="1183" w:type="dxa"/>
                            <w:shd w:val="clear" w:color="auto" w:fill="auto"/>
                          </w:tcPr>
                          <w:p w:rsidR="00540FEA" w:rsidRPr="002E1CC5" w:rsidRDefault="00540FEA" w:rsidP="002E1CC5">
                            <w:pPr>
                              <w:spacing w:after="0"/>
                              <w:jc w:val="center"/>
                              <w:rPr>
                                <w:rFonts w:ascii="Arial Narrow" w:hAnsi="Arial Narrow"/>
                                <w:noProof/>
                                <w:sz w:val="18"/>
                              </w:rPr>
                            </w:pP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eThekwini</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129,688</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76%</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23%</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w:t>
                            </w:r>
                          </w:p>
                        </w:tc>
                      </w:tr>
                      <w:tr w:rsidR="00540FEA" w:rsidRPr="002E1CC5" w:rsidTr="002E1CC5">
                        <w:tc>
                          <w:tcPr>
                            <w:tcW w:w="1182" w:type="dxa"/>
                            <w:shd w:val="clear" w:color="auto" w:fill="auto"/>
                          </w:tcPr>
                          <w:p w:rsidR="00540FEA" w:rsidRPr="002E1CC5" w:rsidRDefault="00540FEA" w:rsidP="002E1CC5">
                            <w:pPr>
                              <w:spacing w:after="0"/>
                              <w:rPr>
                                <w:rFonts w:ascii="Arial Narrow" w:hAnsi="Arial Narrow"/>
                                <w:noProof/>
                                <w:sz w:val="18"/>
                              </w:rPr>
                            </w:pPr>
                            <w:r w:rsidRPr="002E1CC5">
                              <w:rPr>
                                <w:rFonts w:ascii="Arial Narrow" w:hAnsi="Arial Narrow"/>
                                <w:noProof/>
                                <w:sz w:val="18"/>
                              </w:rPr>
                              <w:t>Mangaung</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21,123</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72%</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18%</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9%</w:t>
                            </w:r>
                          </w:p>
                        </w:tc>
                      </w:tr>
                      <w:tr w:rsidR="00540FEA" w:rsidRPr="002E1CC5" w:rsidTr="002E1CC5">
                        <w:tc>
                          <w:tcPr>
                            <w:tcW w:w="1182" w:type="dxa"/>
                            <w:shd w:val="clear" w:color="auto" w:fill="auto"/>
                          </w:tcPr>
                          <w:p w:rsidR="00540FEA" w:rsidRPr="002E1CC5" w:rsidRDefault="00540FEA" w:rsidP="002E1CC5">
                            <w:pPr>
                              <w:spacing w:after="0"/>
                              <w:jc w:val="right"/>
                              <w:rPr>
                                <w:rFonts w:ascii="Arial Narrow" w:hAnsi="Arial Narrow"/>
                                <w:noProof/>
                                <w:sz w:val="18"/>
                              </w:rPr>
                            </w:pPr>
                            <w:r w:rsidRPr="002E1CC5">
                              <w:rPr>
                                <w:rFonts w:ascii="Arial Narrow" w:hAnsi="Arial Narrow"/>
                                <w:noProof/>
                                <w:sz w:val="18"/>
                              </w:rPr>
                              <w:t>Total</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712,209</w:t>
                            </w:r>
                          </w:p>
                        </w:tc>
                        <w:tc>
                          <w:tcPr>
                            <w:tcW w:w="1182"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67%</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33%</w:t>
                            </w:r>
                          </w:p>
                        </w:tc>
                        <w:tc>
                          <w:tcPr>
                            <w:tcW w:w="1183" w:type="dxa"/>
                            <w:shd w:val="clear" w:color="auto" w:fill="auto"/>
                          </w:tcPr>
                          <w:p w:rsidR="00540FEA" w:rsidRPr="002E1CC5" w:rsidRDefault="00540FEA" w:rsidP="002E1CC5">
                            <w:pPr>
                              <w:spacing w:after="0"/>
                              <w:jc w:val="center"/>
                              <w:rPr>
                                <w:rFonts w:ascii="Arial Narrow" w:hAnsi="Arial Narrow"/>
                                <w:noProof/>
                                <w:sz w:val="18"/>
                              </w:rPr>
                            </w:pPr>
                            <w:r w:rsidRPr="002E1CC5">
                              <w:rPr>
                                <w:rFonts w:ascii="Arial Narrow" w:hAnsi="Arial Narrow"/>
                                <w:noProof/>
                                <w:sz w:val="18"/>
                              </w:rPr>
                              <w:t>1%</w:t>
                            </w:r>
                          </w:p>
                        </w:tc>
                      </w:tr>
                    </w:tbl>
                    <w:p w:rsidR="00540FEA" w:rsidRPr="005552BF" w:rsidRDefault="00540FEA" w:rsidP="00297A17">
                      <w:pPr>
                        <w:spacing w:after="0"/>
                        <w:rPr>
                          <w:noProof/>
                          <w:sz w:val="18"/>
                        </w:rPr>
                      </w:pPr>
                    </w:p>
                    <w:p w:rsidR="00540FEA" w:rsidRPr="005552BF" w:rsidRDefault="00540FEA" w:rsidP="00297A17">
                      <w:pPr>
                        <w:spacing w:after="0"/>
                        <w:rPr>
                          <w:noProof/>
                          <w:sz w:val="18"/>
                        </w:rPr>
                      </w:pPr>
                      <w:r>
                        <w:rPr>
                          <w:i/>
                          <w:noProof/>
                          <w:sz w:val="18"/>
                        </w:rPr>
                        <w:t xml:space="preserve">Source: </w:t>
                      </w:r>
                      <w:r>
                        <w:rPr>
                          <w:noProof/>
                          <w:sz w:val="18"/>
                        </w:rPr>
                        <w:t>SACN (2014). For comparsion, in the 25 states of the European Union, the share of sodium lamps was 56%, MV 32%, metal halide 3% and CFLs 8% (2004)</w:t>
                      </w:r>
                    </w:p>
                    <w:p w:rsidR="00540FEA" w:rsidRDefault="00540FEA" w:rsidP="00297A17">
                      <w:pPr>
                        <w:spacing w:after="0"/>
                        <w:rPr>
                          <w:i/>
                          <w:noProof/>
                          <w:sz w:val="18"/>
                        </w:rPr>
                      </w:pPr>
                    </w:p>
                    <w:p w:rsidR="00540FEA" w:rsidRPr="00E376AE" w:rsidRDefault="00540FEA" w:rsidP="00297A17">
                      <w:pPr>
                        <w:rPr>
                          <w:sz w:val="18"/>
                        </w:rPr>
                      </w:pPr>
                    </w:p>
                  </w:txbxContent>
                </v:textbox>
                <w10:wrap type="tight" anchorx="margin" anchory="page"/>
              </v:shape>
            </w:pict>
          </mc:Fallback>
        </mc:AlternateContent>
      </w:r>
    </w:p>
    <w:p w:rsidR="00297A17" w:rsidRPr="00666B27" w:rsidRDefault="00297A17" w:rsidP="00297A17">
      <w:pPr>
        <w:spacing w:after="0"/>
        <w:rPr>
          <w:lang w:val="en-GB" w:eastAsia="en-GB"/>
        </w:rPr>
      </w:pPr>
      <w:r w:rsidRPr="00353542">
        <w:rPr>
          <w:lang w:val="en-GB" w:eastAsia="en-GB"/>
        </w:rPr>
        <w:t>Street and traffic lighting usually account for between 15% and 30% of the total energy consumption within a municipality’s operations and it is one of the easiest energy efficiency (EE) inte</w:t>
      </w:r>
      <w:r w:rsidRPr="003B7D62">
        <w:rPr>
          <w:lang w:val="en-GB" w:eastAsia="en-GB"/>
        </w:rPr>
        <w:t xml:space="preserve">rvention areas. </w:t>
      </w:r>
      <w:r w:rsidR="001B375A" w:rsidRPr="004722F0">
        <w:rPr>
          <w:lang w:val="en-GB" w:eastAsia="en-GB"/>
        </w:rPr>
        <w:t>M</w:t>
      </w:r>
      <w:r w:rsidRPr="00666B27">
        <w:rPr>
          <w:lang w:val="en-GB" w:eastAsia="en-GB"/>
        </w:rPr>
        <w:t>any street lighting facilities in municipalities are outdated and therefore highly inefficient. Old lighting technology also has higher maintenance requirements. Most of the common technical measures applied to address EE in street lighting can generate between 38% to 54% energy savings per measure and these have very short payback periods.</w:t>
      </w:r>
    </w:p>
    <w:p w:rsidR="00297A17" w:rsidRPr="00666B27" w:rsidRDefault="00297A17" w:rsidP="00297A17">
      <w:pPr>
        <w:spacing w:after="0"/>
        <w:rPr>
          <w:lang w:val="en-GB" w:eastAsia="en-GB"/>
        </w:rPr>
      </w:pPr>
    </w:p>
    <w:p w:rsidR="00297A17" w:rsidRPr="004722F0" w:rsidRDefault="00297A17" w:rsidP="00297A17">
      <w:pPr>
        <w:spacing w:after="0"/>
        <w:rPr>
          <w:lang w:val="en-GB" w:eastAsia="en-GB"/>
        </w:rPr>
      </w:pPr>
      <w:r w:rsidRPr="00666B27">
        <w:rPr>
          <w:lang w:val="en-GB" w:eastAsia="en-GB"/>
        </w:rPr>
        <w:t xml:space="preserve">Mercury </w:t>
      </w:r>
      <w:r w:rsidRPr="00666B27">
        <w:rPr>
          <w:noProof/>
          <w:lang w:val="en-GB" w:eastAsia="en-GB"/>
        </w:rPr>
        <w:t>vapour</w:t>
      </w:r>
      <w:r w:rsidRPr="00666B27">
        <w:rPr>
          <w:lang w:val="en-GB" w:eastAsia="en-GB"/>
        </w:rPr>
        <w:t xml:space="preserve"> (MV) lamps are said to have been introduced in the 195</w:t>
      </w:r>
      <w:r w:rsidR="001B375A" w:rsidRPr="00666B27">
        <w:rPr>
          <w:lang w:val="en-GB" w:eastAsia="en-GB"/>
        </w:rPr>
        <w:t>0</w:t>
      </w:r>
      <w:r w:rsidRPr="00666B27">
        <w:rPr>
          <w:lang w:val="en-GB" w:eastAsia="en-GB"/>
        </w:rPr>
        <w:t xml:space="preserve">s and were deemed a major improvement over the incandescent light bulbs. Metal halides are </w:t>
      </w:r>
      <w:r w:rsidRPr="00666B27">
        <w:rPr>
          <w:noProof/>
          <w:lang w:val="en-GB" w:eastAsia="en-GB"/>
        </w:rPr>
        <w:t>a newer</w:t>
      </w:r>
      <w:r w:rsidRPr="00666B27">
        <w:rPr>
          <w:lang w:val="en-GB" w:eastAsia="en-GB"/>
        </w:rPr>
        <w:t xml:space="preserve"> and more efficient than MV lighting technology. HPS lamps have a high efficiency when compared to MV and MH lamps on a lumen/watt scale. CFL luminaires have improved over time although their use in street lighting is rare in South African municipalities. Inefficient MV luminaires make up 62% of the total number of installed luminaires across the nine cities. Substituting MV with LED attractive in the street lighting will result in greater savings of 71% (SACN Report 2014</w:t>
      </w:r>
      <w:r w:rsidRPr="0057545E">
        <w:rPr>
          <w:vertAlign w:val="superscript"/>
          <w:lang w:val="en-GB" w:eastAsia="en-GB"/>
        </w:rPr>
        <w:footnoteReference w:id="45"/>
      </w:r>
      <w:r w:rsidRPr="0057545E">
        <w:rPr>
          <w:lang w:val="en-GB" w:eastAsia="en-GB"/>
        </w:rPr>
        <w:t>). However, most of the municipalities have been retrofitting with HP</w:t>
      </w:r>
      <w:r w:rsidRPr="00353542">
        <w:rPr>
          <w:lang w:val="en-GB" w:eastAsia="en-GB"/>
        </w:rPr>
        <w:t xml:space="preserve">S </w:t>
      </w:r>
      <w:r w:rsidR="003A2690">
        <w:rPr>
          <w:noProof/>
        </w:rPr>
        <w:lastRenderedPageBreak/>
        <mc:AlternateContent>
          <mc:Choice Requires="wps">
            <w:drawing>
              <wp:anchor distT="45720" distB="45720" distL="144145" distR="144145" simplePos="0" relativeHeight="251627520" behindDoc="1" locked="0" layoutInCell="1" allowOverlap="1">
                <wp:simplePos x="0" y="0"/>
                <wp:positionH relativeFrom="margin">
                  <wp:posOffset>-19050</wp:posOffset>
                </wp:positionH>
                <wp:positionV relativeFrom="margin">
                  <wp:align>top</wp:align>
                </wp:positionV>
                <wp:extent cx="6543040" cy="2611120"/>
                <wp:effectExtent l="0" t="0" r="0" b="0"/>
                <wp:wrapTight wrapText="bothSides">
                  <wp:wrapPolygon edited="0">
                    <wp:start x="0" y="0"/>
                    <wp:lineTo x="0" y="21432"/>
                    <wp:lineTo x="21508" y="21432"/>
                    <wp:lineTo x="21508" y="0"/>
                    <wp:lineTo x="0" y="0"/>
                  </wp:wrapPolygon>
                </wp:wrapTight>
                <wp:docPr id="235"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3040" cy="2611120"/>
                        </a:xfrm>
                        <a:prstGeom prst="rect">
                          <a:avLst/>
                        </a:prstGeom>
                        <a:solidFill>
                          <a:srgbClr val="ED7D31">
                            <a:lumMod val="20000"/>
                            <a:lumOff val="80000"/>
                          </a:srgbClr>
                        </a:solidFill>
                        <a:ln>
                          <a:noFill/>
                        </a:ln>
                      </wps:spPr>
                      <wps:txbx>
                        <w:txbxContent>
                          <w:p w:rsidR="00540FEA" w:rsidRDefault="00540FEA" w:rsidP="00297A17">
                            <w:pPr>
                              <w:pStyle w:val="Caption"/>
                              <w:rPr>
                                <w:rFonts w:ascii="Arial" w:hAnsi="Arial" w:cs="Arial"/>
                                <w:color w:val="2E74B5"/>
                                <w:sz w:val="18"/>
                              </w:rPr>
                            </w:pPr>
                            <w:bookmarkStart w:id="260" w:name="_Ref275152"/>
                            <w:bookmarkStart w:id="261" w:name="_Toc496967028"/>
                            <w:bookmarkStart w:id="262" w:name="_Toc17985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28</w:t>
                            </w:r>
                            <w:r w:rsidRPr="00A21E05">
                              <w:rPr>
                                <w:rFonts w:ascii="Arial" w:hAnsi="Arial" w:cs="Arial"/>
                                <w:color w:val="2E74B5"/>
                                <w:sz w:val="18"/>
                              </w:rPr>
                              <w:fldChar w:fldCharType="end"/>
                            </w:r>
                            <w:bookmarkEnd w:id="260"/>
                            <w:r>
                              <w:rPr>
                                <w:rFonts w:ascii="Arial" w:hAnsi="Arial" w:cs="Arial"/>
                                <w:color w:val="2E74B5"/>
                                <w:sz w:val="18"/>
                              </w:rPr>
                              <w:tab/>
                              <w:t>Local production of LED street lighting luminaires</w:t>
                            </w:r>
                            <w:bookmarkEnd w:id="261"/>
                            <w:bookmarkEnd w:id="262"/>
                          </w:p>
                          <w:p w:rsidR="00540FEA" w:rsidRPr="00CC313E" w:rsidRDefault="00540FEA" w:rsidP="00297A17"/>
                          <w:p w:rsidR="00540FEA" w:rsidRDefault="00540FEA" w:rsidP="00297A17">
                            <w:pPr>
                              <w:spacing w:after="0"/>
                              <w:rPr>
                                <w:noProof/>
                                <w:sz w:val="19"/>
                                <w:szCs w:val="19"/>
                              </w:rPr>
                            </w:pPr>
                            <w:r w:rsidRPr="000879A6">
                              <w:rPr>
                                <w:noProof/>
                                <w:sz w:val="19"/>
                                <w:szCs w:val="19"/>
                              </w:rPr>
                              <w:t>The CSIR (Council for Scientific and Industrial Research) has carried out a market assessment and  feasibility study  for the local production of LED luminaires for street lighting.</w:t>
                            </w:r>
                            <w:r>
                              <w:rPr>
                                <w:noProof/>
                                <w:sz w:val="19"/>
                                <w:szCs w:val="19"/>
                              </w:rPr>
                              <w:t xml:space="preserve">  The annual demand for LED street lighting (for new and retrofit applications) is estimated at 423,000 in municipalities and about 17,000 at national roads (managed by SANRAL). With potential exports of 9 million units to other parts of Africa, this market could make the establishment of a facility for LED street lighting manufacturing an feasible proposition. </w:t>
                            </w:r>
                            <w:r w:rsidRPr="000879A6">
                              <w:rPr>
                                <w:noProof/>
                                <w:sz w:val="19"/>
                                <w:szCs w:val="19"/>
                              </w:rPr>
                              <w:t>The establishment of the LED enterprises could result in the creation of sustainable job opportunities</w:t>
                            </w:r>
                            <w:r>
                              <w:rPr>
                                <w:noProof/>
                                <w:sz w:val="19"/>
                                <w:szCs w:val="19"/>
                              </w:rPr>
                              <w:t>, increase local content</w:t>
                            </w:r>
                            <w:r w:rsidRPr="000879A6">
                              <w:rPr>
                                <w:noProof/>
                                <w:sz w:val="19"/>
                                <w:szCs w:val="19"/>
                              </w:rPr>
                              <w:t xml:space="preserve"> and lead to economic growth</w:t>
                            </w:r>
                            <w:r>
                              <w:rPr>
                                <w:noProof/>
                                <w:sz w:val="19"/>
                                <w:szCs w:val="19"/>
                              </w:rPr>
                              <w:t xml:space="preserve">. </w:t>
                            </w:r>
                          </w:p>
                          <w:p w:rsidR="00540FEA" w:rsidRDefault="00540FEA" w:rsidP="00297A17">
                            <w:pPr>
                              <w:spacing w:after="0"/>
                              <w:rPr>
                                <w:noProof/>
                                <w:sz w:val="19"/>
                                <w:szCs w:val="19"/>
                              </w:rPr>
                            </w:pPr>
                          </w:p>
                          <w:p w:rsidR="00540FEA" w:rsidRDefault="00540FEA" w:rsidP="00297A17">
                            <w:pPr>
                              <w:spacing w:after="0"/>
                              <w:rPr>
                                <w:noProof/>
                                <w:sz w:val="19"/>
                                <w:szCs w:val="19"/>
                              </w:rPr>
                            </w:pPr>
                            <w:r>
                              <w:rPr>
                                <w:noProof/>
                                <w:sz w:val="19"/>
                                <w:szCs w:val="19"/>
                              </w:rPr>
                              <w:t xml:space="preserve">The study look into the establishment of a facility that can produce 8,600 LED street light lunimaires annually (150 W for national roads and major provincial roads, 80 W for urban and 50 W for rural roads). The production facility could be set up over a 2-year period costing about ZAR 13.61 million (inclduing design and engineering, company formation, construction and office, workforce training and procurement, installation and commissioning of machinery). Lamps could be sold at slightly below the average market price for street lighting: </w:t>
                            </w:r>
                            <w:r w:rsidRPr="001B375A">
                              <w:rPr>
                                <w:noProof/>
                                <w:sz w:val="19"/>
                                <w:szCs w:val="19"/>
                              </w:rPr>
                              <w:t xml:space="preserve">price (150 W: </w:t>
                            </w:r>
                            <w:r>
                              <w:rPr>
                                <w:noProof/>
                                <w:sz w:val="19"/>
                                <w:szCs w:val="19"/>
                              </w:rPr>
                              <w:t>ZAR</w:t>
                            </w:r>
                            <w:r w:rsidRPr="001B375A">
                              <w:rPr>
                                <w:noProof/>
                                <w:sz w:val="19"/>
                                <w:szCs w:val="19"/>
                              </w:rPr>
                              <w:t xml:space="preserve"> 7,774; 80 W: </w:t>
                            </w:r>
                            <w:r>
                              <w:rPr>
                                <w:noProof/>
                                <w:sz w:val="19"/>
                                <w:szCs w:val="19"/>
                              </w:rPr>
                              <w:t>ZAR</w:t>
                            </w:r>
                            <w:r w:rsidRPr="001B375A">
                              <w:rPr>
                                <w:noProof/>
                                <w:sz w:val="19"/>
                                <w:szCs w:val="19"/>
                              </w:rPr>
                              <w:t xml:space="preserve"> 5,697, 50 W: </w:t>
                            </w:r>
                            <w:r>
                              <w:rPr>
                                <w:noProof/>
                                <w:sz w:val="19"/>
                                <w:szCs w:val="19"/>
                              </w:rPr>
                              <w:t>ZAR</w:t>
                            </w:r>
                            <w:r w:rsidRPr="001B375A">
                              <w:rPr>
                                <w:noProof/>
                                <w:sz w:val="19"/>
                                <w:szCs w:val="19"/>
                              </w:rPr>
                              <w:t xml:space="preserve"> 5,021)</w:t>
                            </w:r>
                            <w:r>
                              <w:rPr>
                                <w:noProof/>
                                <w:sz w:val="19"/>
                                <w:szCs w:val="19"/>
                              </w:rPr>
                              <w:t>. Some grant funding with soft loans would be needed to ensure the business will have a positive cash flow and attractive financial indicators.</w:t>
                            </w:r>
                          </w:p>
                          <w:p w:rsidR="00540FEA" w:rsidRDefault="00540FEA" w:rsidP="00297A17">
                            <w:pPr>
                              <w:spacing w:after="0"/>
                              <w:rPr>
                                <w:noProof/>
                                <w:sz w:val="19"/>
                                <w:szCs w:val="19"/>
                              </w:rPr>
                            </w:pPr>
                          </w:p>
                          <w:p w:rsidR="00540FEA" w:rsidRPr="00540006" w:rsidRDefault="00540FEA" w:rsidP="00297A17">
                            <w:pPr>
                              <w:rPr>
                                <w:i/>
                                <w:noProof/>
                                <w:sz w:val="18"/>
                              </w:rPr>
                            </w:pPr>
                            <w:r w:rsidRPr="00A21E05">
                              <w:rPr>
                                <w:i/>
                                <w:noProof/>
                                <w:sz w:val="18"/>
                              </w:rPr>
                              <w:t>Source:</w:t>
                            </w:r>
                            <w:r>
                              <w:rPr>
                                <w:i/>
                                <w:noProof/>
                                <w:sz w:val="18"/>
                              </w:rPr>
                              <w:t xml:space="preserve"> </w:t>
                            </w:r>
                            <w:r w:rsidRPr="000879A6">
                              <w:rPr>
                                <w:noProof/>
                                <w:sz w:val="18"/>
                              </w:rPr>
                              <w:t>CSIR Enterprise Creation for Development</w:t>
                            </w:r>
                            <w:r>
                              <w:rPr>
                                <w:i/>
                                <w:noProof/>
                                <w:sz w:val="18"/>
                              </w:rPr>
                              <w:t xml:space="preserve"> Business Plan: </w:t>
                            </w:r>
                            <w:r w:rsidRPr="00540006">
                              <w:rPr>
                                <w:i/>
                                <w:noProof/>
                                <w:sz w:val="18"/>
                              </w:rPr>
                              <w:t>LED Light Enterprise</w:t>
                            </w:r>
                            <w:r>
                              <w:rPr>
                                <w:i/>
                                <w:noProof/>
                                <w:sz w:val="18"/>
                              </w:rPr>
                              <w:t xml:space="preserve"> (2015)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left:0;text-align:left;margin-left:-1.5pt;margin-top:0;width:515.2pt;height:205.6pt;z-index:-251688960;visibility:visible;mso-wrap-style:square;mso-width-percent:0;mso-height-percent:0;mso-wrap-distance-left:11.35pt;mso-wrap-distance-top:3.6pt;mso-wrap-distance-right:11.35pt;mso-wrap-distance-bottom:3.6pt;mso-position-horizontal:absolute;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" fillcolor="#fbe5d6" stroked="f">
                <v:textbox>
                  <w:txbxContent>
                    <w:p w:rsidR="00540FEA" w:rsidRDefault="00540FEA" w:rsidP="00297A17">
                      <w:pPr>
                        <w:pStyle w:val="Caption"/>
                        <w:rPr>
                          <w:rFonts w:ascii="Arial" w:hAnsi="Arial" w:cs="Arial"/>
                          <w:color w:val="2E74B5"/>
                          <w:sz w:val="18"/>
                        </w:rPr>
                      </w:pPr>
                      <w:bookmarkStart w:id="299" w:name="_Ref275152"/>
                      <w:bookmarkStart w:id="300" w:name="_Toc496967028"/>
                      <w:bookmarkStart w:id="301" w:name="_Toc17985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28</w:t>
                      </w:r>
                      <w:r w:rsidRPr="00A21E05">
                        <w:rPr>
                          <w:rFonts w:ascii="Arial" w:hAnsi="Arial" w:cs="Arial"/>
                          <w:color w:val="2E74B5"/>
                          <w:sz w:val="18"/>
                        </w:rPr>
                        <w:fldChar w:fldCharType="end"/>
                      </w:r>
                      <w:bookmarkEnd w:id="299"/>
                      <w:r>
                        <w:rPr>
                          <w:rFonts w:ascii="Arial" w:hAnsi="Arial" w:cs="Arial"/>
                          <w:color w:val="2E74B5"/>
                          <w:sz w:val="18"/>
                        </w:rPr>
                        <w:tab/>
                        <w:t>Local production of LED street lighting luminaires</w:t>
                      </w:r>
                      <w:bookmarkEnd w:id="300"/>
                      <w:bookmarkEnd w:id="301"/>
                    </w:p>
                    <w:p w:rsidR="00540FEA" w:rsidRPr="00CC313E" w:rsidRDefault="00540FEA" w:rsidP="00297A17"/>
                    <w:p w:rsidR="00540FEA" w:rsidRDefault="00540FEA" w:rsidP="00297A17">
                      <w:pPr>
                        <w:spacing w:after="0"/>
                        <w:rPr>
                          <w:noProof/>
                          <w:sz w:val="19"/>
                          <w:szCs w:val="19"/>
                        </w:rPr>
                      </w:pPr>
                      <w:r w:rsidRPr="000879A6">
                        <w:rPr>
                          <w:noProof/>
                          <w:sz w:val="19"/>
                          <w:szCs w:val="19"/>
                        </w:rPr>
                        <w:t>The CSIR (Council for Scientific and Industrial Research) has carried out a market assessment and  feasibility study  for the local production of LED luminaires for street lighting.</w:t>
                      </w:r>
                      <w:r>
                        <w:rPr>
                          <w:noProof/>
                          <w:sz w:val="19"/>
                          <w:szCs w:val="19"/>
                        </w:rPr>
                        <w:t xml:space="preserve">  The annual demand for LED street lighting (for new and retrofit applications) is estimated at 423,000 in municipalities and about 17,000 at national roads (managed by SANRAL). With potential exports of 9 million units to other parts of Africa, this market could make the establishment of a facility for LED street lighting manufacturing an feasible proposition. </w:t>
                      </w:r>
                      <w:r w:rsidRPr="000879A6">
                        <w:rPr>
                          <w:noProof/>
                          <w:sz w:val="19"/>
                          <w:szCs w:val="19"/>
                        </w:rPr>
                        <w:t>The establishment of the LED enterprises could result in the creation of sustainable job opportunities</w:t>
                      </w:r>
                      <w:r>
                        <w:rPr>
                          <w:noProof/>
                          <w:sz w:val="19"/>
                          <w:szCs w:val="19"/>
                        </w:rPr>
                        <w:t>, increase local content</w:t>
                      </w:r>
                      <w:r w:rsidRPr="000879A6">
                        <w:rPr>
                          <w:noProof/>
                          <w:sz w:val="19"/>
                          <w:szCs w:val="19"/>
                        </w:rPr>
                        <w:t xml:space="preserve"> and lead to economic growth</w:t>
                      </w:r>
                      <w:r>
                        <w:rPr>
                          <w:noProof/>
                          <w:sz w:val="19"/>
                          <w:szCs w:val="19"/>
                        </w:rPr>
                        <w:t xml:space="preserve">. </w:t>
                      </w:r>
                    </w:p>
                    <w:p w:rsidR="00540FEA" w:rsidRDefault="00540FEA" w:rsidP="00297A17">
                      <w:pPr>
                        <w:spacing w:after="0"/>
                        <w:rPr>
                          <w:noProof/>
                          <w:sz w:val="19"/>
                          <w:szCs w:val="19"/>
                        </w:rPr>
                      </w:pPr>
                    </w:p>
                    <w:p w:rsidR="00540FEA" w:rsidRDefault="00540FEA" w:rsidP="00297A17">
                      <w:pPr>
                        <w:spacing w:after="0"/>
                        <w:rPr>
                          <w:noProof/>
                          <w:sz w:val="19"/>
                          <w:szCs w:val="19"/>
                        </w:rPr>
                      </w:pPr>
                      <w:r>
                        <w:rPr>
                          <w:noProof/>
                          <w:sz w:val="19"/>
                          <w:szCs w:val="19"/>
                        </w:rPr>
                        <w:t xml:space="preserve">The study look into the establishment of a facility that can produce 8,600 LED street light lunimaires annually (150 W for national roads and major provincial roads, 80 W for urban and 50 W for rural roads). The production facility could be set up over a 2-year period costing about ZAR 13.61 million (inclduing design and engineering, company formation, construction and office, workforce training and procurement, installation and commissioning of machinery). Lamps could be sold at slightly below the average market price for street lighting: </w:t>
                      </w:r>
                      <w:r w:rsidRPr="001B375A">
                        <w:rPr>
                          <w:noProof/>
                          <w:sz w:val="19"/>
                          <w:szCs w:val="19"/>
                        </w:rPr>
                        <w:t xml:space="preserve">price (150 W: </w:t>
                      </w:r>
                      <w:r>
                        <w:rPr>
                          <w:noProof/>
                          <w:sz w:val="19"/>
                          <w:szCs w:val="19"/>
                        </w:rPr>
                        <w:t>ZAR</w:t>
                      </w:r>
                      <w:r w:rsidRPr="001B375A">
                        <w:rPr>
                          <w:noProof/>
                          <w:sz w:val="19"/>
                          <w:szCs w:val="19"/>
                        </w:rPr>
                        <w:t xml:space="preserve"> 7,774; 80 W: </w:t>
                      </w:r>
                      <w:r>
                        <w:rPr>
                          <w:noProof/>
                          <w:sz w:val="19"/>
                          <w:szCs w:val="19"/>
                        </w:rPr>
                        <w:t>ZAR</w:t>
                      </w:r>
                      <w:r w:rsidRPr="001B375A">
                        <w:rPr>
                          <w:noProof/>
                          <w:sz w:val="19"/>
                          <w:szCs w:val="19"/>
                        </w:rPr>
                        <w:t xml:space="preserve"> 5,697, 50 W: </w:t>
                      </w:r>
                      <w:r>
                        <w:rPr>
                          <w:noProof/>
                          <w:sz w:val="19"/>
                          <w:szCs w:val="19"/>
                        </w:rPr>
                        <w:t>ZAR</w:t>
                      </w:r>
                      <w:r w:rsidRPr="001B375A">
                        <w:rPr>
                          <w:noProof/>
                          <w:sz w:val="19"/>
                          <w:szCs w:val="19"/>
                        </w:rPr>
                        <w:t xml:space="preserve"> 5,021)</w:t>
                      </w:r>
                      <w:r>
                        <w:rPr>
                          <w:noProof/>
                          <w:sz w:val="19"/>
                          <w:szCs w:val="19"/>
                        </w:rPr>
                        <w:t>. Some grant funding with soft loans would be needed to ensure the business will have a positive cash flow and attractive financial indicators.</w:t>
                      </w:r>
                    </w:p>
                    <w:p w:rsidR="00540FEA" w:rsidRDefault="00540FEA" w:rsidP="00297A17">
                      <w:pPr>
                        <w:spacing w:after="0"/>
                        <w:rPr>
                          <w:noProof/>
                          <w:sz w:val="19"/>
                          <w:szCs w:val="19"/>
                        </w:rPr>
                      </w:pPr>
                    </w:p>
                    <w:p w:rsidR="00540FEA" w:rsidRPr="00540006" w:rsidRDefault="00540FEA" w:rsidP="00297A17">
                      <w:pPr>
                        <w:rPr>
                          <w:i/>
                          <w:noProof/>
                          <w:sz w:val="18"/>
                        </w:rPr>
                      </w:pPr>
                      <w:r w:rsidRPr="00A21E05">
                        <w:rPr>
                          <w:i/>
                          <w:noProof/>
                          <w:sz w:val="18"/>
                        </w:rPr>
                        <w:t>Source:</w:t>
                      </w:r>
                      <w:r>
                        <w:rPr>
                          <w:i/>
                          <w:noProof/>
                          <w:sz w:val="18"/>
                        </w:rPr>
                        <w:t xml:space="preserve"> </w:t>
                      </w:r>
                      <w:r w:rsidRPr="000879A6">
                        <w:rPr>
                          <w:noProof/>
                          <w:sz w:val="18"/>
                        </w:rPr>
                        <w:t>CSIR Enterprise Creation for Development</w:t>
                      </w:r>
                      <w:r>
                        <w:rPr>
                          <w:i/>
                          <w:noProof/>
                          <w:sz w:val="18"/>
                        </w:rPr>
                        <w:t xml:space="preserve"> Business Plan: </w:t>
                      </w:r>
                      <w:r w:rsidRPr="00540006">
                        <w:rPr>
                          <w:i/>
                          <w:noProof/>
                          <w:sz w:val="18"/>
                        </w:rPr>
                        <w:t>LED Light Enterprise</w:t>
                      </w:r>
                      <w:r>
                        <w:rPr>
                          <w:i/>
                          <w:noProof/>
                          <w:sz w:val="18"/>
                        </w:rPr>
                        <w:t xml:space="preserve"> (2015)</w:t>
                      </w:r>
                    </w:p>
                  </w:txbxContent>
                </v:textbox>
                <w10:wrap type="tight" anchorx="margin" anchory="margin"/>
              </v:shape>
            </w:pict>
          </mc:Fallback>
        </mc:AlternateContent>
      </w:r>
      <w:r w:rsidRPr="0057545E">
        <w:rPr>
          <w:lang w:val="en-GB" w:eastAsia="en-GB"/>
        </w:rPr>
        <w:t>luminaires because LEDs are still regarded with some caution due to lighting characteristic, untested lifespan and costs (SEA). New lighting technologi</w:t>
      </w:r>
      <w:r w:rsidRPr="00353542">
        <w:rPr>
          <w:lang w:val="en-GB" w:eastAsia="en-GB"/>
        </w:rPr>
        <w:t>es, such as LED or induction lamps, produce at even</w:t>
      </w:r>
      <w:r w:rsidRPr="003B7D62">
        <w:rPr>
          <w:lang w:val="en-GB" w:eastAsia="en-GB"/>
        </w:rPr>
        <w:t xml:space="preserve"> higher lumen per watt. </w:t>
      </w:r>
    </w:p>
    <w:p w:rsidR="00297A17" w:rsidRPr="00666B27" w:rsidRDefault="00297A17" w:rsidP="00297A17">
      <w:pPr>
        <w:spacing w:after="0"/>
        <w:rPr>
          <w:lang w:val="en-GB" w:eastAsia="en-GB"/>
        </w:rPr>
      </w:pPr>
    </w:p>
    <w:p w:rsidR="00297A17" w:rsidRPr="00666B27" w:rsidRDefault="003A2690" w:rsidP="00426F17">
      <w:pPr>
        <w:spacing w:after="0"/>
        <w:rPr>
          <w:lang w:val="en-GB" w:eastAsia="en-GB"/>
        </w:rPr>
      </w:pPr>
      <w:r>
        <w:rPr>
          <w:noProof/>
        </w:rPr>
        <mc:AlternateContent>
          <mc:Choice Requires="wps">
            <w:drawing>
              <wp:anchor distT="45720" distB="45720" distL="144145" distR="144145" simplePos="0" relativeHeight="251636736" behindDoc="1" locked="0" layoutInCell="1" allowOverlap="1">
                <wp:simplePos x="0" y="0"/>
                <wp:positionH relativeFrom="margin">
                  <wp:posOffset>2651760</wp:posOffset>
                </wp:positionH>
                <wp:positionV relativeFrom="margin">
                  <wp:posOffset>3364230</wp:posOffset>
                </wp:positionV>
                <wp:extent cx="3799840" cy="4562475"/>
                <wp:effectExtent l="0" t="0" r="0" b="0"/>
                <wp:wrapTight wrapText="bothSides">
                  <wp:wrapPolygon edited="0">
                    <wp:start x="0" y="0"/>
                    <wp:lineTo x="0" y="21555"/>
                    <wp:lineTo x="21441" y="21555"/>
                    <wp:lineTo x="21441" y="0"/>
                    <wp:lineTo x="0" y="0"/>
                  </wp:wrapPolygon>
                </wp:wrapTight>
                <wp:docPr id="23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9840" cy="4562475"/>
                        </a:xfrm>
                        <a:prstGeom prst="rect">
                          <a:avLst/>
                        </a:prstGeom>
                        <a:solidFill>
                          <a:srgbClr val="ED7D31">
                            <a:lumMod val="20000"/>
                            <a:lumOff val="80000"/>
                          </a:srgbClr>
                        </a:solidFill>
                        <a:ln>
                          <a:noFill/>
                        </a:ln>
                      </wps:spPr>
                      <wps:txbx>
                        <w:txbxContent>
                          <w:p w:rsidR="00540FEA" w:rsidRDefault="00540FEA" w:rsidP="00426F17">
                            <w:pPr>
                              <w:pStyle w:val="Caption"/>
                              <w:rPr>
                                <w:rFonts w:ascii="Arial" w:hAnsi="Arial" w:cs="Arial"/>
                                <w:color w:val="2E74B5"/>
                                <w:sz w:val="18"/>
                              </w:rPr>
                            </w:pPr>
                            <w:bookmarkStart w:id="263" w:name="_Toc17985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29</w:t>
                            </w:r>
                            <w:r w:rsidRPr="00A21E05">
                              <w:rPr>
                                <w:rFonts w:ascii="Arial" w:hAnsi="Arial" w:cs="Arial"/>
                                <w:color w:val="2E74B5"/>
                                <w:sz w:val="18"/>
                              </w:rPr>
                              <w:fldChar w:fldCharType="end"/>
                            </w:r>
                            <w:r>
                              <w:rPr>
                                <w:rFonts w:ascii="Arial" w:hAnsi="Arial" w:cs="Arial"/>
                                <w:color w:val="2E74B5"/>
                                <w:sz w:val="18"/>
                              </w:rPr>
                              <w:tab/>
                              <w:t>Energy label, bulbs</w:t>
                            </w:r>
                            <w:bookmarkEnd w:id="263"/>
                          </w:p>
                          <w:p w:rsidR="00540FEA" w:rsidRPr="00CC313E" w:rsidRDefault="00540FEA" w:rsidP="00426F17"/>
                          <w:p w:rsidR="00540FEA" w:rsidRDefault="00540FEA" w:rsidP="00426F17">
                            <w:pPr>
                              <w:spacing w:after="0"/>
                              <w:rPr>
                                <w:noProof/>
                                <w:sz w:val="19"/>
                                <w:szCs w:val="19"/>
                              </w:rPr>
                            </w:pPr>
                            <w:r w:rsidRPr="00676649">
                              <w:rPr>
                                <w:noProof/>
                              </w:rPr>
                              <w:drawing>
                                <wp:inline distT="0" distB="0" distL="0" distR="0">
                                  <wp:extent cx="3403600" cy="3911600"/>
                                  <wp:effectExtent l="0" t="0" r="0" b="0"/>
                                  <wp:docPr id="26" name="Picture 3" descr="../../../../Desktop/Screen%20Shot%202017-10-10%20at%201.09.22%20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10-10%20at%201.09.22%20PM."/>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3403600" cy="3911600"/>
                                          </a:xfrm>
                                          <a:prstGeom prst="rect">
                                            <a:avLst/>
                                          </a:prstGeom>
                                          <a:noFill/>
                                          <a:ln>
                                            <a:noFill/>
                                          </a:ln>
                                        </pic:spPr>
                                      </pic:pic>
                                    </a:graphicData>
                                  </a:graphic>
                                </wp:inline>
                              </w:drawing>
                            </w:r>
                          </w:p>
                          <w:p w:rsidR="00540FEA" w:rsidRPr="00540006" w:rsidRDefault="00540FEA" w:rsidP="00F82CA5">
                            <w:pPr>
                              <w:rPr>
                                <w:i/>
                                <w:noProof/>
                                <w:sz w:val="18"/>
                              </w:rPr>
                            </w:pPr>
                            <w:r w:rsidRPr="00F82CA5">
                              <w:rPr>
                                <w:i/>
                                <w:noProof/>
                                <w:sz w:val="18"/>
                              </w:rPr>
                              <w:t>Source: A guide for Energy Efficiency labelling</w:t>
                            </w:r>
                            <w:r>
                              <w:rPr>
                                <w:i/>
                                <w:noProof/>
                                <w:sz w:val="18"/>
                              </w:rPr>
                              <w:t xml:space="preserve"> (</w:t>
                            </w:r>
                            <w:r w:rsidRPr="00F82CA5">
                              <w:rPr>
                                <w:noProof/>
                                <w:sz w:val="18"/>
                              </w:rPr>
                              <w:t xml:space="preserve">version 2.0. </w:t>
                            </w:r>
                            <w:r>
                              <w:rPr>
                                <w:noProof/>
                                <w:sz w:val="18"/>
                              </w:rPr>
                              <w:t>DoE;</w:t>
                            </w:r>
                            <w:r w:rsidRPr="00F82CA5">
                              <w:rPr>
                                <w:noProof/>
                                <w:sz w:val="18"/>
                              </w:rPr>
                              <w:t xml:space="preserve"> 2015</w:t>
                            </w:r>
                            <w:r>
                              <w:rPr>
                                <w:noProof/>
                                <w:sz w:val="18"/>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left:0;text-align:left;margin-left:208.8pt;margin-top:264.9pt;width:299.2pt;height:359.25pt;z-index:-251679744;visibility:visible;mso-wrap-style:square;mso-width-percent:0;mso-height-percent:0;mso-wrap-distance-left:11.35pt;mso-wrap-distance-top:3.6pt;mso-wrap-distance-right:11.35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" fillcolor="#fbe5d6" stroked="f">
                <v:textbox>
                  <w:txbxContent>
                    <w:p w:rsidR="00540FEA" w:rsidRDefault="00540FEA" w:rsidP="00426F17">
                      <w:pPr>
                        <w:pStyle w:val="Caption"/>
                        <w:rPr>
                          <w:rFonts w:ascii="Arial" w:hAnsi="Arial" w:cs="Arial"/>
                          <w:color w:val="2E74B5"/>
                          <w:sz w:val="18"/>
                        </w:rPr>
                      </w:pPr>
                      <w:bookmarkStart w:id="303" w:name="_Toc17985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29</w:t>
                      </w:r>
                      <w:r w:rsidRPr="00A21E05">
                        <w:rPr>
                          <w:rFonts w:ascii="Arial" w:hAnsi="Arial" w:cs="Arial"/>
                          <w:color w:val="2E74B5"/>
                          <w:sz w:val="18"/>
                        </w:rPr>
                        <w:fldChar w:fldCharType="end"/>
                      </w:r>
                      <w:r>
                        <w:rPr>
                          <w:rFonts w:ascii="Arial" w:hAnsi="Arial" w:cs="Arial"/>
                          <w:color w:val="2E74B5"/>
                          <w:sz w:val="18"/>
                        </w:rPr>
                        <w:tab/>
                        <w:t>Energy label, bulbs</w:t>
                      </w:r>
                      <w:bookmarkEnd w:id="303"/>
                    </w:p>
                    <w:p w:rsidR="00540FEA" w:rsidRPr="00CC313E" w:rsidRDefault="00540FEA" w:rsidP="00426F17"/>
                    <w:p w:rsidR="00540FEA" w:rsidRDefault="00540FEA" w:rsidP="00426F17">
                      <w:pPr>
                        <w:spacing w:after="0"/>
                        <w:rPr>
                          <w:noProof/>
                          <w:sz w:val="19"/>
                          <w:szCs w:val="19"/>
                        </w:rPr>
                      </w:pPr>
                      <w:r w:rsidRPr="00676649">
                        <w:rPr>
                          <w:noProof/>
                        </w:rPr>
                        <w:drawing>
                          <wp:inline distT="0" distB="0" distL="0" distR="0">
                            <wp:extent cx="3403600" cy="3911600"/>
                            <wp:effectExtent l="0" t="0" r="0" b="0"/>
                            <wp:docPr id="26" name="Picture 3" descr="../../../../Desktop/Screen%20Shot%202017-10-10%20at%201.09.22%20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ktop/Screen%20Shot%202017-10-10%20at%201.09.22%20PM."/>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3403600" cy="3911600"/>
                                    </a:xfrm>
                                    <a:prstGeom prst="rect">
                                      <a:avLst/>
                                    </a:prstGeom>
                                    <a:noFill/>
                                    <a:ln>
                                      <a:noFill/>
                                    </a:ln>
                                  </pic:spPr>
                                </pic:pic>
                              </a:graphicData>
                            </a:graphic>
                          </wp:inline>
                        </w:drawing>
                      </w:r>
                    </w:p>
                    <w:p w:rsidR="00540FEA" w:rsidRPr="00540006" w:rsidRDefault="00540FEA" w:rsidP="00F82CA5">
                      <w:pPr>
                        <w:rPr>
                          <w:i/>
                          <w:noProof/>
                          <w:sz w:val="18"/>
                        </w:rPr>
                      </w:pPr>
                      <w:r w:rsidRPr="00F82CA5">
                        <w:rPr>
                          <w:i/>
                          <w:noProof/>
                          <w:sz w:val="18"/>
                        </w:rPr>
                        <w:t>Source: A guide for Energy Efficiency labelling</w:t>
                      </w:r>
                      <w:r>
                        <w:rPr>
                          <w:i/>
                          <w:noProof/>
                          <w:sz w:val="18"/>
                        </w:rPr>
                        <w:t xml:space="preserve"> (</w:t>
                      </w:r>
                      <w:r w:rsidRPr="00F82CA5">
                        <w:rPr>
                          <w:noProof/>
                          <w:sz w:val="18"/>
                        </w:rPr>
                        <w:t xml:space="preserve">version 2.0. </w:t>
                      </w:r>
                      <w:r>
                        <w:rPr>
                          <w:noProof/>
                          <w:sz w:val="18"/>
                        </w:rPr>
                        <w:t>DoE;</w:t>
                      </w:r>
                      <w:r w:rsidRPr="00F82CA5">
                        <w:rPr>
                          <w:noProof/>
                          <w:sz w:val="18"/>
                        </w:rPr>
                        <w:t xml:space="preserve"> 2015</w:t>
                      </w:r>
                      <w:r>
                        <w:rPr>
                          <w:noProof/>
                          <w:sz w:val="18"/>
                        </w:rPr>
                        <w:t>)</w:t>
                      </w:r>
                    </w:p>
                  </w:txbxContent>
                </v:textbox>
                <w10:wrap type="tight" anchorx="margin" anchory="margin"/>
              </v:shape>
            </w:pict>
          </mc:Fallback>
        </mc:AlternateContent>
      </w:r>
      <w:r w:rsidR="00297A17" w:rsidRPr="0057545E">
        <w:rPr>
          <w:lang w:val="en-GB" w:eastAsia="en-GB"/>
        </w:rPr>
        <w:t xml:space="preserve">LED lighting has become the standard efficient retrofit technology for traffic lights </w:t>
      </w:r>
      <w:r w:rsidR="00297A17" w:rsidRPr="00353542">
        <w:rPr>
          <w:noProof/>
          <w:lang w:val="en-GB" w:eastAsia="en-GB"/>
        </w:rPr>
        <w:t>because</w:t>
      </w:r>
      <w:r w:rsidR="00297A17" w:rsidRPr="003B7D62">
        <w:rPr>
          <w:lang w:val="en-GB" w:eastAsia="en-GB"/>
        </w:rPr>
        <w:t xml:space="preserve"> LED traffic light fittings last 5 to 8 years, substantially reducing maintenance cost compared to incandescent and halogen lights. Oper</w:t>
      </w:r>
      <w:r w:rsidR="00297A17" w:rsidRPr="004722F0">
        <w:rPr>
          <w:lang w:val="en-GB" w:eastAsia="en-GB"/>
        </w:rPr>
        <w:t>ating costs are also massiv</w:t>
      </w:r>
      <w:r w:rsidR="00297A17" w:rsidRPr="00666B27">
        <w:rPr>
          <w:lang w:val="en-GB" w:eastAsia="en-GB"/>
        </w:rPr>
        <w:t>ely reduced due to the same level of illumination available with LED lighting, at a much lower wattage. Buffalo City, C</w:t>
      </w:r>
      <w:r w:rsidR="001B375A" w:rsidRPr="00666B27">
        <w:rPr>
          <w:lang w:val="en-GB" w:eastAsia="en-GB"/>
        </w:rPr>
        <w:t>ape Town,</w:t>
      </w:r>
      <w:r w:rsidR="00297A17" w:rsidRPr="00666B27">
        <w:rPr>
          <w:lang w:val="en-GB" w:eastAsia="en-GB"/>
        </w:rPr>
        <w:t xml:space="preserve"> eThekwini and Nelson Mandela Bay, have achieved 100% penetration of EE traffic lighting.</w:t>
      </w:r>
      <w:r w:rsidR="000F6708" w:rsidRPr="00666B27">
        <w:rPr>
          <w:lang w:val="en-GB" w:eastAsia="en-GB"/>
        </w:rPr>
        <w:t xml:space="preserve">  </w:t>
      </w:r>
      <w:r w:rsidR="00297A17" w:rsidRPr="00666B27">
        <w:rPr>
          <w:lang w:val="en-GB" w:eastAsia="en-GB"/>
        </w:rPr>
        <w:t xml:space="preserve">Opportunities exist for municipalities that have not achieved a 100% retrofit of their existing inefficient traffic lights with LED luminaires to expand their current programmes. </w:t>
      </w:r>
    </w:p>
    <w:p w:rsidR="00297A17" w:rsidRPr="00666B27" w:rsidRDefault="00297A17" w:rsidP="00426F17">
      <w:pPr>
        <w:spacing w:after="0"/>
        <w:rPr>
          <w:lang w:val="en-GB" w:eastAsia="en-GB"/>
        </w:rPr>
      </w:pPr>
    </w:p>
    <w:p w:rsidR="00297A17" w:rsidRPr="004722F0" w:rsidRDefault="00297A17" w:rsidP="00426F17">
      <w:pPr>
        <w:spacing w:after="0"/>
        <w:rPr>
          <w:lang w:val="en-GB" w:eastAsia="en-GB"/>
        </w:rPr>
      </w:pPr>
      <w:r w:rsidRPr="00666B27">
        <w:rPr>
          <w:lang w:val="en-GB" w:eastAsia="en-GB"/>
        </w:rPr>
        <w:t>The Department of Energy’s Municipal Energy Efficiency Demand Side Management (</w:t>
      </w:r>
      <w:r w:rsidR="001B375A" w:rsidRPr="00666B27">
        <w:rPr>
          <w:lang w:val="en-GB" w:eastAsia="en-GB"/>
        </w:rPr>
        <w:t>M</w:t>
      </w:r>
      <w:r w:rsidRPr="00666B27">
        <w:rPr>
          <w:lang w:val="en-GB" w:eastAsia="en-GB"/>
        </w:rPr>
        <w:t xml:space="preserve">EEDSM) </w:t>
      </w:r>
      <w:r w:rsidR="001B375A" w:rsidRPr="00666B27">
        <w:rPr>
          <w:lang w:val="en-GB" w:eastAsia="en-GB"/>
        </w:rPr>
        <w:t xml:space="preserve">programme (see </w:t>
      </w:r>
      <w:r w:rsidR="001B375A" w:rsidRPr="00353542">
        <w:rPr>
          <w:lang w:val="en-GB" w:eastAsia="en-GB"/>
        </w:rPr>
        <w:fldChar w:fldCharType="begin"/>
      </w:r>
      <w:r w:rsidR="001B375A" w:rsidRPr="00666B27">
        <w:rPr>
          <w:lang w:val="en-GB" w:eastAsia="en-GB"/>
        </w:rPr>
        <w:instrText xml:space="preserve"> REF _Ref535776767 \h </w:instrText>
      </w:r>
      <w:r w:rsidR="001B375A" w:rsidRPr="00353542">
        <w:rPr>
          <w:lang w:val="en-GB" w:eastAsia="en-GB"/>
        </w:rPr>
      </w:r>
      <w:r w:rsidR="001B375A"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34</w:t>
      </w:r>
      <w:r w:rsidR="001B375A" w:rsidRPr="00353542">
        <w:rPr>
          <w:lang w:val="en-GB" w:eastAsia="en-GB"/>
        </w:rPr>
        <w:fldChar w:fldCharType="end"/>
      </w:r>
      <w:r w:rsidR="001B375A" w:rsidRPr="0057545E">
        <w:rPr>
          <w:lang w:val="en-GB" w:eastAsia="en-GB"/>
        </w:rPr>
        <w:t xml:space="preserve">) </w:t>
      </w:r>
      <w:r w:rsidRPr="00353542">
        <w:rPr>
          <w:lang w:val="en-GB" w:eastAsia="en-GB"/>
        </w:rPr>
        <w:t>has supported municipalities in South Africa in implementing energy efficiency measures in street lighting, buildings and in the water and sewag</w:t>
      </w:r>
      <w:r w:rsidRPr="003B7D62">
        <w:rPr>
          <w:lang w:val="en-GB" w:eastAsia="en-GB"/>
        </w:rPr>
        <w:t>e infrastructure. During the period 2009/10-2014/15, the prog</w:t>
      </w:r>
      <w:r w:rsidRPr="004722F0">
        <w:rPr>
          <w:lang w:val="en-GB" w:eastAsia="en-GB"/>
        </w:rPr>
        <w:t xml:space="preserve">ramme managed to replace 459,172 street lights, usually replacing HPS for MV </w:t>
      </w:r>
      <w:r w:rsidRPr="00666B27">
        <w:rPr>
          <w:lang w:val="en-GB" w:eastAsia="en-GB"/>
        </w:rPr>
        <w:t xml:space="preserve">lighting. For example, </w:t>
      </w:r>
      <w:proofErr w:type="spellStart"/>
      <w:r w:rsidRPr="00666B27">
        <w:rPr>
          <w:lang w:val="en-GB" w:eastAsia="en-GB"/>
        </w:rPr>
        <w:t>Mafube</w:t>
      </w:r>
      <w:proofErr w:type="spellEnd"/>
      <w:r w:rsidRPr="00666B27">
        <w:rPr>
          <w:lang w:val="en-GB" w:eastAsia="en-GB"/>
        </w:rPr>
        <w:t xml:space="preserve"> replaced 140 MV (250 W) with HPS (150 W); Buffalo City, </w:t>
      </w:r>
      <w:proofErr w:type="spellStart"/>
      <w:r w:rsidRPr="00666B27">
        <w:rPr>
          <w:lang w:val="en-GB" w:eastAsia="en-GB"/>
        </w:rPr>
        <w:t>eKurhuleni</w:t>
      </w:r>
      <w:proofErr w:type="spellEnd"/>
      <w:r w:rsidRPr="00666B27">
        <w:rPr>
          <w:lang w:val="en-GB" w:eastAsia="en-GB"/>
        </w:rPr>
        <w:t xml:space="preserve">, Cape Town </w:t>
      </w:r>
      <w:proofErr w:type="spellStart"/>
      <w:r w:rsidRPr="00666B27">
        <w:rPr>
          <w:lang w:val="en-GB" w:eastAsia="en-GB"/>
        </w:rPr>
        <w:t>en</w:t>
      </w:r>
      <w:proofErr w:type="spellEnd"/>
      <w:r w:rsidRPr="00666B27">
        <w:rPr>
          <w:lang w:val="en-GB" w:eastAsia="en-GB"/>
        </w:rPr>
        <w:t xml:space="preserve"> eThekwini also replaced MV lamps with HPS. Nelson Mandela Bay is the only one that has been retrofitting with CFL luminaires, which </w:t>
      </w:r>
      <w:r w:rsidR="001C729F" w:rsidRPr="00666B27">
        <w:rPr>
          <w:lang w:val="en-GB" w:eastAsia="en-GB"/>
        </w:rPr>
        <w:t xml:space="preserve">do </w:t>
      </w:r>
      <w:r w:rsidRPr="00666B27">
        <w:rPr>
          <w:lang w:val="en-GB" w:eastAsia="en-GB"/>
        </w:rPr>
        <w:t xml:space="preserve">offer a considerable energy saving </w:t>
      </w:r>
      <w:r w:rsidR="001C729F" w:rsidRPr="00666B27">
        <w:rPr>
          <w:lang w:val="en-GB" w:eastAsia="en-GB"/>
        </w:rPr>
        <w:t xml:space="preserve">in comparison with </w:t>
      </w:r>
      <w:r w:rsidRPr="00666B27">
        <w:rPr>
          <w:lang w:val="en-GB" w:eastAsia="en-GB"/>
        </w:rPr>
        <w:t xml:space="preserve">HPS </w:t>
      </w:r>
      <w:r w:rsidR="003A2690">
        <w:rPr>
          <w:noProof/>
        </w:rPr>
        <w:lastRenderedPageBreak/>
        <mc:AlternateContent>
          <mc:Choice Requires="wps">
            <w:drawing>
              <wp:anchor distT="71755" distB="144145" distL="144145" distR="144145" simplePos="0" relativeHeight="251655168" behindDoc="1" locked="0" layoutInCell="1" allowOverlap="1">
                <wp:simplePos x="0" y="0"/>
                <wp:positionH relativeFrom="margin">
                  <wp:align>right</wp:align>
                </wp:positionH>
                <wp:positionV relativeFrom="margin">
                  <wp:posOffset>10160</wp:posOffset>
                </wp:positionV>
                <wp:extent cx="6318250" cy="3171825"/>
                <wp:effectExtent l="0" t="0" r="0" b="0"/>
                <wp:wrapTight wrapText="bothSides">
                  <wp:wrapPolygon edited="0">
                    <wp:start x="0" y="0"/>
                    <wp:lineTo x="0" y="21535"/>
                    <wp:lineTo x="21557" y="21535"/>
                    <wp:lineTo x="21557" y="0"/>
                    <wp:lineTo x="0" y="0"/>
                  </wp:wrapPolygon>
                </wp:wrapTight>
                <wp:docPr id="233"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8250" cy="3171825"/>
                        </a:xfrm>
                        <a:prstGeom prst="rect">
                          <a:avLst/>
                        </a:prstGeom>
                        <a:solidFill>
                          <a:srgbClr val="ED7D31">
                            <a:lumMod val="20000"/>
                            <a:lumOff val="80000"/>
                          </a:srgbClr>
                        </a:solidFill>
                        <a:ln>
                          <a:noFill/>
                        </a:ln>
                      </wps:spPr>
                      <wps:txbx>
                        <w:txbxContent>
                          <w:p w:rsidR="00540FEA" w:rsidRDefault="00540FEA" w:rsidP="00202887">
                            <w:pPr>
                              <w:pStyle w:val="Caption"/>
                              <w:rPr>
                                <w:rFonts w:ascii="Arial" w:hAnsi="Arial" w:cs="Arial"/>
                                <w:color w:val="2E74B5"/>
                                <w:sz w:val="18"/>
                              </w:rPr>
                            </w:pPr>
                            <w:bookmarkStart w:id="264" w:name="_Toc17985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30</w:t>
                            </w:r>
                            <w:r w:rsidRPr="00A21E05">
                              <w:rPr>
                                <w:rFonts w:ascii="Arial" w:hAnsi="Arial" w:cs="Arial"/>
                                <w:color w:val="2E74B5"/>
                                <w:sz w:val="18"/>
                              </w:rPr>
                              <w:fldChar w:fldCharType="end"/>
                            </w:r>
                            <w:r>
                              <w:rPr>
                                <w:rFonts w:ascii="Arial" w:hAnsi="Arial" w:cs="Arial"/>
                                <w:color w:val="2E74B5"/>
                                <w:sz w:val="18"/>
                              </w:rPr>
                              <w:tab/>
                              <w:t>Promotion of street lighting</w:t>
                            </w:r>
                            <w:bookmarkEnd w:id="264"/>
                          </w:p>
                          <w:p w:rsidR="00540FEA" w:rsidRPr="00CC313E" w:rsidRDefault="00540FEA" w:rsidP="00202887"/>
                          <w:p w:rsidR="00540FEA" w:rsidRPr="001C729F" w:rsidRDefault="00540FEA" w:rsidP="00202887">
                            <w:pPr>
                              <w:spacing w:after="0"/>
                              <w:rPr>
                                <w:sz w:val="19"/>
                                <w:szCs w:val="19"/>
                                <w:lang w:eastAsia="en-GB"/>
                              </w:rPr>
                            </w:pPr>
                            <w:r w:rsidRPr="001C729F">
                              <w:rPr>
                                <w:sz w:val="19"/>
                                <w:szCs w:val="19"/>
                                <w:lang w:eastAsia="en-GB"/>
                              </w:rPr>
                              <w:t>A potential approach to remove these barriers is to provide dedicated support to the street lighting teams in the larger municipalities to develop high quality business cases for presentation to the budget committee, including proper financial analysis and the following aspects, to enhance the reception of these projects:</w:t>
                            </w:r>
                          </w:p>
                          <w:p w:rsidR="00540FEA" w:rsidRPr="001C729F" w:rsidRDefault="00540FEA" w:rsidP="001C729F">
                            <w:pPr>
                              <w:numPr>
                                <w:ilvl w:val="2"/>
                                <w:numId w:val="51"/>
                              </w:numPr>
                              <w:spacing w:before="60" w:after="0"/>
                              <w:ind w:left="284" w:hanging="284"/>
                              <w:rPr>
                                <w:sz w:val="19"/>
                                <w:szCs w:val="19"/>
                                <w:lang w:eastAsia="en-GB"/>
                              </w:rPr>
                            </w:pPr>
                            <w:r w:rsidRPr="001C729F">
                              <w:rPr>
                                <w:sz w:val="19"/>
                                <w:szCs w:val="19"/>
                                <w:lang w:eastAsia="en-GB"/>
                              </w:rPr>
                              <w:t>Street lighting is highly connected to safety and has been proven to reduce both traffic accidents and crime rates. Designing a program that puts special focus on poorly lit areas with higher traffic accident and crime rates could act as a catalyst to the demand for these projects. Integration of street lighting with other initiatives, such as the installation of crime-prevention surveillance systems will also be key to the success of the program.</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Street lighting is highly connected to social activities at night, which is of particular importance in commercial and tourist areas. Designing a program that improves the street lighting quality in these areas may therefore result in an appetite by the municipalities for these projects, as a way to improve business activity and consequentially increase tax revenue.</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Illegal electricity connections, meter tampering and transformer oil theft are understood to be a common issue in the South African electricity infrastructure. The design of a program that incorporates measures addressing these issues is likely to increase the end-client demand of these projects. An example of such measures might be remote transformer monitoring to detect unusual patterns or the collaboration with the smart-meter programs of various utilities to provide LED lighting lamps to residential end-users.</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Electricity outages have also been a recurrent issue, on some occasions resulting from the illegal electricity connection or equipment theft indicated previously. Again, a transformer monitoring system that enables predictive maintenance of distribution transformers may be presented as a unique selling point of the program.</w:t>
                            </w:r>
                          </w:p>
                          <w:p w:rsidR="00540FEA" w:rsidRPr="00540006" w:rsidRDefault="00540FEA" w:rsidP="00202887">
                            <w:pPr>
                              <w:spacing w:after="0"/>
                              <w:rPr>
                                <w:i/>
                                <w:noProof/>
                                <w:sz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left:0;text-align:left;margin-left:446.3pt;margin-top:.8pt;width:497.5pt;height:249.75pt;z-index:-251661312;visibility:visible;mso-wrap-style:square;mso-width-percent:0;mso-height-percent:0;mso-wrap-distance-left:11.35pt;mso-wrap-distance-top:5.65pt;mso-wrap-distance-right:11.35pt;mso-wrap-distance-bottom:11.35pt;mso-position-horizontal:righ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" fillcolor="#fbe5d6" stroked="f">
                <v:textbox>
                  <w:txbxContent>
                    <w:p w:rsidR="00540FEA" w:rsidRDefault="00540FEA" w:rsidP="00202887">
                      <w:pPr>
                        <w:pStyle w:val="Caption"/>
                        <w:rPr>
                          <w:rFonts w:ascii="Arial" w:hAnsi="Arial" w:cs="Arial"/>
                          <w:color w:val="2E74B5"/>
                          <w:sz w:val="18"/>
                        </w:rPr>
                      </w:pPr>
                      <w:bookmarkStart w:id="305" w:name="_Toc17985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30</w:t>
                      </w:r>
                      <w:r w:rsidRPr="00A21E05">
                        <w:rPr>
                          <w:rFonts w:ascii="Arial" w:hAnsi="Arial" w:cs="Arial"/>
                          <w:color w:val="2E74B5"/>
                          <w:sz w:val="18"/>
                        </w:rPr>
                        <w:fldChar w:fldCharType="end"/>
                      </w:r>
                      <w:r>
                        <w:rPr>
                          <w:rFonts w:ascii="Arial" w:hAnsi="Arial" w:cs="Arial"/>
                          <w:color w:val="2E74B5"/>
                          <w:sz w:val="18"/>
                        </w:rPr>
                        <w:tab/>
                        <w:t>Promotion of street lighting</w:t>
                      </w:r>
                      <w:bookmarkEnd w:id="305"/>
                    </w:p>
                    <w:p w:rsidR="00540FEA" w:rsidRPr="00CC313E" w:rsidRDefault="00540FEA" w:rsidP="00202887"/>
                    <w:p w:rsidR="00540FEA" w:rsidRPr="001C729F" w:rsidRDefault="00540FEA" w:rsidP="00202887">
                      <w:pPr>
                        <w:spacing w:after="0"/>
                        <w:rPr>
                          <w:sz w:val="19"/>
                          <w:szCs w:val="19"/>
                          <w:lang w:eastAsia="en-GB"/>
                        </w:rPr>
                      </w:pPr>
                      <w:r w:rsidRPr="001C729F">
                        <w:rPr>
                          <w:sz w:val="19"/>
                          <w:szCs w:val="19"/>
                          <w:lang w:eastAsia="en-GB"/>
                        </w:rPr>
                        <w:t>A potential approach to remove these barriers is to provide dedicated support to the street lighting teams in the larger municipalities to develop high quality business cases for presentation to the budget committee, including proper financial analysis and the following aspects, to enhance the reception of these projects:</w:t>
                      </w:r>
                    </w:p>
                    <w:p w:rsidR="00540FEA" w:rsidRPr="001C729F" w:rsidRDefault="00540FEA" w:rsidP="001C729F">
                      <w:pPr>
                        <w:numPr>
                          <w:ilvl w:val="2"/>
                          <w:numId w:val="51"/>
                        </w:numPr>
                        <w:spacing w:before="60" w:after="0"/>
                        <w:ind w:left="284" w:hanging="284"/>
                        <w:rPr>
                          <w:sz w:val="19"/>
                          <w:szCs w:val="19"/>
                          <w:lang w:eastAsia="en-GB"/>
                        </w:rPr>
                      </w:pPr>
                      <w:r w:rsidRPr="001C729F">
                        <w:rPr>
                          <w:sz w:val="19"/>
                          <w:szCs w:val="19"/>
                          <w:lang w:eastAsia="en-GB"/>
                        </w:rPr>
                        <w:t>Street lighting is highly connected to safety and has been proven to reduce both traffic accidents and crime rates. Designing a program that puts special focus on poorly lit areas with higher traffic accident and crime rates could act as a catalyst to the demand for these projects. Integration of street lighting with other initiatives, such as the installation of crime-prevention surveillance systems will also be key to the success of the program.</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Street lighting is highly connected to social activities at night, which is of particular importance in commercial and tourist areas. Designing a program that improves the street lighting quality in these areas may therefore result in an appetite by the municipalities for these projects, as a way to improve business activity and consequentially increase tax revenue.</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Illegal electricity connections, meter tampering and transformer oil theft are understood to be a common issue in the South African electricity infrastructure. The design of a program that incorporates measures addressing these issues is likely to increase the end-client demand of these projects. An example of such measures might be remote transformer monitoring to detect unusual patterns or the collaboration with the smart-meter programs of various utilities to provide LED lighting lamps to residential end-users.</w:t>
                      </w:r>
                    </w:p>
                    <w:p w:rsidR="00540FEA" w:rsidRPr="001C729F" w:rsidRDefault="00540FEA" w:rsidP="005A108E">
                      <w:pPr>
                        <w:numPr>
                          <w:ilvl w:val="2"/>
                          <w:numId w:val="51"/>
                        </w:numPr>
                        <w:spacing w:after="0"/>
                        <w:ind w:left="284" w:hanging="284"/>
                        <w:rPr>
                          <w:sz w:val="19"/>
                          <w:szCs w:val="19"/>
                          <w:lang w:eastAsia="en-GB"/>
                        </w:rPr>
                      </w:pPr>
                      <w:r w:rsidRPr="001C729F">
                        <w:rPr>
                          <w:sz w:val="19"/>
                          <w:szCs w:val="19"/>
                          <w:lang w:eastAsia="en-GB"/>
                        </w:rPr>
                        <w:t>Electricity outages have also been a recurrent issue, on some occasions resulting from the illegal electricity connection or equipment theft indicated previously. Again, a transformer monitoring system that enables predictive maintenance of distribution transformers may be presented as a unique selling point of the program.</w:t>
                      </w:r>
                    </w:p>
                    <w:p w:rsidR="00540FEA" w:rsidRPr="00540006" w:rsidRDefault="00540FEA" w:rsidP="00202887">
                      <w:pPr>
                        <w:spacing w:after="0"/>
                        <w:rPr>
                          <w:i/>
                          <w:noProof/>
                          <w:sz w:val="18"/>
                        </w:rPr>
                      </w:pPr>
                    </w:p>
                  </w:txbxContent>
                </v:textbox>
                <w10:wrap type="tight" anchorx="margin" anchory="margin"/>
              </v:shape>
            </w:pict>
          </mc:Fallback>
        </mc:AlternateContent>
      </w:r>
      <w:r w:rsidRPr="0057545E">
        <w:rPr>
          <w:lang w:val="en-GB" w:eastAsia="en-GB"/>
        </w:rPr>
        <w:t xml:space="preserve">luminaires. Remarkably, </w:t>
      </w:r>
      <w:proofErr w:type="spellStart"/>
      <w:r w:rsidRPr="0057545E">
        <w:rPr>
          <w:lang w:val="en-GB" w:eastAsia="en-GB"/>
        </w:rPr>
        <w:t>Msunduzi</w:t>
      </w:r>
      <w:proofErr w:type="spellEnd"/>
      <w:r w:rsidRPr="0057545E">
        <w:rPr>
          <w:lang w:val="en-GB" w:eastAsia="en-GB"/>
        </w:rPr>
        <w:t xml:space="preserve"> Municipality has retrofit</w:t>
      </w:r>
      <w:r w:rsidRPr="00353542">
        <w:rPr>
          <w:lang w:val="en-GB" w:eastAsia="en-GB"/>
        </w:rPr>
        <w:t>ted HPS luminaires (i.e. already more efficient than MVs) with LED lamps</w:t>
      </w:r>
      <w:r w:rsidRPr="003B7D62">
        <w:rPr>
          <w:lang w:val="en-GB" w:eastAsia="en-GB"/>
        </w:rPr>
        <w:t>.</w:t>
      </w:r>
    </w:p>
    <w:p w:rsidR="00426F17" w:rsidRPr="00666B27" w:rsidRDefault="00426F17" w:rsidP="00426F17">
      <w:pPr>
        <w:spacing w:after="0"/>
        <w:rPr>
          <w:lang w:val="en-GB" w:eastAsia="en-GB"/>
        </w:rPr>
      </w:pPr>
    </w:p>
    <w:p w:rsidR="00426F17" w:rsidRPr="00666B27" w:rsidRDefault="00426F17" w:rsidP="00426F17">
      <w:pPr>
        <w:spacing w:after="0"/>
        <w:rPr>
          <w:u w:val="single"/>
          <w:lang w:val="en-GB" w:eastAsia="en-GB"/>
        </w:rPr>
      </w:pPr>
      <w:r w:rsidRPr="00666B27">
        <w:rPr>
          <w:noProof/>
          <w:u w:val="single"/>
          <w:lang w:val="en-GB" w:eastAsia="en-GB"/>
        </w:rPr>
        <w:t>Labelling</w:t>
      </w:r>
      <w:r w:rsidRPr="00666B27">
        <w:rPr>
          <w:u w:val="single"/>
          <w:lang w:val="en-GB" w:eastAsia="en-GB"/>
        </w:rPr>
        <w:t xml:space="preserve"> of light bulbs</w:t>
      </w:r>
    </w:p>
    <w:p w:rsidR="00426F17" w:rsidRPr="00666B27" w:rsidRDefault="00426F17" w:rsidP="00426F17">
      <w:pPr>
        <w:spacing w:after="0"/>
        <w:rPr>
          <w:lang w:val="en-GB" w:eastAsia="en-GB"/>
        </w:rPr>
      </w:pPr>
    </w:p>
    <w:p w:rsidR="00F82CA5" w:rsidRPr="00666B27" w:rsidRDefault="00243F4E" w:rsidP="00426F17">
      <w:pPr>
        <w:spacing w:after="0"/>
        <w:rPr>
          <w:lang w:val="en-GB" w:eastAsia="en-GB"/>
        </w:rPr>
      </w:pPr>
      <w:r w:rsidRPr="00666B27">
        <w:rPr>
          <w:lang w:val="en-GB" w:eastAsia="en-GB"/>
        </w:rPr>
        <w:t xml:space="preserve">The Department of Energy, supported by the UNDP/GEF </w:t>
      </w:r>
      <w:r w:rsidRPr="00666B27">
        <w:rPr>
          <w:i/>
          <w:lang w:val="en-GB" w:eastAsia="en-GB"/>
        </w:rPr>
        <w:t xml:space="preserve">Standards and Labelling Programme </w:t>
      </w:r>
      <w:r w:rsidRPr="00666B27">
        <w:rPr>
          <w:lang w:val="en-GB" w:eastAsia="en-GB"/>
        </w:rPr>
        <w:t xml:space="preserve">(see </w:t>
      </w:r>
      <w:r w:rsidRPr="00353542">
        <w:rPr>
          <w:lang w:val="en-GB" w:eastAsia="en-GB"/>
        </w:rPr>
        <w:fldChar w:fldCharType="begin"/>
      </w:r>
      <w:r w:rsidRPr="00666B27">
        <w:rPr>
          <w:lang w:val="en-GB" w:eastAsia="en-GB"/>
        </w:rPr>
        <w:instrText xml:space="preserve"> REF _Ref496016749 \h </w:instrText>
      </w:r>
      <w:r w:rsidRPr="00353542">
        <w:rPr>
          <w:lang w:val="en-GB" w:eastAsia="en-GB"/>
        </w:rPr>
      </w:r>
      <w:r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21</w:t>
      </w:r>
      <w:r w:rsidRPr="00353542">
        <w:rPr>
          <w:lang w:val="en-GB" w:eastAsia="en-GB"/>
        </w:rPr>
        <w:fldChar w:fldCharType="end"/>
      </w:r>
      <w:r w:rsidRPr="0057545E">
        <w:rPr>
          <w:lang w:val="en-GB" w:eastAsia="en-GB"/>
        </w:rPr>
        <w:t>)</w:t>
      </w:r>
      <w:r w:rsidR="001C729F" w:rsidRPr="00353542">
        <w:rPr>
          <w:lang w:val="en-GB" w:eastAsia="en-GB"/>
        </w:rPr>
        <w:t>,</w:t>
      </w:r>
      <w:r w:rsidRPr="003B7D62">
        <w:rPr>
          <w:lang w:val="en-GB" w:eastAsia="en-GB"/>
        </w:rPr>
        <w:t xml:space="preserve"> has been working on (mandatory) energy performance standards (MEPS) and energy labels.</w:t>
      </w:r>
      <w:r w:rsidR="00426F17" w:rsidRPr="004722F0">
        <w:rPr>
          <w:lang w:val="en-GB" w:eastAsia="en-GB"/>
        </w:rPr>
        <w:t xml:space="preserve"> Unlike other e</w:t>
      </w:r>
      <w:r w:rsidR="00426F17" w:rsidRPr="00666B27">
        <w:rPr>
          <w:lang w:val="en-GB" w:eastAsia="en-GB"/>
        </w:rPr>
        <w:t>lectric appliances, there are no MEPS or labels that cover LED, CFLs, halogen and other lighting devices.</w:t>
      </w:r>
      <w:r w:rsidRPr="00666B27">
        <w:rPr>
          <w:lang w:val="en-GB" w:eastAsia="en-GB"/>
        </w:rPr>
        <w:t xml:space="preserve"> </w:t>
      </w:r>
      <w:r w:rsidR="00426F17" w:rsidRPr="00666B27">
        <w:rPr>
          <w:lang w:val="en-GB" w:eastAsia="en-GB"/>
        </w:rPr>
        <w:t>An energy label does exist, but its application is on a voluntary basis. The proposed UNDP/GEF</w:t>
      </w:r>
      <w:r w:rsidR="009853CC" w:rsidRPr="00666B27">
        <w:rPr>
          <w:lang w:val="en-GB" w:eastAsia="en-GB"/>
        </w:rPr>
        <w:t xml:space="preserve"> “Leapfrogging </w:t>
      </w:r>
      <w:r w:rsidR="000800C4" w:rsidRPr="00666B27">
        <w:rPr>
          <w:lang w:val="en-GB" w:eastAsia="en-GB"/>
        </w:rPr>
        <w:t xml:space="preserve">LED and HE Distribution Transformers” will build on the efforts on standards and </w:t>
      </w:r>
      <w:r w:rsidR="000800C4" w:rsidRPr="00666B27">
        <w:rPr>
          <w:noProof/>
          <w:lang w:val="en-GB" w:eastAsia="en-GB"/>
        </w:rPr>
        <w:t>labelling</w:t>
      </w:r>
      <w:r w:rsidR="000800C4" w:rsidRPr="00666B27">
        <w:rPr>
          <w:lang w:val="en-GB" w:eastAsia="en-GB"/>
        </w:rPr>
        <w:t xml:space="preserve"> by looking at) compulsory performance standards, b) awareness and information to promote the existing energy label, and c) trial incentive programme for Gauteng area. </w:t>
      </w:r>
    </w:p>
    <w:p w:rsidR="00F82CA5" w:rsidRPr="00666B27" w:rsidRDefault="00F82CA5" w:rsidP="00426F17">
      <w:pPr>
        <w:spacing w:after="0"/>
        <w:rPr>
          <w:lang w:val="en-GB" w:eastAsia="en-GB"/>
        </w:rPr>
      </w:pPr>
    </w:p>
    <w:p w:rsidR="00F61251" w:rsidRPr="00666B27" w:rsidRDefault="00F82CA5" w:rsidP="00426F17">
      <w:pPr>
        <w:spacing w:after="0"/>
        <w:rPr>
          <w:lang w:val="en-GB" w:eastAsia="en-GB"/>
        </w:rPr>
      </w:pPr>
      <w:r w:rsidRPr="00666B27">
        <w:rPr>
          <w:lang w:val="en-GB" w:eastAsia="en-GB"/>
        </w:rPr>
        <w:t xml:space="preserve">For </w:t>
      </w:r>
      <w:r w:rsidRPr="00666B27">
        <w:rPr>
          <w:noProof/>
          <w:lang w:val="en-GB" w:eastAsia="en-GB"/>
        </w:rPr>
        <w:t>LEDs</w:t>
      </w:r>
      <w:r w:rsidR="00C45283" w:rsidRPr="00666B27">
        <w:rPr>
          <w:noProof/>
          <w:lang w:val="en-GB" w:eastAsia="en-GB"/>
        </w:rPr>
        <w:t>,</w:t>
      </w:r>
      <w:r w:rsidRPr="00666B27">
        <w:rPr>
          <w:lang w:val="en-GB" w:eastAsia="en-GB"/>
        </w:rPr>
        <w:t xml:space="preserve"> there are voluntary standards on safety and performance, but not covering energy performance considerations. The proposal is to move to mandatory to be regulated by a) DTI, or b)</w:t>
      </w:r>
      <w:r w:rsidR="00760A2C" w:rsidRPr="00666B27">
        <w:rPr>
          <w:lang w:val="en-GB" w:eastAsia="en-GB"/>
        </w:rPr>
        <w:t xml:space="preserve"> </w:t>
      </w:r>
      <w:r w:rsidRPr="00666B27">
        <w:rPr>
          <w:lang w:val="en-GB" w:eastAsia="en-GB"/>
        </w:rPr>
        <w:t xml:space="preserve">DoE.  In </w:t>
      </w:r>
      <w:r w:rsidR="00C45283" w:rsidRPr="00666B27">
        <w:rPr>
          <w:lang w:val="en-GB" w:eastAsia="en-GB"/>
        </w:rPr>
        <w:t xml:space="preserve">the </w:t>
      </w:r>
      <w:r w:rsidRPr="00666B27">
        <w:rPr>
          <w:noProof/>
          <w:lang w:val="en-GB" w:eastAsia="en-GB"/>
        </w:rPr>
        <w:t>case</w:t>
      </w:r>
      <w:r w:rsidRPr="00666B27">
        <w:rPr>
          <w:lang w:val="en-GB" w:eastAsia="en-GB"/>
        </w:rPr>
        <w:t xml:space="preserve"> of DTI regulation, implementation and administration (incl. certification M&amp;V and enforcement) will reside with NRCS. </w:t>
      </w:r>
      <w:r w:rsidR="00011DBC" w:rsidRPr="00666B27">
        <w:rPr>
          <w:lang w:val="en-GB" w:eastAsia="en-GB"/>
        </w:rPr>
        <w:t xml:space="preserve">In </w:t>
      </w:r>
      <w:r w:rsidR="00C45283" w:rsidRPr="00666B27">
        <w:rPr>
          <w:lang w:val="en-GB" w:eastAsia="en-GB"/>
        </w:rPr>
        <w:t xml:space="preserve">the </w:t>
      </w:r>
      <w:r w:rsidR="00011DBC" w:rsidRPr="00666B27">
        <w:rPr>
          <w:noProof/>
          <w:lang w:val="en-GB" w:eastAsia="en-GB"/>
        </w:rPr>
        <w:t>case</w:t>
      </w:r>
      <w:r w:rsidRPr="00666B27">
        <w:rPr>
          <w:lang w:val="en-GB" w:eastAsia="en-GB"/>
        </w:rPr>
        <w:t xml:space="preserve"> of DoE regulation, the implementing agency could be SANEDI. Another option is that both DTI and DOE regulate with implementation outsourced to a</w:t>
      </w:r>
      <w:r w:rsidR="001C729F" w:rsidRPr="00666B27">
        <w:rPr>
          <w:lang w:val="en-GB" w:eastAsia="en-GB"/>
        </w:rPr>
        <w:t xml:space="preserve"> </w:t>
      </w:r>
      <w:r w:rsidRPr="00666B27">
        <w:rPr>
          <w:lang w:val="en-GB" w:eastAsia="en-GB"/>
        </w:rPr>
        <w:t xml:space="preserve">third entity. </w:t>
      </w:r>
    </w:p>
    <w:p w:rsidR="00F82CA5" w:rsidRPr="00666B27" w:rsidRDefault="00F82CA5" w:rsidP="00426F17">
      <w:pPr>
        <w:spacing w:after="0"/>
        <w:rPr>
          <w:lang w:val="en-GB" w:eastAsia="en-GB"/>
        </w:rPr>
      </w:pPr>
    </w:p>
    <w:p w:rsidR="00F82CA5" w:rsidRPr="004722F0" w:rsidRDefault="00F82CA5" w:rsidP="00426F17">
      <w:pPr>
        <w:spacing w:after="0"/>
        <w:rPr>
          <w:lang w:val="en-GB" w:eastAsia="en-GB"/>
        </w:rPr>
      </w:pPr>
      <w:r w:rsidRPr="00666B27">
        <w:rPr>
          <w:lang w:val="en-GB" w:eastAsia="en-GB"/>
        </w:rPr>
        <w:t>A tri</w:t>
      </w:r>
      <w:r w:rsidR="00710D21" w:rsidRPr="00666B27">
        <w:rPr>
          <w:lang w:val="en-GB" w:eastAsia="en-GB"/>
        </w:rPr>
        <w:t>al incentive programme is being designed for Gauteng (starting 2</w:t>
      </w:r>
      <w:r w:rsidR="00710D21" w:rsidRPr="00666B27">
        <w:rPr>
          <w:vertAlign w:val="superscript"/>
          <w:lang w:val="en-GB" w:eastAsia="en-GB"/>
        </w:rPr>
        <w:t>nd</w:t>
      </w:r>
      <w:r w:rsidR="00710D21" w:rsidRPr="00666B27">
        <w:rPr>
          <w:lang w:val="en-GB" w:eastAsia="en-GB"/>
        </w:rPr>
        <w:t xml:space="preserve"> half 2018). This would go together with a survey on consumer attitudes and preferences. The primary target will be middle-higher income households, which has a high potential for savings by LED replacement of halogen downlights.  This will be linked with the presentation of endorsement labels (in addition to the existing energy label), by introducing a “information label” (that compare LED, VFL, halogen and incandescent bulbs in light output, life expectancy, and energy usage) on the </w:t>
      </w:r>
      <w:r w:rsidR="00011DBC" w:rsidRPr="00666B27">
        <w:rPr>
          <w:lang w:val="en-GB" w:eastAsia="en-GB"/>
        </w:rPr>
        <w:t>shelves</w:t>
      </w:r>
      <w:r w:rsidR="00710D21" w:rsidRPr="00666B27">
        <w:rPr>
          <w:lang w:val="en-GB" w:eastAsia="en-GB"/>
        </w:rPr>
        <w:t xml:space="preserve"> of retailers and </w:t>
      </w:r>
      <w:r w:rsidR="00011DBC" w:rsidRPr="00666B27">
        <w:rPr>
          <w:lang w:val="en-GB" w:eastAsia="en-GB"/>
        </w:rPr>
        <w:t>outlets and</w:t>
      </w:r>
      <w:r w:rsidR="00710D21" w:rsidRPr="00666B27">
        <w:rPr>
          <w:lang w:val="en-GB" w:eastAsia="en-GB"/>
        </w:rPr>
        <w:t xml:space="preserve"> an “endorsement</w:t>
      </w:r>
      <w:r w:rsidR="00011DBC" w:rsidRPr="00666B27">
        <w:rPr>
          <w:lang w:val="en-GB" w:eastAsia="en-GB"/>
        </w:rPr>
        <w:t xml:space="preserve"> label” (for products that meet the specifications of the incentive programme). The pilot will be accompanied by awareness campaign, website (</w:t>
      </w:r>
      <w:hyperlink r:id="rId107" w:history="1">
        <w:r w:rsidR="00011DBC" w:rsidRPr="00666B27">
          <w:rPr>
            <w:rStyle w:val="Hyperlink"/>
            <w:lang w:val="en-GB" w:eastAsia="en-GB"/>
          </w:rPr>
          <w:t>www.savingenergy.org.za</w:t>
        </w:r>
      </w:hyperlink>
      <w:r w:rsidR="00011DBC" w:rsidRPr="0057545E">
        <w:rPr>
          <w:lang w:val="en-GB" w:eastAsia="en-GB"/>
        </w:rPr>
        <w:t xml:space="preserve">) and training for retailer staff and </w:t>
      </w:r>
      <w:r w:rsidR="00011DBC" w:rsidRPr="00353542">
        <w:rPr>
          <w:noProof/>
          <w:lang w:val="en-GB" w:eastAsia="en-GB"/>
        </w:rPr>
        <w:t>salespeople</w:t>
      </w:r>
      <w:r w:rsidR="00011DBC" w:rsidRPr="003B7D62">
        <w:rPr>
          <w:lang w:val="en-GB" w:eastAsia="en-GB"/>
        </w:rPr>
        <w:t>.</w:t>
      </w:r>
    </w:p>
    <w:p w:rsidR="007F0998" w:rsidRPr="00666B27" w:rsidRDefault="007F0998" w:rsidP="00426F17">
      <w:pPr>
        <w:spacing w:after="0"/>
        <w:rPr>
          <w:lang w:val="en-GB" w:eastAsia="en-GB"/>
        </w:rPr>
      </w:pPr>
    </w:p>
    <w:p w:rsidR="00CF2517" w:rsidRPr="00666B27" w:rsidRDefault="00CF2517" w:rsidP="00426F17">
      <w:pPr>
        <w:spacing w:after="0"/>
        <w:rPr>
          <w:lang w:val="en-GB" w:eastAsia="en-GB"/>
        </w:rPr>
      </w:pPr>
    </w:p>
    <w:p w:rsidR="00CF2517" w:rsidRPr="00666B27" w:rsidRDefault="00CF2517" w:rsidP="00426F17">
      <w:pPr>
        <w:spacing w:after="0"/>
        <w:rPr>
          <w:lang w:val="en-GB" w:eastAsia="en-GB"/>
        </w:rPr>
      </w:pPr>
    </w:p>
    <w:p w:rsidR="00202887" w:rsidRPr="00666B27" w:rsidRDefault="00202887">
      <w:pPr>
        <w:spacing w:after="0"/>
        <w:jc w:val="left"/>
        <w:rPr>
          <w:lang w:val="en-GB" w:eastAsia="en-GB"/>
        </w:rPr>
      </w:pPr>
      <w:r w:rsidRPr="00666B27">
        <w:rPr>
          <w:lang w:val="en-GB" w:eastAsia="en-GB"/>
        </w:rPr>
        <w:br w:type="page"/>
      </w:r>
    </w:p>
    <w:p w:rsidR="00297A17" w:rsidRPr="00666B27" w:rsidRDefault="00297A17" w:rsidP="00297A17">
      <w:pPr>
        <w:spacing w:after="0"/>
        <w:rPr>
          <w:lang w:val="en-GB" w:eastAsia="en-GB"/>
        </w:rPr>
      </w:pPr>
    </w:p>
    <w:p w:rsidR="00297A17" w:rsidRPr="00666B27" w:rsidRDefault="00297A17" w:rsidP="00EF7EFA">
      <w:pPr>
        <w:pStyle w:val="HeadingA2"/>
      </w:pPr>
      <w:bookmarkStart w:id="265" w:name="_Toc496966942"/>
      <w:bookmarkStart w:id="266" w:name="_Toc497856152"/>
      <w:bookmarkStart w:id="267" w:name="_Toc340785"/>
      <w:r w:rsidRPr="00666B27">
        <w:t>Distribution transformers in South Africa</w:t>
      </w:r>
      <w:bookmarkEnd w:id="265"/>
      <w:bookmarkEnd w:id="266"/>
      <w:bookmarkEnd w:id="267"/>
    </w:p>
    <w:p w:rsidR="00297A17" w:rsidRPr="00666B27" w:rsidRDefault="00297A17" w:rsidP="00297A17">
      <w:pPr>
        <w:spacing w:after="0"/>
        <w:rPr>
          <w:lang w:val="en-GB" w:eastAsia="en-GB"/>
        </w:rPr>
      </w:pPr>
    </w:p>
    <w:p w:rsidR="000B3967" w:rsidRPr="00666B27" w:rsidRDefault="003A2690" w:rsidP="000B3967">
      <w:pPr>
        <w:spacing w:after="0"/>
        <w:rPr>
          <w:lang w:val="en-GB" w:eastAsia="en-GB"/>
        </w:rPr>
      </w:pPr>
      <w:r>
        <w:rPr>
          <w:noProof/>
        </w:rPr>
        <mc:AlternateContent>
          <mc:Choice Requires="wps">
            <w:drawing>
              <wp:anchor distT="71755" distB="71755" distL="144145" distR="144145" simplePos="0" relativeHeight="251637760" behindDoc="1" locked="0" layoutInCell="1" allowOverlap="1">
                <wp:simplePos x="0" y="0"/>
                <wp:positionH relativeFrom="margin">
                  <wp:posOffset>-20320</wp:posOffset>
                </wp:positionH>
                <wp:positionV relativeFrom="margin">
                  <wp:posOffset>599440</wp:posOffset>
                </wp:positionV>
                <wp:extent cx="3290570" cy="3117850"/>
                <wp:effectExtent l="0" t="0" r="0" b="0"/>
                <wp:wrapSquare wrapText="bothSides"/>
                <wp:docPr id="232" name="Text Box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90570" cy="3117850"/>
                        </a:xfrm>
                        <a:prstGeom prst="rect">
                          <a:avLst/>
                        </a:prstGeom>
                        <a:solidFill>
                          <a:srgbClr val="ED7D31">
                            <a:lumMod val="20000"/>
                            <a:lumOff val="80000"/>
                          </a:srgbClr>
                        </a:solidFill>
                        <a:ln>
                          <a:noFill/>
                        </a:ln>
                      </wps:spPr>
                      <wps:txbx>
                        <w:txbxContent>
                          <w:p w:rsidR="00540FEA" w:rsidRDefault="00540FEA" w:rsidP="000B3967">
                            <w:pPr>
                              <w:pStyle w:val="Caption"/>
                              <w:spacing w:after="80"/>
                              <w:rPr>
                                <w:rFonts w:ascii="Arial" w:hAnsi="Arial" w:cs="Arial"/>
                                <w:color w:val="2E74B5"/>
                                <w:sz w:val="18"/>
                              </w:rPr>
                            </w:pPr>
                            <w:bookmarkStart w:id="268" w:name="_Toc17985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31</w:t>
                            </w:r>
                            <w:r w:rsidRPr="00A21E05">
                              <w:rPr>
                                <w:rFonts w:ascii="Arial" w:hAnsi="Arial" w:cs="Arial"/>
                                <w:color w:val="2E74B5"/>
                                <w:sz w:val="18"/>
                              </w:rPr>
                              <w:fldChar w:fldCharType="end"/>
                            </w:r>
                            <w:r>
                              <w:rPr>
                                <w:rFonts w:ascii="Arial" w:hAnsi="Arial" w:cs="Arial"/>
                                <w:color w:val="2E74B5"/>
                                <w:sz w:val="18"/>
                              </w:rPr>
                              <w:tab/>
                              <w:t>Examples of transformers</w:t>
                            </w:r>
                            <w:bookmarkEnd w:id="268"/>
                          </w:p>
                          <w:p w:rsidR="00540FEA" w:rsidRDefault="00540FEA" w:rsidP="000B3967"/>
                          <w:p w:rsidR="00540FEA" w:rsidRDefault="00540FEA" w:rsidP="000B3967">
                            <w:r w:rsidRPr="00676649">
                              <w:rPr>
                                <w:noProof/>
                              </w:rPr>
                              <w:drawing>
                                <wp:inline distT="0" distB="0" distL="0" distR="0">
                                  <wp:extent cx="1595120" cy="1534160"/>
                                  <wp:effectExtent l="0" t="0" r="0" b="0"/>
                                  <wp:docPr id="27"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595120" cy="1534160"/>
                                          </a:xfrm>
                                          <a:prstGeom prst="rect">
                                            <a:avLst/>
                                          </a:prstGeom>
                                          <a:noFill/>
                                          <a:ln>
                                            <a:noFill/>
                                          </a:ln>
                                        </pic:spPr>
                                      </pic:pic>
                                    </a:graphicData>
                                  </a:graphic>
                                </wp:inline>
                              </w:drawing>
                            </w:r>
                            <w:r>
                              <w:t xml:space="preserve">  </w:t>
                            </w:r>
                            <w:r w:rsidRPr="00676649">
                              <w:rPr>
                                <w:noProof/>
                              </w:rPr>
                              <w:drawing>
                                <wp:inline distT="0" distB="0" distL="0" distR="0">
                                  <wp:extent cx="1066800" cy="1513840"/>
                                  <wp:effectExtent l="0" t="0" r="0" b="0"/>
                                  <wp:docPr id="28"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066800" cy="1513840"/>
                                          </a:xfrm>
                                          <a:prstGeom prst="rect">
                                            <a:avLst/>
                                          </a:prstGeom>
                                          <a:noFill/>
                                          <a:ln>
                                            <a:noFill/>
                                          </a:ln>
                                        </pic:spPr>
                                      </pic:pic>
                                    </a:graphicData>
                                  </a:graphic>
                                </wp:inline>
                              </w:drawing>
                            </w:r>
                          </w:p>
                          <w:p w:rsidR="00540FEA" w:rsidRDefault="00540FEA" w:rsidP="000B3967">
                            <w:pPr>
                              <w:tabs>
                                <w:tab w:val="left" w:pos="2410"/>
                              </w:tabs>
                            </w:pPr>
                            <w:r>
                              <w:t>Ground-mounted 3-phase</w:t>
                            </w:r>
                            <w:r>
                              <w:tab/>
                              <w:t>Pole-mounted single-phase</w:t>
                            </w:r>
                          </w:p>
                          <w:p w:rsidR="00540FEA" w:rsidRPr="000B3967" w:rsidRDefault="00540FEA" w:rsidP="000B3967">
                            <w:pPr>
                              <w:tabs>
                                <w:tab w:val="left" w:pos="2410"/>
                              </w:tabs>
                              <w:rPr>
                                <w:sz w:val="19"/>
                                <w:szCs w:val="19"/>
                              </w:rPr>
                            </w:pPr>
                          </w:p>
                          <w:p w:rsidR="00540FEA" w:rsidRPr="000B3967" w:rsidRDefault="00540FEA" w:rsidP="000B3967">
                            <w:pPr>
                              <w:tabs>
                                <w:tab w:val="left" w:pos="2410"/>
                              </w:tabs>
                              <w:rPr>
                                <w:sz w:val="19"/>
                                <w:szCs w:val="19"/>
                              </w:rPr>
                            </w:pPr>
                            <w:r w:rsidRPr="000B3967">
                              <w:rPr>
                                <w:sz w:val="19"/>
                                <w:szCs w:val="19"/>
                                <w:lang w:val="en-GB" w:eastAsia="en-GB"/>
                              </w:rPr>
                              <w:t>The transformers can be pole-mounted (single phase 242 V with capacities 16</w:t>
                            </w:r>
                            <w:r>
                              <w:rPr>
                                <w:sz w:val="19"/>
                                <w:szCs w:val="19"/>
                                <w:lang w:val="en-GB" w:eastAsia="en-GB"/>
                              </w:rPr>
                              <w:t xml:space="preserve">-25 </w:t>
                            </w:r>
                            <w:r w:rsidRPr="000B3967">
                              <w:rPr>
                                <w:sz w:val="19"/>
                                <w:szCs w:val="19"/>
                                <w:lang w:val="en-GB" w:eastAsia="en-GB"/>
                              </w:rPr>
                              <w:t xml:space="preserve">kVA, 484 V dual-phase with capacities 31-64 kVA, or three-phase with capacities 25-500 kVA) or ground-mounted (three-phase 11 or 22 kV with capacities </w:t>
                            </w:r>
                            <w:r>
                              <w:rPr>
                                <w:sz w:val="19"/>
                                <w:szCs w:val="19"/>
                                <w:lang w:val="en-GB" w:eastAsia="en-GB"/>
                              </w:rPr>
                              <w:t>50</w:t>
                            </w:r>
                            <w:r w:rsidRPr="000B3967">
                              <w:rPr>
                                <w:sz w:val="19"/>
                                <w:szCs w:val="19"/>
                                <w:lang w:val="en-GB" w:eastAsia="en-GB"/>
                              </w:rPr>
                              <w:t>-2500 kVA).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98" o:spid="_x0000_s1046" type="#_x0000_t202" style="position:absolute;left:0;text-align:left;margin-left:-1.6pt;margin-top:47.2pt;width:259.1pt;height:245.5pt;z-index:-251678720;visibility:visible;mso-wrap-style:square;mso-width-percent:0;mso-height-percent:0;mso-wrap-distance-left:11.35pt;mso-wrap-distance-top:5.65pt;mso-wrap-distance-right:11.35pt;mso-wrap-distance-bottom:5.65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" fillcolor="#fbe5d6" stroked="f">
                <v:textbox>
                  <w:txbxContent>
                    <w:p w:rsidR="00540FEA" w:rsidRDefault="00540FEA" w:rsidP="000B3967">
                      <w:pPr>
                        <w:pStyle w:val="Caption"/>
                        <w:spacing w:after="80"/>
                        <w:rPr>
                          <w:rFonts w:ascii="Arial" w:hAnsi="Arial" w:cs="Arial"/>
                          <w:color w:val="2E74B5"/>
                          <w:sz w:val="18"/>
                        </w:rPr>
                      </w:pPr>
                      <w:bookmarkStart w:id="310" w:name="_Toc17985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31</w:t>
                      </w:r>
                      <w:r w:rsidRPr="00A21E05">
                        <w:rPr>
                          <w:rFonts w:ascii="Arial" w:hAnsi="Arial" w:cs="Arial"/>
                          <w:color w:val="2E74B5"/>
                          <w:sz w:val="18"/>
                        </w:rPr>
                        <w:fldChar w:fldCharType="end"/>
                      </w:r>
                      <w:r>
                        <w:rPr>
                          <w:rFonts w:ascii="Arial" w:hAnsi="Arial" w:cs="Arial"/>
                          <w:color w:val="2E74B5"/>
                          <w:sz w:val="18"/>
                        </w:rPr>
                        <w:tab/>
                        <w:t>Examples of transformers</w:t>
                      </w:r>
                      <w:bookmarkEnd w:id="310"/>
                    </w:p>
                    <w:p w:rsidR="00540FEA" w:rsidRDefault="00540FEA" w:rsidP="000B3967"/>
                    <w:p w:rsidR="00540FEA" w:rsidRDefault="00540FEA" w:rsidP="000B3967">
                      <w:r w:rsidRPr="00676649">
                        <w:rPr>
                          <w:noProof/>
                        </w:rPr>
                        <w:drawing>
                          <wp:inline distT="0" distB="0" distL="0" distR="0">
                            <wp:extent cx="1595120" cy="1534160"/>
                            <wp:effectExtent l="0" t="0" r="0" b="0"/>
                            <wp:docPr id="27"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595120" cy="1534160"/>
                                    </a:xfrm>
                                    <a:prstGeom prst="rect">
                                      <a:avLst/>
                                    </a:prstGeom>
                                    <a:noFill/>
                                    <a:ln>
                                      <a:noFill/>
                                    </a:ln>
                                  </pic:spPr>
                                </pic:pic>
                              </a:graphicData>
                            </a:graphic>
                          </wp:inline>
                        </w:drawing>
                      </w:r>
                      <w:r>
                        <w:t xml:space="preserve">  </w:t>
                      </w:r>
                      <w:r w:rsidRPr="00676649">
                        <w:rPr>
                          <w:noProof/>
                        </w:rPr>
                        <w:drawing>
                          <wp:inline distT="0" distB="0" distL="0" distR="0">
                            <wp:extent cx="1066800" cy="1513840"/>
                            <wp:effectExtent l="0" t="0" r="0" b="0"/>
                            <wp:docPr id="28" name="Picture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066800" cy="1513840"/>
                                    </a:xfrm>
                                    <a:prstGeom prst="rect">
                                      <a:avLst/>
                                    </a:prstGeom>
                                    <a:noFill/>
                                    <a:ln>
                                      <a:noFill/>
                                    </a:ln>
                                  </pic:spPr>
                                </pic:pic>
                              </a:graphicData>
                            </a:graphic>
                          </wp:inline>
                        </w:drawing>
                      </w:r>
                    </w:p>
                    <w:p w:rsidR="00540FEA" w:rsidRDefault="00540FEA" w:rsidP="000B3967">
                      <w:pPr>
                        <w:tabs>
                          <w:tab w:val="left" w:pos="2410"/>
                        </w:tabs>
                      </w:pPr>
                      <w:r>
                        <w:t>Ground-mounted 3-phase</w:t>
                      </w:r>
                      <w:r>
                        <w:tab/>
                        <w:t>Pole-mounted single-phase</w:t>
                      </w:r>
                    </w:p>
                    <w:p w:rsidR="00540FEA" w:rsidRPr="000B3967" w:rsidRDefault="00540FEA" w:rsidP="000B3967">
                      <w:pPr>
                        <w:tabs>
                          <w:tab w:val="left" w:pos="2410"/>
                        </w:tabs>
                        <w:rPr>
                          <w:sz w:val="19"/>
                          <w:szCs w:val="19"/>
                        </w:rPr>
                      </w:pPr>
                    </w:p>
                    <w:p w:rsidR="00540FEA" w:rsidRPr="000B3967" w:rsidRDefault="00540FEA" w:rsidP="000B3967">
                      <w:pPr>
                        <w:tabs>
                          <w:tab w:val="left" w:pos="2410"/>
                        </w:tabs>
                        <w:rPr>
                          <w:sz w:val="19"/>
                          <w:szCs w:val="19"/>
                        </w:rPr>
                      </w:pPr>
                      <w:r w:rsidRPr="000B3967">
                        <w:rPr>
                          <w:sz w:val="19"/>
                          <w:szCs w:val="19"/>
                          <w:lang w:val="en-GB" w:eastAsia="en-GB"/>
                        </w:rPr>
                        <w:t>The transformers can be pole-mounted (single phase 242 V with capacities 16</w:t>
                      </w:r>
                      <w:r>
                        <w:rPr>
                          <w:sz w:val="19"/>
                          <w:szCs w:val="19"/>
                          <w:lang w:val="en-GB" w:eastAsia="en-GB"/>
                        </w:rPr>
                        <w:t xml:space="preserve">-25 </w:t>
                      </w:r>
                      <w:r w:rsidRPr="000B3967">
                        <w:rPr>
                          <w:sz w:val="19"/>
                          <w:szCs w:val="19"/>
                          <w:lang w:val="en-GB" w:eastAsia="en-GB"/>
                        </w:rPr>
                        <w:t xml:space="preserve">kVA, 484 V dual-phase with capacities 31-64 kVA, or three-phase with capacities 25-500 kVA) or ground-mounted (three-phase 11 or 22 kV with capacities </w:t>
                      </w:r>
                      <w:r>
                        <w:rPr>
                          <w:sz w:val="19"/>
                          <w:szCs w:val="19"/>
                          <w:lang w:val="en-GB" w:eastAsia="en-GB"/>
                        </w:rPr>
                        <w:t>50</w:t>
                      </w:r>
                      <w:r w:rsidRPr="000B3967">
                        <w:rPr>
                          <w:sz w:val="19"/>
                          <w:szCs w:val="19"/>
                          <w:lang w:val="en-GB" w:eastAsia="en-GB"/>
                        </w:rPr>
                        <w:t>-2500 kVA).</w:t>
                      </w:r>
                    </w:p>
                  </w:txbxContent>
                </v:textbox>
                <w10:wrap type="square" anchorx="margin" anchory="margin"/>
              </v:shape>
            </w:pict>
          </mc:Fallback>
        </mc:AlternateContent>
      </w:r>
      <w:r w:rsidR="00FD2651" w:rsidRPr="0057545E">
        <w:rPr>
          <w:lang w:val="en-GB" w:eastAsia="en-GB"/>
        </w:rPr>
        <w:t xml:space="preserve">In 2011/12, the distribution grid in South Africa had a length of 2.807 million km with </w:t>
      </w:r>
      <w:r w:rsidR="006166F5" w:rsidRPr="00353542">
        <w:rPr>
          <w:lang w:val="en-GB" w:eastAsia="en-GB"/>
        </w:rPr>
        <w:t>530,374</w:t>
      </w:r>
      <w:r w:rsidR="00255261" w:rsidRPr="003B7D62">
        <w:rPr>
          <w:lang w:val="en-GB" w:eastAsia="en-GB"/>
        </w:rPr>
        <w:t>.</w:t>
      </w:r>
      <w:r w:rsidR="00FD2651" w:rsidRPr="004722F0">
        <w:rPr>
          <w:lang w:val="en-GB" w:eastAsia="en-GB"/>
        </w:rPr>
        <w:t xml:space="preserve">), of which 0.368 million km (and </w:t>
      </w:r>
      <w:r w:rsidR="006166F5" w:rsidRPr="00666B27">
        <w:rPr>
          <w:lang w:val="en-GB" w:eastAsia="en-GB"/>
        </w:rPr>
        <w:t>148,984</w:t>
      </w:r>
      <w:r w:rsidR="00FD2651" w:rsidRPr="00666B27">
        <w:rPr>
          <w:lang w:val="en-GB" w:eastAsia="en-GB"/>
        </w:rPr>
        <w:t xml:space="preserve"> transformers </w:t>
      </w:r>
      <w:r w:rsidR="00255261" w:rsidRPr="00666B27">
        <w:rPr>
          <w:lang w:val="en-GB" w:eastAsia="en-GB"/>
        </w:rPr>
        <w:t>.</w:t>
      </w:r>
      <w:r w:rsidR="00FD2651" w:rsidRPr="00666B27">
        <w:rPr>
          <w:lang w:val="en-GB" w:eastAsia="en-GB"/>
        </w:rPr>
        <w:t xml:space="preserve">in the hands of Eskom and 2.439 million km (with </w:t>
      </w:r>
      <w:r w:rsidR="006166F5" w:rsidRPr="00666B27">
        <w:rPr>
          <w:lang w:val="en-GB" w:eastAsia="en-GB"/>
        </w:rPr>
        <w:t>381,390</w:t>
      </w:r>
      <w:r w:rsidR="00FD2651" w:rsidRPr="00666B27">
        <w:rPr>
          <w:lang w:val="en-GB" w:eastAsia="en-GB"/>
        </w:rPr>
        <w:t xml:space="preserve"> in the hands of municipalities and private distributors</w:t>
      </w:r>
      <w:r w:rsidR="00255261" w:rsidRPr="00666B27">
        <w:rPr>
          <w:lang w:val="en-GB" w:eastAsia="en-GB"/>
        </w:rPr>
        <w:t xml:space="preserve">. </w:t>
      </w:r>
      <w:r w:rsidR="00FD2651" w:rsidRPr="00666B27">
        <w:rPr>
          <w:lang w:val="en-GB" w:eastAsia="en-GB"/>
        </w:rPr>
        <w:t xml:space="preserve">In </w:t>
      </w:r>
      <w:r w:rsidR="006166F5" w:rsidRPr="00666B27">
        <w:rPr>
          <w:lang w:val="en-GB" w:eastAsia="en-GB"/>
        </w:rPr>
        <w:t>2017 there were about 662,655 distribution transformers installed, of which about 290,000 by Eskom</w:t>
      </w:r>
      <w:r w:rsidR="001C729F" w:rsidRPr="00666B27">
        <w:rPr>
          <w:lang w:val="en-GB" w:eastAsia="en-GB"/>
        </w:rPr>
        <w:t>.</w:t>
      </w:r>
      <w:r w:rsidR="00FD2651" w:rsidRPr="0057545E">
        <w:rPr>
          <w:vertAlign w:val="superscript"/>
          <w:lang w:val="en-GB" w:eastAsia="en-GB"/>
        </w:rPr>
        <w:footnoteReference w:id="46"/>
      </w:r>
      <w:r w:rsidR="00FD2651" w:rsidRPr="0057545E">
        <w:rPr>
          <w:lang w:val="en-GB" w:eastAsia="en-GB"/>
        </w:rPr>
        <w:t xml:space="preserve"> </w:t>
      </w:r>
      <w:r w:rsidR="00AB31F9" w:rsidRPr="00353542">
        <w:rPr>
          <w:lang w:val="en-GB" w:eastAsia="en-GB"/>
        </w:rPr>
        <w:t>An estimated 20</w:t>
      </w:r>
      <w:r w:rsidR="00D903B4" w:rsidRPr="003B7D62">
        <w:rPr>
          <w:lang w:val="en-GB" w:eastAsia="en-GB"/>
        </w:rPr>
        <w:t>,000-24</w:t>
      </w:r>
      <w:r w:rsidR="00AB31F9" w:rsidRPr="004722F0">
        <w:rPr>
          <w:lang w:val="en-GB" w:eastAsia="en-GB"/>
        </w:rPr>
        <w:t xml:space="preserve">,000 </w:t>
      </w:r>
      <w:r w:rsidR="00255261" w:rsidRPr="00666B27">
        <w:rPr>
          <w:lang w:val="en-GB" w:eastAsia="en-GB"/>
        </w:rPr>
        <w:t xml:space="preserve">newly installed per year about half replacing old retiring transformers, and about half as newly added to the system. </w:t>
      </w:r>
    </w:p>
    <w:p w:rsidR="00555A95" w:rsidRPr="00666B27" w:rsidRDefault="00555A95" w:rsidP="00FD2651">
      <w:pPr>
        <w:spacing w:after="0"/>
        <w:rPr>
          <w:lang w:val="en-GB" w:eastAsia="en-GB"/>
        </w:rPr>
      </w:pPr>
    </w:p>
    <w:p w:rsidR="000B3967" w:rsidRPr="00666B27" w:rsidRDefault="003A2690" w:rsidP="000B3967">
      <w:pPr>
        <w:spacing w:after="0"/>
        <w:rPr>
          <w:lang w:val="en-GB" w:eastAsia="en-GB"/>
        </w:rPr>
      </w:pPr>
      <w:r>
        <w:rPr>
          <w:noProof/>
        </w:rPr>
        <mc:AlternateContent>
          <mc:Choice Requires="wps">
            <w:drawing>
              <wp:anchor distT="45720" distB="45720" distL="144145" distR="144145" simplePos="0" relativeHeight="251629568" behindDoc="1" locked="0" layoutInCell="1" allowOverlap="1">
                <wp:simplePos x="0" y="0"/>
                <wp:positionH relativeFrom="page">
                  <wp:posOffset>3580765</wp:posOffset>
                </wp:positionH>
                <wp:positionV relativeFrom="margin">
                  <wp:posOffset>4457065</wp:posOffset>
                </wp:positionV>
                <wp:extent cx="3660775" cy="2854960"/>
                <wp:effectExtent l="0" t="0" r="0" b="0"/>
                <wp:wrapTight wrapText="bothSides">
                  <wp:wrapPolygon edited="0">
                    <wp:start x="0" y="0"/>
                    <wp:lineTo x="0" y="21475"/>
                    <wp:lineTo x="21469" y="21475"/>
                    <wp:lineTo x="21469" y="0"/>
                    <wp:lineTo x="0" y="0"/>
                  </wp:wrapPolygon>
                </wp:wrapTight>
                <wp:docPr id="231" name="Text Box 2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60775" cy="2854960"/>
                        </a:xfrm>
                        <a:prstGeom prst="rect">
                          <a:avLst/>
                        </a:prstGeom>
                        <a:solidFill>
                          <a:srgbClr val="ED7D31">
                            <a:lumMod val="20000"/>
                            <a:lumOff val="80000"/>
                          </a:srgbClr>
                        </a:solidFill>
                        <a:ln>
                          <a:noFill/>
                        </a:ln>
                      </wps:spPr>
                      <wps:txbx>
                        <w:txbxContent>
                          <w:p w:rsidR="00540FEA" w:rsidRDefault="00540FEA" w:rsidP="00E15994">
                            <w:pPr>
                              <w:pStyle w:val="Caption"/>
                              <w:rPr>
                                <w:rFonts w:ascii="Arial" w:hAnsi="Arial" w:cs="Arial"/>
                                <w:color w:val="2E74B5"/>
                                <w:sz w:val="18"/>
                              </w:rPr>
                            </w:pPr>
                            <w:bookmarkStart w:id="269" w:name="_Toc17985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32</w:t>
                            </w:r>
                            <w:r w:rsidRPr="00A21E05">
                              <w:rPr>
                                <w:rFonts w:ascii="Arial" w:hAnsi="Arial" w:cs="Arial"/>
                                <w:color w:val="2E74B5"/>
                                <w:sz w:val="18"/>
                              </w:rPr>
                              <w:fldChar w:fldCharType="end"/>
                            </w:r>
                            <w:r>
                              <w:rPr>
                                <w:rFonts w:ascii="Arial" w:hAnsi="Arial" w:cs="Arial"/>
                                <w:color w:val="2E74B5"/>
                                <w:sz w:val="18"/>
                              </w:rPr>
                              <w:tab/>
                              <w:t>South Africa transformer benchmarking</w:t>
                            </w:r>
                            <w:bookmarkEnd w:id="269"/>
                          </w:p>
                          <w:p w:rsidR="00540FEA" w:rsidRPr="00CC313E" w:rsidRDefault="00540FEA" w:rsidP="00E15994"/>
                          <w:p w:rsidR="00540FEA" w:rsidRDefault="00540FEA" w:rsidP="00E15994">
                            <w:pPr>
                              <w:rPr>
                                <w:noProof/>
                              </w:rPr>
                            </w:pPr>
                            <w:r w:rsidRPr="00676649">
                              <w:rPr>
                                <w:noProof/>
                              </w:rPr>
                              <w:drawing>
                                <wp:inline distT="0" distB="0" distL="0" distR="0">
                                  <wp:extent cx="3505200" cy="1899920"/>
                                  <wp:effectExtent l="0" t="0" r="0" b="0"/>
                                  <wp:docPr id="29"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3505200" cy="1899920"/>
                                          </a:xfrm>
                                          <a:prstGeom prst="rect">
                                            <a:avLst/>
                                          </a:prstGeom>
                                          <a:noFill/>
                                          <a:ln>
                                            <a:noFill/>
                                          </a:ln>
                                        </pic:spPr>
                                      </pic:pic>
                                    </a:graphicData>
                                  </a:graphic>
                                </wp:inline>
                              </w:drawing>
                            </w:r>
                          </w:p>
                          <w:p w:rsidR="00540FEA" w:rsidRPr="000B3967" w:rsidRDefault="00540FEA" w:rsidP="00E15994">
                            <w:pPr>
                              <w:rPr>
                                <w:noProof/>
                                <w:sz w:val="19"/>
                                <w:szCs w:val="19"/>
                              </w:rPr>
                            </w:pPr>
                            <w:r w:rsidRPr="000B3967">
                              <w:rPr>
                                <w:noProof/>
                                <w:sz w:val="19"/>
                                <w:szCs w:val="19"/>
                              </w:rPr>
                              <w:t>SANS 780’s benchmark with respect to other international countries.</w:t>
                            </w:r>
                          </w:p>
                          <w:p w:rsidR="00540FEA" w:rsidRPr="00CC313E" w:rsidRDefault="00540FEA" w:rsidP="00E15994">
                            <w:pPr>
                              <w:rPr>
                                <w:sz w:val="18"/>
                              </w:rPr>
                            </w:pPr>
                            <w:r w:rsidRPr="00A21E05">
                              <w:rPr>
                                <w:i/>
                                <w:noProof/>
                                <w:sz w:val="18"/>
                              </w:rPr>
                              <w:t>Source:</w:t>
                            </w:r>
                            <w:r>
                              <w:rPr>
                                <w:i/>
                                <w:noProof/>
                                <w:sz w:val="18"/>
                              </w:rPr>
                              <w:t xml:space="preserve"> Reducing South Africa’ s electrical distribution transformer losses </w:t>
                            </w:r>
                            <w:r>
                              <w:rPr>
                                <w:noProof/>
                                <w:sz w:val="18"/>
                              </w:rPr>
                              <w:t>in ‘Electricty and Control’, by Amadi, A. and De Kock, J.</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14" o:spid="_x0000_s1047" type="#_x0000_t202" style="position:absolute;left:0;text-align:left;margin-left:281.95pt;margin-top:350.95pt;width:288.25pt;height:224.8pt;z-index:-251686912;visibility:visible;mso-wrap-style:square;mso-width-percent:0;mso-height-percent:0;mso-wrap-distance-left:11.35pt;mso-wrap-distance-top:3.6pt;mso-wrap-distance-right:11.35pt;mso-wrap-distance-bottom:3.6pt;mso-position-horizontal:absolute;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" fillcolor="#fbe5d6" stroked="f">
                <v:textbox>
                  <w:txbxContent>
                    <w:p w:rsidR="00540FEA" w:rsidRDefault="00540FEA" w:rsidP="00E15994">
                      <w:pPr>
                        <w:pStyle w:val="Caption"/>
                        <w:rPr>
                          <w:rFonts w:ascii="Arial" w:hAnsi="Arial" w:cs="Arial"/>
                          <w:color w:val="2E74B5"/>
                          <w:sz w:val="18"/>
                        </w:rPr>
                      </w:pPr>
                      <w:bookmarkStart w:id="312" w:name="_Toc17985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32</w:t>
                      </w:r>
                      <w:r w:rsidRPr="00A21E05">
                        <w:rPr>
                          <w:rFonts w:ascii="Arial" w:hAnsi="Arial" w:cs="Arial"/>
                          <w:color w:val="2E74B5"/>
                          <w:sz w:val="18"/>
                        </w:rPr>
                        <w:fldChar w:fldCharType="end"/>
                      </w:r>
                      <w:r>
                        <w:rPr>
                          <w:rFonts w:ascii="Arial" w:hAnsi="Arial" w:cs="Arial"/>
                          <w:color w:val="2E74B5"/>
                          <w:sz w:val="18"/>
                        </w:rPr>
                        <w:tab/>
                        <w:t>South Africa transformer benchmarking</w:t>
                      </w:r>
                      <w:bookmarkEnd w:id="312"/>
                    </w:p>
                    <w:p w:rsidR="00540FEA" w:rsidRPr="00CC313E" w:rsidRDefault="00540FEA" w:rsidP="00E15994"/>
                    <w:p w:rsidR="00540FEA" w:rsidRDefault="00540FEA" w:rsidP="00E15994">
                      <w:pPr>
                        <w:rPr>
                          <w:noProof/>
                        </w:rPr>
                      </w:pPr>
                      <w:r w:rsidRPr="00676649">
                        <w:rPr>
                          <w:noProof/>
                        </w:rPr>
                        <w:drawing>
                          <wp:inline distT="0" distB="0" distL="0" distR="0">
                            <wp:extent cx="3505200" cy="1899920"/>
                            <wp:effectExtent l="0" t="0" r="0" b="0"/>
                            <wp:docPr id="29" name="Picture 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505200" cy="1899920"/>
                                    </a:xfrm>
                                    <a:prstGeom prst="rect">
                                      <a:avLst/>
                                    </a:prstGeom>
                                    <a:noFill/>
                                    <a:ln>
                                      <a:noFill/>
                                    </a:ln>
                                  </pic:spPr>
                                </pic:pic>
                              </a:graphicData>
                            </a:graphic>
                          </wp:inline>
                        </w:drawing>
                      </w:r>
                    </w:p>
                    <w:p w:rsidR="00540FEA" w:rsidRPr="000B3967" w:rsidRDefault="00540FEA" w:rsidP="00E15994">
                      <w:pPr>
                        <w:rPr>
                          <w:noProof/>
                          <w:sz w:val="19"/>
                          <w:szCs w:val="19"/>
                        </w:rPr>
                      </w:pPr>
                      <w:r w:rsidRPr="000B3967">
                        <w:rPr>
                          <w:noProof/>
                          <w:sz w:val="19"/>
                          <w:szCs w:val="19"/>
                        </w:rPr>
                        <w:t>SANS 780’s benchmark with respect to other international countries.</w:t>
                      </w:r>
                    </w:p>
                    <w:p w:rsidR="00540FEA" w:rsidRPr="00CC313E" w:rsidRDefault="00540FEA" w:rsidP="00E15994">
                      <w:pPr>
                        <w:rPr>
                          <w:sz w:val="18"/>
                        </w:rPr>
                      </w:pPr>
                      <w:r w:rsidRPr="00A21E05">
                        <w:rPr>
                          <w:i/>
                          <w:noProof/>
                          <w:sz w:val="18"/>
                        </w:rPr>
                        <w:t>Source:</w:t>
                      </w:r>
                      <w:r>
                        <w:rPr>
                          <w:i/>
                          <w:noProof/>
                          <w:sz w:val="18"/>
                        </w:rPr>
                        <w:t xml:space="preserve"> Reducing South Africa’ s electrical distribution transformer losses </w:t>
                      </w:r>
                      <w:r>
                        <w:rPr>
                          <w:noProof/>
                          <w:sz w:val="18"/>
                        </w:rPr>
                        <w:t>in ‘Electricty and Control’, by Amadi, A. and De Kock, J.</w:t>
                      </w:r>
                    </w:p>
                  </w:txbxContent>
                </v:textbox>
                <w10:wrap type="tight" anchorx="page" anchory="margin"/>
              </v:shape>
            </w:pict>
          </mc:Fallback>
        </mc:AlternateContent>
      </w:r>
      <w:r w:rsidR="00760A2C" w:rsidRPr="0057545E">
        <w:rPr>
          <w:lang w:val="en-GB" w:eastAsia="en-GB"/>
        </w:rPr>
        <w:t>Most transformers used in distribution systems in South Africa are of the liquid-immersed type made from cold-r</w:t>
      </w:r>
      <w:r w:rsidR="00760A2C" w:rsidRPr="00353542">
        <w:rPr>
          <w:lang w:val="en-GB" w:eastAsia="en-GB"/>
        </w:rPr>
        <w:t>olled grain-oriented silicon ste</w:t>
      </w:r>
      <w:r w:rsidR="00760A2C" w:rsidRPr="003B7D62">
        <w:rPr>
          <w:lang w:val="en-GB" w:eastAsia="en-GB"/>
        </w:rPr>
        <w:t xml:space="preserve">el. The available distribution transformers are heavy pieces of electrical equipment with a weight range of 150 kg to 29,000 kg.  </w:t>
      </w:r>
      <w:r w:rsidR="000B3967" w:rsidRPr="004722F0">
        <w:rPr>
          <w:lang w:val="en-GB" w:eastAsia="en-GB"/>
        </w:rPr>
        <w:t xml:space="preserve">The lifecycle cost of a transformer </w:t>
      </w:r>
      <w:proofErr w:type="gramStart"/>
      <w:r w:rsidR="000B3967" w:rsidRPr="004722F0">
        <w:rPr>
          <w:lang w:val="en-GB" w:eastAsia="en-GB"/>
        </w:rPr>
        <w:t>takes into account</w:t>
      </w:r>
      <w:proofErr w:type="gramEnd"/>
      <w:r w:rsidR="000B3967" w:rsidRPr="004722F0">
        <w:rPr>
          <w:lang w:val="en-GB" w:eastAsia="en-GB"/>
        </w:rPr>
        <w:t xml:space="preserve"> the initial cost and cost to operate an</w:t>
      </w:r>
      <w:r w:rsidR="000B3967" w:rsidRPr="00666B27">
        <w:rPr>
          <w:lang w:val="en-GB" w:eastAsia="en-GB"/>
        </w:rPr>
        <w:t xml:space="preserve">d maintain over the product’s lifetime, which could be up to 40 years. In the transformer business, this is often expressed as ‘total cost of ownership (TOC)’ consisting of the cost of purchasing the transformer + value of no-load losses + value of load losses. For example, the article by </w:t>
      </w:r>
      <w:proofErr w:type="spellStart"/>
      <w:r w:rsidR="000B3967" w:rsidRPr="00666B27">
        <w:rPr>
          <w:lang w:val="en-GB" w:eastAsia="en-GB"/>
        </w:rPr>
        <w:t>Amadi</w:t>
      </w:r>
      <w:proofErr w:type="spellEnd"/>
      <w:r w:rsidR="000B3967" w:rsidRPr="00666B27">
        <w:rPr>
          <w:lang w:val="en-GB" w:eastAsia="en-GB"/>
        </w:rPr>
        <w:t xml:space="preserve"> and De Cock (see </w:t>
      </w:r>
      <w:r w:rsidR="00DC0D1B" w:rsidRPr="00353542">
        <w:rPr>
          <w:lang w:val="en-GB" w:eastAsia="en-GB"/>
        </w:rPr>
        <w:fldChar w:fldCharType="begin"/>
      </w:r>
      <w:r w:rsidR="00DC0D1B" w:rsidRPr="00666B27">
        <w:rPr>
          <w:lang w:val="en-GB" w:eastAsia="en-GB"/>
        </w:rPr>
        <w:instrText xml:space="preserve"> REF _Ref535756682 \h </w:instrText>
      </w:r>
      <w:r w:rsidR="00DC0D1B" w:rsidRPr="00353542">
        <w:rPr>
          <w:lang w:val="en-GB" w:eastAsia="en-GB"/>
        </w:rPr>
      </w:r>
      <w:r w:rsidR="00DC0D1B"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33</w:t>
      </w:r>
      <w:r w:rsidR="00DC0D1B" w:rsidRPr="00353542">
        <w:rPr>
          <w:lang w:val="en-GB" w:eastAsia="en-GB"/>
        </w:rPr>
        <w:fldChar w:fldCharType="end"/>
      </w:r>
      <w:r w:rsidR="000B3967" w:rsidRPr="00666B27">
        <w:rPr>
          <w:lang w:val="en-GB" w:eastAsia="en-GB"/>
        </w:rPr>
        <w:fldChar w:fldCharType="begin"/>
      </w:r>
      <w:r w:rsidR="000B3967" w:rsidRPr="00666B27">
        <w:rPr>
          <w:lang w:val="en-GB" w:eastAsia="en-GB"/>
        </w:rPr>
        <w:instrText xml:space="preserve"> REF _Ref495342581 \h  \* MERGEFORMAT </w:instrText>
      </w:r>
      <w:r w:rsidR="000B3967" w:rsidRPr="00666B27">
        <w:rPr>
          <w:lang w:val="en-GB" w:eastAsia="en-GB"/>
        </w:rPr>
      </w:r>
      <w:r w:rsidR="000B3967" w:rsidRPr="00666B27">
        <w:rPr>
          <w:lang w:val="en-GB" w:eastAsia="en-GB"/>
        </w:rPr>
        <w:fldChar w:fldCharType="end"/>
      </w:r>
      <w:r w:rsidR="000B3967" w:rsidRPr="0057545E">
        <w:rPr>
          <w:lang w:val="en-GB" w:eastAsia="en-GB"/>
        </w:rPr>
        <w:t xml:space="preserve">) </w:t>
      </w:r>
      <w:r w:rsidR="000B3967" w:rsidRPr="00353542">
        <w:rPr>
          <w:noProof/>
          <w:lang w:val="en-GB" w:eastAsia="en-GB"/>
        </w:rPr>
        <w:t>compare</w:t>
      </w:r>
      <w:r w:rsidR="001B35A9" w:rsidRPr="003B7D62">
        <w:rPr>
          <w:noProof/>
          <w:lang w:val="en-GB" w:eastAsia="en-GB"/>
        </w:rPr>
        <w:t>s</w:t>
      </w:r>
      <w:r w:rsidR="000B3967" w:rsidRPr="004722F0">
        <w:rPr>
          <w:lang w:val="en-GB" w:eastAsia="en-GB"/>
        </w:rPr>
        <w:t xml:space="preserve"> the case of a standard 315 kVA transformer in South Africa with that of a premium-efficiency transformer. With a load factor of 40%, </w:t>
      </w:r>
      <w:r w:rsidR="00C45283" w:rsidRPr="00666B27">
        <w:rPr>
          <w:lang w:val="en-GB" w:eastAsia="en-GB"/>
        </w:rPr>
        <w:t xml:space="preserve">an </w:t>
      </w:r>
      <w:r w:rsidR="000B3967" w:rsidRPr="00666B27">
        <w:rPr>
          <w:lang w:val="en-GB" w:eastAsia="en-GB"/>
        </w:rPr>
        <w:t xml:space="preserve">assumed </w:t>
      </w:r>
      <w:r w:rsidR="000B3967" w:rsidRPr="00666B27">
        <w:rPr>
          <w:noProof/>
          <w:lang w:val="en-GB" w:eastAsia="en-GB"/>
        </w:rPr>
        <w:t>lifetime</w:t>
      </w:r>
      <w:r w:rsidR="000B3967" w:rsidRPr="00666B27">
        <w:rPr>
          <w:lang w:val="en-GB" w:eastAsia="en-GB"/>
        </w:rPr>
        <w:t xml:space="preserve"> of 40 years and cost of power of R 1.51/kWh, the conventional transformers purchase price was R 64,900 in 2014 with a TOC of R 2.253 million and that of the premium-efficiency transformer costing R 90,672 but with a TOC of R 1.184 million</w:t>
      </w:r>
      <w:r w:rsidR="000B3967" w:rsidRPr="0057545E">
        <w:rPr>
          <w:vertAlign w:val="superscript"/>
          <w:lang w:val="en-GB" w:eastAsia="en-GB"/>
        </w:rPr>
        <w:footnoteReference w:id="47"/>
      </w:r>
      <w:r w:rsidR="000B3967" w:rsidRPr="0057545E">
        <w:rPr>
          <w:lang w:val="en-GB" w:eastAsia="en-GB"/>
        </w:rPr>
        <w:t xml:space="preserve">. </w:t>
      </w:r>
      <w:r w:rsidR="001B35A9" w:rsidRPr="00353542">
        <w:rPr>
          <w:lang w:val="en-GB" w:eastAsia="en-GB"/>
        </w:rPr>
        <w:t>T</w:t>
      </w:r>
      <w:r w:rsidR="000B3967" w:rsidRPr="003B7D62">
        <w:rPr>
          <w:lang w:val="en-GB" w:eastAsia="en-GB"/>
        </w:rPr>
        <w:t xml:space="preserve">he </w:t>
      </w:r>
      <w:r w:rsidR="001B35A9" w:rsidRPr="004722F0">
        <w:rPr>
          <w:lang w:val="en-GB" w:eastAsia="en-GB"/>
        </w:rPr>
        <w:t>inves</w:t>
      </w:r>
      <w:r w:rsidR="001B35A9" w:rsidRPr="00666B27">
        <w:rPr>
          <w:lang w:val="en-GB" w:eastAsia="en-GB"/>
        </w:rPr>
        <w:t xml:space="preserve">tment in a </w:t>
      </w:r>
      <w:r w:rsidR="000B3967" w:rsidRPr="00666B27">
        <w:rPr>
          <w:lang w:val="en-GB" w:eastAsia="en-GB"/>
        </w:rPr>
        <w:t xml:space="preserve">high-efficiency </w:t>
      </w:r>
      <w:r w:rsidR="001B35A9" w:rsidRPr="00666B27">
        <w:rPr>
          <w:lang w:val="en-GB" w:eastAsia="en-GB"/>
        </w:rPr>
        <w:t>transformer is higher</w:t>
      </w:r>
      <w:r w:rsidR="000B3967" w:rsidRPr="00666B27">
        <w:rPr>
          <w:lang w:val="en-GB" w:eastAsia="en-GB"/>
        </w:rPr>
        <w:t xml:space="preserve"> but yield</w:t>
      </w:r>
      <w:r w:rsidR="001B35A9" w:rsidRPr="00666B27">
        <w:rPr>
          <w:lang w:val="en-GB" w:eastAsia="en-GB"/>
        </w:rPr>
        <w:t>s</w:t>
      </w:r>
      <w:r w:rsidR="000B3967" w:rsidRPr="00666B27">
        <w:rPr>
          <w:lang w:val="en-GB" w:eastAsia="en-GB"/>
        </w:rPr>
        <w:t xml:space="preserve"> </w:t>
      </w:r>
      <w:r w:rsidR="00C45283" w:rsidRPr="00666B27">
        <w:rPr>
          <w:lang w:val="en-GB" w:eastAsia="en-GB"/>
        </w:rPr>
        <w:t xml:space="preserve">an </w:t>
      </w:r>
      <w:r w:rsidR="000B3967" w:rsidRPr="00666B27">
        <w:rPr>
          <w:noProof/>
          <w:lang w:val="en-GB" w:eastAsia="en-GB"/>
        </w:rPr>
        <w:t>attractive</w:t>
      </w:r>
      <w:r w:rsidR="000B3967" w:rsidRPr="00666B27">
        <w:rPr>
          <w:lang w:val="en-GB" w:eastAsia="en-GB"/>
        </w:rPr>
        <w:t xml:space="preserve"> total cost of ownership (TOC) over the extended life of the transformer</w:t>
      </w:r>
      <w:r w:rsidR="001B35A9" w:rsidRPr="00666B27">
        <w:rPr>
          <w:lang w:val="en-GB" w:eastAsia="en-GB"/>
        </w:rPr>
        <w:t xml:space="preserve"> (due to lower no-load and load losses).</w:t>
      </w:r>
    </w:p>
    <w:p w:rsidR="000B3967" w:rsidRPr="00666B27" w:rsidRDefault="000B3967" w:rsidP="000B3967">
      <w:pPr>
        <w:spacing w:after="0"/>
        <w:rPr>
          <w:lang w:val="en-GB" w:eastAsia="en-GB"/>
        </w:rPr>
      </w:pPr>
    </w:p>
    <w:p w:rsidR="00255261" w:rsidRPr="00666B27" w:rsidRDefault="000B3967" w:rsidP="00FD2651">
      <w:pPr>
        <w:spacing w:after="0"/>
        <w:rPr>
          <w:lang w:val="en-GB" w:eastAsia="en-GB"/>
        </w:rPr>
      </w:pPr>
      <w:r w:rsidRPr="00666B27">
        <w:rPr>
          <w:lang w:val="en-GB" w:eastAsia="en-GB"/>
        </w:rPr>
        <w:t>The first standard regarding transformers was issued in 1966 by SABS (based on IEC standards at that time), known as SANS 780. The standard has been amended several times since then, but none of these have included transformer no-load and load losses. Not surprisingly, South Africa’s transformer efficiencies are trailing behind those not only those in first-world but also other BRICS countries (Brazil, Russia, China, India</w:t>
      </w:r>
      <w:r w:rsidR="00C45283"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South Africa).  </w:t>
      </w:r>
    </w:p>
    <w:p w:rsidR="007F0998" w:rsidRPr="00666B27" w:rsidRDefault="007F0998" w:rsidP="00FD2651">
      <w:pPr>
        <w:spacing w:after="0"/>
        <w:rPr>
          <w:lang w:val="en-GB" w:eastAsia="en-GB"/>
        </w:rPr>
      </w:pPr>
    </w:p>
    <w:p w:rsidR="007F0998" w:rsidRPr="00666B27" w:rsidRDefault="007F0998" w:rsidP="007F0998">
      <w:pPr>
        <w:spacing w:after="0"/>
        <w:rPr>
          <w:lang w:val="en-GB" w:eastAsia="en-GB"/>
        </w:rPr>
      </w:pPr>
    </w:p>
    <w:p w:rsidR="000F1225" w:rsidRPr="00353542" w:rsidRDefault="00297A17" w:rsidP="000F1225">
      <w:pPr>
        <w:spacing w:after="0"/>
        <w:rPr>
          <w:lang w:val="en-GB" w:eastAsia="en-GB"/>
        </w:rPr>
      </w:pPr>
      <w:r w:rsidRPr="00666B27">
        <w:rPr>
          <w:lang w:val="en-GB" w:eastAsia="en-GB"/>
        </w:rPr>
        <w:br w:type="page"/>
      </w:r>
      <w:r w:rsidR="003A2690">
        <w:rPr>
          <w:noProof/>
        </w:rPr>
        <w:lastRenderedPageBreak/>
        <mc:AlternateContent>
          <mc:Choice Requires="wps">
            <w:drawing>
              <wp:anchor distT="45720" distB="45720" distL="114300" distR="114300" simplePos="0" relativeHeight="251620352" behindDoc="0" locked="0" layoutInCell="1" allowOverlap="1">
                <wp:simplePos x="0" y="0"/>
                <wp:positionH relativeFrom="page">
                  <wp:posOffset>514350</wp:posOffset>
                </wp:positionH>
                <wp:positionV relativeFrom="page">
                  <wp:posOffset>924560</wp:posOffset>
                </wp:positionV>
                <wp:extent cx="6739890" cy="8036560"/>
                <wp:effectExtent l="0" t="0" r="0" b="0"/>
                <wp:wrapTopAndBottom/>
                <wp:docPr id="230" name="Text Box 1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036560"/>
                        </a:xfrm>
                        <a:prstGeom prst="rect">
                          <a:avLst/>
                        </a:prstGeom>
                        <a:solidFill>
                          <a:srgbClr val="ED7D31">
                            <a:lumMod val="20000"/>
                            <a:lumOff val="80000"/>
                          </a:srgbClr>
                        </a:solidFill>
                        <a:ln>
                          <a:noFill/>
                        </a:ln>
                      </wps:spPr>
                      <wps:txbx>
                        <w:txbxContent>
                          <w:p w:rsidR="00540FEA" w:rsidRDefault="00540FEA" w:rsidP="00297A17">
                            <w:pPr>
                              <w:pStyle w:val="Caption"/>
                              <w:rPr>
                                <w:rFonts w:ascii="Arial" w:hAnsi="Arial" w:cs="Arial"/>
                                <w:color w:val="2E74B5"/>
                                <w:sz w:val="18"/>
                              </w:rPr>
                            </w:pPr>
                            <w:bookmarkStart w:id="270" w:name="_Ref535756682"/>
                            <w:bookmarkStart w:id="271" w:name="_Toc496967029"/>
                            <w:bookmarkStart w:id="272" w:name="_Toc17985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33</w:t>
                            </w:r>
                            <w:r w:rsidRPr="00A21E05">
                              <w:rPr>
                                <w:rFonts w:ascii="Arial" w:hAnsi="Arial" w:cs="Arial"/>
                                <w:color w:val="2E74B5"/>
                                <w:sz w:val="18"/>
                              </w:rPr>
                              <w:fldChar w:fldCharType="end"/>
                            </w:r>
                            <w:bookmarkEnd w:id="270"/>
                            <w:r>
                              <w:rPr>
                                <w:rFonts w:ascii="Arial" w:hAnsi="Arial" w:cs="Arial"/>
                                <w:color w:val="2E74B5"/>
                                <w:sz w:val="18"/>
                              </w:rPr>
                              <w:tab/>
                              <w:t>Efficiency, losses and transformers</w:t>
                            </w:r>
                            <w:bookmarkEnd w:id="271"/>
                            <w:bookmarkEnd w:id="272"/>
                          </w:p>
                          <w:p w:rsidR="00540FEA" w:rsidRDefault="00540FEA" w:rsidP="00297A17">
                            <w:pPr>
                              <w:rPr>
                                <w:noProof/>
                              </w:rPr>
                            </w:pPr>
                          </w:p>
                          <w:p w:rsidR="00540FEA" w:rsidRPr="004C0D28" w:rsidRDefault="00540FEA" w:rsidP="00297A17">
                            <w:pPr>
                              <w:rPr>
                                <w:noProof/>
                                <w:sz w:val="19"/>
                                <w:szCs w:val="19"/>
                                <w:lang w:val="en-GB"/>
                              </w:rPr>
                            </w:pPr>
                            <w:r w:rsidRPr="004C0D28">
                              <w:rPr>
                                <w:noProof/>
                                <w:sz w:val="19"/>
                                <w:szCs w:val="19"/>
                                <w:lang w:val="en-GB"/>
                              </w:rPr>
                              <w:t xml:space="preserve">Transformers are devices in an electricity system that transfer power between circuits through electromagnetic induction (this enables energys avings in in power transport by increasing the voltage and decreasing the current). Transformers are installed at power stations to increase the voltage of the electricity to a level that will be suitable for transmission over long distances.  </w:t>
                            </w:r>
                          </w:p>
                          <w:p w:rsidR="00540FEA" w:rsidRPr="004C0D28" w:rsidRDefault="00540FEA" w:rsidP="00297A17">
                            <w:pPr>
                              <w:rPr>
                                <w:noProof/>
                                <w:sz w:val="19"/>
                                <w:szCs w:val="19"/>
                                <w:lang w:val="en-GB"/>
                              </w:rPr>
                            </w:pPr>
                            <w:r w:rsidRPr="004C0D28">
                              <w:rPr>
                                <w:noProof/>
                                <w:sz w:val="19"/>
                                <w:szCs w:val="19"/>
                                <w:lang w:val="en-GB"/>
                              </w:rPr>
                              <w:t>These transformers step up the voltage from, for example, 22 kV to 220 kV, 275 kV, 400 kV or 765 kV and feed the electricity into the national grid. Thus power is transported over large distance through the transmission grid at high voltage (110-275 kV) to the various distribution stations that are closer to the prospective users (toens, groups of villages, industry) and then tranformed by power transformers to medium voltage. When  the  electricity  arrives  at  the  distribution  station in South Africa,  bulk  supplies  of  electricity  at  22  kV  are  taken  for  primary distribution to towns and industrial areas, groups of villages, farms and similar concentrations of consumers.  The lines are  fed  into  intermediate  substations  where  transformers  reduce  the  voltage  to  11 kV.    Secondary  distribution  lines  radiating  from  these  substations  carry  the  power  into  the  areas  to  be  supplied  and  terminate  at distribution substations.  Here the voltage is reduced to its final level of 380/220 V for use in shops, office buildings. In substations the  voltage is decreased  by  step-down  transformers.</w:t>
                            </w:r>
                          </w:p>
                          <w:p w:rsidR="00540FEA" w:rsidRPr="004C0D28" w:rsidRDefault="00540FEA" w:rsidP="00297A17">
                            <w:pPr>
                              <w:rPr>
                                <w:noProof/>
                                <w:sz w:val="19"/>
                                <w:szCs w:val="19"/>
                                <w:lang w:val="en-GB"/>
                              </w:rPr>
                            </w:pPr>
                            <w:r w:rsidRPr="004C0D28">
                              <w:rPr>
                                <w:noProof/>
                                <w:sz w:val="19"/>
                                <w:szCs w:val="19"/>
                                <w:lang w:val="en-GB"/>
                              </w:rPr>
                              <w:t>Generally, transformers can be grouped in a) large power or high-voltage (&gt; 245 kV), medium-power, medium power (&gt; 36 kV and &lt; 230 kV), medium disttibution (&lt; 36 kV. Small power or small voltage is typically found in the distribution circuits of com</w:t>
                            </w:r>
                            <w:r>
                              <w:rPr>
                                <w:noProof/>
                                <w:sz w:val="19"/>
                                <w:szCs w:val="19"/>
                                <w:lang w:val="en-GB"/>
                              </w:rPr>
                              <w:t>me</w:t>
                            </w:r>
                            <w:r w:rsidRPr="004C0D28">
                              <w:rPr>
                                <w:noProof/>
                                <w:sz w:val="19"/>
                                <w:szCs w:val="19"/>
                                <w:lang w:val="en-GB"/>
                              </w:rPr>
                              <w:t>rc</w:t>
                            </w:r>
                            <w:r>
                              <w:rPr>
                                <w:noProof/>
                                <w:sz w:val="19"/>
                                <w:szCs w:val="19"/>
                                <w:lang w:val="en-GB"/>
                              </w:rPr>
                              <w:t>ia</w:t>
                            </w:r>
                            <w:r w:rsidRPr="004C0D28">
                              <w:rPr>
                                <w:noProof/>
                                <w:sz w:val="19"/>
                                <w:szCs w:val="19"/>
                                <w:lang w:val="en-GB"/>
                              </w:rPr>
                              <w:t xml:space="preserve">l buildings or industrial facilities. In this section, we are mainly concerned with transformers in South frica power distribution system. </w:t>
                            </w:r>
                          </w:p>
                          <w:p w:rsidR="00540FEA" w:rsidRPr="004C0D28" w:rsidRDefault="00540FEA" w:rsidP="00297A17">
                            <w:pPr>
                              <w:ind w:right="6477"/>
                              <w:rPr>
                                <w:noProof/>
                                <w:sz w:val="19"/>
                                <w:szCs w:val="19"/>
                                <w:lang w:val="en-GB"/>
                              </w:rPr>
                            </w:pPr>
                            <w:r w:rsidRPr="004C0D28">
                              <w:rPr>
                                <w:noProof/>
                                <w:sz w:val="19"/>
                                <w:szCs w:val="19"/>
                                <w:lang w:val="en-GB"/>
                              </w:rPr>
                              <w:t>‘No-losses’  (also called ‘ iron losses’)  in the core of a distribution transformers oc</w:t>
                            </w:r>
                            <w:r>
                              <w:rPr>
                                <w:noProof/>
                                <w:sz w:val="19"/>
                                <w:szCs w:val="19"/>
                                <w:lang w:val="en-GB"/>
                              </w:rPr>
                              <w:t>c</w:t>
                            </w:r>
                            <w:r w:rsidRPr="004C0D28">
                              <w:rPr>
                                <w:noProof/>
                                <w:sz w:val="19"/>
                                <w:szCs w:val="19"/>
                                <w:lang w:val="en-GB"/>
                              </w:rPr>
                              <w:t>ur whenever the transformer is energised, but no activily transmitting a load (through hysterisis and eddy currents). ‘ Load losses’  (also called ‘ wiring’ or ‘ copper’ losses) occur when the transform</w:t>
                            </w:r>
                            <w:r>
                              <w:rPr>
                                <w:noProof/>
                                <w:sz w:val="19"/>
                                <w:szCs w:val="19"/>
                                <w:lang w:val="en-GB"/>
                              </w:rPr>
                              <w:t xml:space="preserve">er </w:t>
                            </w:r>
                            <w:r w:rsidRPr="004C0D28">
                              <w:rPr>
                                <w:noProof/>
                                <w:sz w:val="19"/>
                                <w:szCs w:val="19"/>
                                <w:lang w:val="en-GB"/>
                              </w:rPr>
                              <w:t>supplies a load (caused by the electric resistance in the wiring, and their magnitude varies with the square of the magnetic flux, see figure). The peak efficiency of a transformers occurs at the point where no-load losses are equal to load losses. For a given efficiency, the no</w:t>
                            </w:r>
                            <w:r>
                              <w:rPr>
                                <w:noProof/>
                                <w:sz w:val="19"/>
                                <w:szCs w:val="19"/>
                                <w:lang w:val="en-GB"/>
                              </w:rPr>
                              <w:t>-</w:t>
                            </w:r>
                            <w:r w:rsidRPr="004C0D28">
                              <w:rPr>
                                <w:noProof/>
                                <w:sz w:val="19"/>
                                <w:szCs w:val="19"/>
                                <w:lang w:val="en-GB"/>
                              </w:rPr>
                              <w:t xml:space="preserve">load losses and load losses are generally inversely related. </w:t>
                            </w:r>
                          </w:p>
                          <w:p w:rsidR="00540FEA" w:rsidRPr="004C0D28" w:rsidRDefault="00540FEA" w:rsidP="00297A17">
                            <w:pPr>
                              <w:ind w:right="6477"/>
                              <w:rPr>
                                <w:noProof/>
                                <w:sz w:val="19"/>
                                <w:szCs w:val="19"/>
                                <w:lang w:val="en-GB"/>
                              </w:rPr>
                            </w:pPr>
                            <w:r w:rsidRPr="004C0D28">
                              <w:rPr>
                                <w:noProof/>
                                <w:sz w:val="19"/>
                                <w:szCs w:val="19"/>
                                <w:lang w:val="en-GB"/>
                              </w:rPr>
                              <w:t xml:space="preserve">A transformer can be made more efficient by improving materials  (e.g. better quality core steel or winding material) and by modifying the geometric configuration of the core and windings).  </w:t>
                            </w:r>
                          </w:p>
                          <w:p w:rsidR="00540FEA" w:rsidRPr="004C0D28" w:rsidRDefault="00540FEA" w:rsidP="00297A17">
                            <w:pPr>
                              <w:tabs>
                                <w:tab w:val="left" w:pos="3686"/>
                              </w:tabs>
                              <w:ind w:right="99"/>
                              <w:rPr>
                                <w:noProof/>
                                <w:sz w:val="19"/>
                                <w:szCs w:val="19"/>
                                <w:lang w:val="en-GB"/>
                              </w:rPr>
                            </w:pPr>
                            <w:r w:rsidRPr="004C0D28">
                              <w:rPr>
                                <w:noProof/>
                                <w:sz w:val="19"/>
                                <w:szCs w:val="19"/>
                                <w:lang w:val="en-GB"/>
                              </w:rPr>
                              <w:t>Most transformers have relatively high efficiency levels of around 98%. The importance of national energy savings occurs because they operate almost non-stop over a very long service lifetime (15-40 years) and their large numbers in the distribution grid. So, even small increments ( to 99%) can have a substantial im</w:t>
                            </w:r>
                            <w:r>
                              <w:rPr>
                                <w:noProof/>
                                <w:sz w:val="19"/>
                                <w:szCs w:val="19"/>
                                <w:lang w:val="en-GB"/>
                              </w:rPr>
                              <w:t>pac</w:t>
                            </w:r>
                            <w:r w:rsidRPr="004C0D28">
                              <w:rPr>
                                <w:noProof/>
                                <w:sz w:val="19"/>
                                <w:szCs w:val="19"/>
                                <w:lang w:val="en-GB"/>
                              </w:rPr>
                              <w:t>t on the national level.</w:t>
                            </w:r>
                          </w:p>
                          <w:p w:rsidR="00540FEA" w:rsidRPr="004C0D28" w:rsidRDefault="00540FEA" w:rsidP="00297A17">
                            <w:pPr>
                              <w:rPr>
                                <w:noProof/>
                                <w:sz w:val="19"/>
                                <w:szCs w:val="19"/>
                                <w:lang w:val="en-GB"/>
                              </w:rPr>
                            </w:pPr>
                            <w:r w:rsidRPr="004C0D28">
                              <w:rPr>
                                <w:noProof/>
                                <w:sz w:val="19"/>
                                <w:szCs w:val="19"/>
                                <w:lang w:val="en-GB"/>
                              </w:rPr>
                              <w:t xml:space="preserve">Many countries around the world have estabished minumum energy performance standards (MEPS) for transformers. For example, European Union (EN50588-1:2014 and EU 548/2014, defining maximum core and coil losses at 100% load, mandatory, 3-phase 25-40,000 kVA), China (GB 20052-2013, maximum cor and coil losses at 100% load, mandatory, 1-phase 5-160 kVA and 3-phase 30-1600 kVA), Mexico (NOM-002-SEDE-1997, efficiency at 50% load, 1-phase 5-167 kVA, 3-phase 15-500 kVA) and USA (effciiency at 50% load, 10-CFR-431, mandatory, efficiency at 50% load, 1-phase: 10-833 VA, 3-phase 15-2500 Kva. Other countries have introduced comparative and/or endorsement labels on a voluntary or mandatory basis. When setting MEPS, countries usually follow IEC 60076 test methods. </w:t>
                            </w:r>
                          </w:p>
                          <w:p w:rsidR="00540FEA" w:rsidRPr="004C0D28" w:rsidRDefault="00540FEA" w:rsidP="00297A17">
                            <w:pPr>
                              <w:rPr>
                                <w:noProof/>
                                <w:sz w:val="19"/>
                                <w:szCs w:val="19"/>
                                <w:lang w:val="en-GB"/>
                              </w:rPr>
                            </w:pPr>
                            <w:r w:rsidRPr="004C0D28">
                              <w:rPr>
                                <w:noProof/>
                                <w:sz w:val="19"/>
                                <w:szCs w:val="19"/>
                                <w:lang w:val="en-GB"/>
                              </w:rPr>
                              <w:t>Worldwide, transformer losses are about 5% of power consumption. By 2030, world energy consumption will be about 30,875 TWh/yr, incl</w:t>
                            </w:r>
                            <w:r>
                              <w:rPr>
                                <w:noProof/>
                                <w:sz w:val="19"/>
                                <w:szCs w:val="19"/>
                                <w:lang w:val="en-GB"/>
                              </w:rPr>
                              <w:t>ud</w:t>
                            </w:r>
                            <w:r w:rsidRPr="004C0D28">
                              <w:rPr>
                                <w:noProof/>
                                <w:sz w:val="19"/>
                                <w:szCs w:val="19"/>
                                <w:lang w:val="en-GB"/>
                              </w:rPr>
                              <w:t xml:space="preserve">ing transformer losses of 1,462 TWh/yr. Adoption </w:t>
                            </w:r>
                            <w:r>
                              <w:rPr>
                                <w:noProof/>
                                <w:sz w:val="19"/>
                                <w:szCs w:val="19"/>
                                <w:lang w:val="en-GB"/>
                              </w:rPr>
                              <w:t xml:space="preserve">of </w:t>
                            </w:r>
                            <w:r w:rsidRPr="004C0D28">
                              <w:rPr>
                                <w:noProof/>
                                <w:sz w:val="19"/>
                                <w:szCs w:val="19"/>
                                <w:lang w:val="en-GB"/>
                              </w:rPr>
                              <w:t>MEPS could yield savings of 218 TWh/yr and</w:t>
                            </w:r>
                            <w:r>
                              <w:rPr>
                                <w:noProof/>
                                <w:sz w:val="19"/>
                                <w:szCs w:val="19"/>
                                <w:lang w:val="en-GB"/>
                              </w:rPr>
                              <w:t xml:space="preserve"> in combination with</w:t>
                            </w:r>
                            <w:r w:rsidRPr="004C0D28">
                              <w:rPr>
                                <w:noProof/>
                                <w:sz w:val="19"/>
                                <w:szCs w:val="19"/>
                                <w:lang w:val="en-GB"/>
                              </w:rPr>
                              <w:t xml:space="preserve"> best available technology (BAT) even up to 400 TWh/yr, resulting in CO</w:t>
                            </w:r>
                            <w:r w:rsidRPr="004C0D28">
                              <w:rPr>
                                <w:noProof/>
                                <w:sz w:val="19"/>
                                <w:szCs w:val="19"/>
                                <w:vertAlign w:val="subscript"/>
                                <w:lang w:val="en-GB"/>
                              </w:rPr>
                              <w:t>2</w:t>
                            </w:r>
                            <w:r w:rsidRPr="004C0D28">
                              <w:rPr>
                                <w:noProof/>
                                <w:sz w:val="19"/>
                                <w:szCs w:val="19"/>
                                <w:lang w:val="en-GB"/>
                              </w:rPr>
                              <w:t xml:space="preserve"> emission savings of 127-248  million tons (MEPS</w:t>
                            </w:r>
                            <w:r>
                              <w:rPr>
                                <w:noProof/>
                                <w:sz w:val="19"/>
                                <w:szCs w:val="19"/>
                                <w:lang w:val="en-GB"/>
                              </w:rPr>
                              <w:t xml:space="preserve"> and </w:t>
                            </w:r>
                            <w:r w:rsidRPr="004C0D28">
                              <w:rPr>
                                <w:noProof/>
                                <w:sz w:val="19"/>
                                <w:szCs w:val="19"/>
                                <w:lang w:val="en-GB"/>
                              </w:rPr>
                              <w:t>BAT</w:t>
                            </w:r>
                            <w:r>
                              <w:rPr>
                                <w:noProof/>
                                <w:sz w:val="19"/>
                                <w:szCs w:val="19"/>
                                <w:lang w:val="en-GB"/>
                              </w:rPr>
                              <w:t xml:space="preserve"> scenarios</w:t>
                            </w:r>
                            <w:r w:rsidRPr="004C0D28">
                              <w:rPr>
                                <w:noProof/>
                                <w:sz w:val="19"/>
                                <w:szCs w:val="19"/>
                                <w:lang w:val="en-GB"/>
                              </w:rPr>
                              <w:t>, respectively)</w:t>
                            </w:r>
                          </w:p>
                          <w:p w:rsidR="00540FEA" w:rsidRPr="004C0D28" w:rsidRDefault="00540FEA" w:rsidP="00297A17">
                            <w:pPr>
                              <w:rPr>
                                <w:noProof/>
                                <w:sz w:val="18"/>
                                <w:lang w:val="en-GB"/>
                              </w:rPr>
                            </w:pPr>
                            <w:r w:rsidRPr="004C0D28">
                              <w:rPr>
                                <w:i/>
                                <w:noProof/>
                                <w:sz w:val="18"/>
                                <w:lang w:val="en-GB"/>
                              </w:rPr>
                              <w:t xml:space="preserve">Source: Accelerating the Global Adoption of Energy-Efficient Transformers, </w:t>
                            </w:r>
                            <w:r w:rsidRPr="004C0D28">
                              <w:rPr>
                                <w:noProof/>
                                <w:sz w:val="18"/>
                                <w:lang w:val="en-GB"/>
                              </w:rPr>
                              <w:t xml:space="preserve">UN Environment-GEF United for Efficiency (U4E, 2017); Eskom </w:t>
                            </w:r>
                            <w:r w:rsidRPr="004C0D28">
                              <w:rPr>
                                <w:i/>
                                <w:noProof/>
                                <w:sz w:val="18"/>
                                <w:lang w:val="en-GB"/>
                              </w:rPr>
                              <w:t xml:space="preserve">Fact Sheet Transmission and Distribution </w:t>
                            </w:r>
                            <w:r w:rsidRPr="004C0D28">
                              <w:rPr>
                                <w:noProof/>
                                <w:sz w:val="18"/>
                                <w:lang w:val="en-GB"/>
                              </w:rPr>
                              <w:t>(2015)</w:t>
                            </w:r>
                          </w:p>
                          <w:p w:rsidR="00540FEA" w:rsidRPr="004C0D28" w:rsidRDefault="00540FEA" w:rsidP="00297A17">
                            <w:pPr>
                              <w:rPr>
                                <w:noProof/>
                                <w:lang w:val="en-GB"/>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Pr="002044AF" w:rsidRDefault="00540FEA" w:rsidP="00297A17">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88" o:spid="_x0000_s1048" type="#_x0000_t202" style="position:absolute;left:0;text-align:left;margin-left:40.5pt;margin-top:72.8pt;width:530.7pt;height:632.8pt;z-index:251620352;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" fillcolor="#fbe5d6" stroked="f">
                <v:textbox>
                  <w:txbxContent>
                    <w:p w:rsidR="00540FEA" w:rsidRDefault="00540FEA" w:rsidP="00297A17">
                      <w:pPr>
                        <w:pStyle w:val="Caption"/>
                        <w:rPr>
                          <w:rFonts w:ascii="Arial" w:hAnsi="Arial" w:cs="Arial"/>
                          <w:color w:val="2E74B5"/>
                          <w:sz w:val="18"/>
                        </w:rPr>
                      </w:pPr>
                      <w:bookmarkStart w:id="316" w:name="_Ref535756682"/>
                      <w:bookmarkStart w:id="317" w:name="_Toc496967029"/>
                      <w:bookmarkStart w:id="318" w:name="_Toc17985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33</w:t>
                      </w:r>
                      <w:r w:rsidRPr="00A21E05">
                        <w:rPr>
                          <w:rFonts w:ascii="Arial" w:hAnsi="Arial" w:cs="Arial"/>
                          <w:color w:val="2E74B5"/>
                          <w:sz w:val="18"/>
                        </w:rPr>
                        <w:fldChar w:fldCharType="end"/>
                      </w:r>
                      <w:bookmarkEnd w:id="316"/>
                      <w:r>
                        <w:rPr>
                          <w:rFonts w:ascii="Arial" w:hAnsi="Arial" w:cs="Arial"/>
                          <w:color w:val="2E74B5"/>
                          <w:sz w:val="18"/>
                        </w:rPr>
                        <w:tab/>
                        <w:t>Efficiency, losses and transformers</w:t>
                      </w:r>
                      <w:bookmarkEnd w:id="317"/>
                      <w:bookmarkEnd w:id="318"/>
                    </w:p>
                    <w:p w:rsidR="00540FEA" w:rsidRDefault="00540FEA" w:rsidP="00297A17">
                      <w:pPr>
                        <w:rPr>
                          <w:noProof/>
                        </w:rPr>
                      </w:pPr>
                    </w:p>
                    <w:p w:rsidR="00540FEA" w:rsidRPr="004C0D28" w:rsidRDefault="00540FEA" w:rsidP="00297A17">
                      <w:pPr>
                        <w:rPr>
                          <w:noProof/>
                          <w:sz w:val="19"/>
                          <w:szCs w:val="19"/>
                          <w:lang w:val="en-GB"/>
                        </w:rPr>
                      </w:pPr>
                      <w:r w:rsidRPr="004C0D28">
                        <w:rPr>
                          <w:noProof/>
                          <w:sz w:val="19"/>
                          <w:szCs w:val="19"/>
                          <w:lang w:val="en-GB"/>
                        </w:rPr>
                        <w:t xml:space="preserve">Transformers are devices in an electricity system that transfer power between circuits through electromagnetic induction (this enables energys avings in in power transport by increasing the voltage and decreasing the current). Transformers are installed at power stations to increase the voltage of the electricity to a level that will be suitable for transmission over long distances.  </w:t>
                      </w:r>
                    </w:p>
                    <w:p w:rsidR="00540FEA" w:rsidRPr="004C0D28" w:rsidRDefault="00540FEA" w:rsidP="00297A17">
                      <w:pPr>
                        <w:rPr>
                          <w:noProof/>
                          <w:sz w:val="19"/>
                          <w:szCs w:val="19"/>
                          <w:lang w:val="en-GB"/>
                        </w:rPr>
                      </w:pPr>
                      <w:r w:rsidRPr="004C0D28">
                        <w:rPr>
                          <w:noProof/>
                          <w:sz w:val="19"/>
                          <w:szCs w:val="19"/>
                          <w:lang w:val="en-GB"/>
                        </w:rPr>
                        <w:t>These transformers step up the voltage from, for example, 22 kV to 220 kV, 275 kV, 400 kV or 765 kV and feed the electricity into the national grid. Thus power is transported over large distance through the transmission grid at high voltage (110-275 kV) to the various distribution stations that are closer to the prospective users (toens, groups of villages, industry) and then tranformed by power transformers to medium voltage. When  the  electricity  arrives  at  the  distribution  station in South Africa,  bulk  supplies  of  electricity  at  22  kV  are  taken  for  primary distribution to towns and industrial areas, groups of villages, farms and similar concentrations of consumers.  The lines are  fed  into  intermediate  substations  where  transformers  reduce  the  voltage  to  11 kV.    Secondary  distribution  lines  radiating  from  these  substations  carry  the  power  into  the  areas  to  be  supplied  and  terminate  at distribution substations.  Here the voltage is reduced to its final level of 380/220 V for use in shops, office buildings. In substations the  voltage is decreased  by  step-down  transformers.</w:t>
                      </w:r>
                    </w:p>
                    <w:p w:rsidR="00540FEA" w:rsidRPr="004C0D28" w:rsidRDefault="00540FEA" w:rsidP="00297A17">
                      <w:pPr>
                        <w:rPr>
                          <w:noProof/>
                          <w:sz w:val="19"/>
                          <w:szCs w:val="19"/>
                          <w:lang w:val="en-GB"/>
                        </w:rPr>
                      </w:pPr>
                      <w:r w:rsidRPr="004C0D28">
                        <w:rPr>
                          <w:noProof/>
                          <w:sz w:val="19"/>
                          <w:szCs w:val="19"/>
                          <w:lang w:val="en-GB"/>
                        </w:rPr>
                        <w:t>Generally, transformers can be grouped in a) large power or high-voltage (&gt; 245 kV), medium-power, medium power (&gt; 36 kV and &lt; 230 kV), medium disttibution (&lt; 36 kV. Small power or small voltage is typically found in the distribution circuits of com</w:t>
                      </w:r>
                      <w:r>
                        <w:rPr>
                          <w:noProof/>
                          <w:sz w:val="19"/>
                          <w:szCs w:val="19"/>
                          <w:lang w:val="en-GB"/>
                        </w:rPr>
                        <w:t>me</w:t>
                      </w:r>
                      <w:r w:rsidRPr="004C0D28">
                        <w:rPr>
                          <w:noProof/>
                          <w:sz w:val="19"/>
                          <w:szCs w:val="19"/>
                          <w:lang w:val="en-GB"/>
                        </w:rPr>
                        <w:t>rc</w:t>
                      </w:r>
                      <w:r>
                        <w:rPr>
                          <w:noProof/>
                          <w:sz w:val="19"/>
                          <w:szCs w:val="19"/>
                          <w:lang w:val="en-GB"/>
                        </w:rPr>
                        <w:t>ia</w:t>
                      </w:r>
                      <w:r w:rsidRPr="004C0D28">
                        <w:rPr>
                          <w:noProof/>
                          <w:sz w:val="19"/>
                          <w:szCs w:val="19"/>
                          <w:lang w:val="en-GB"/>
                        </w:rPr>
                        <w:t xml:space="preserve">l buildings or industrial facilities. In this section, we are mainly concerned with transformers in South frica power distribution system. </w:t>
                      </w:r>
                    </w:p>
                    <w:p w:rsidR="00540FEA" w:rsidRPr="004C0D28" w:rsidRDefault="00540FEA" w:rsidP="00297A17">
                      <w:pPr>
                        <w:ind w:right="6477"/>
                        <w:rPr>
                          <w:noProof/>
                          <w:sz w:val="19"/>
                          <w:szCs w:val="19"/>
                          <w:lang w:val="en-GB"/>
                        </w:rPr>
                      </w:pPr>
                      <w:r w:rsidRPr="004C0D28">
                        <w:rPr>
                          <w:noProof/>
                          <w:sz w:val="19"/>
                          <w:szCs w:val="19"/>
                          <w:lang w:val="en-GB"/>
                        </w:rPr>
                        <w:t>‘No-losses’  (also called ‘ iron losses’)  in the core of a distribution transformers oc</w:t>
                      </w:r>
                      <w:r>
                        <w:rPr>
                          <w:noProof/>
                          <w:sz w:val="19"/>
                          <w:szCs w:val="19"/>
                          <w:lang w:val="en-GB"/>
                        </w:rPr>
                        <w:t>c</w:t>
                      </w:r>
                      <w:r w:rsidRPr="004C0D28">
                        <w:rPr>
                          <w:noProof/>
                          <w:sz w:val="19"/>
                          <w:szCs w:val="19"/>
                          <w:lang w:val="en-GB"/>
                        </w:rPr>
                        <w:t>ur whenever the transformer is energised, but no activily transmitting a load (through hysterisis and eddy currents). ‘ Load losses’  (also called ‘ wiring’ or ‘ copper’ losses) occur when the transform</w:t>
                      </w:r>
                      <w:r>
                        <w:rPr>
                          <w:noProof/>
                          <w:sz w:val="19"/>
                          <w:szCs w:val="19"/>
                          <w:lang w:val="en-GB"/>
                        </w:rPr>
                        <w:t xml:space="preserve">er </w:t>
                      </w:r>
                      <w:r w:rsidRPr="004C0D28">
                        <w:rPr>
                          <w:noProof/>
                          <w:sz w:val="19"/>
                          <w:szCs w:val="19"/>
                          <w:lang w:val="en-GB"/>
                        </w:rPr>
                        <w:t>supplies a load (caused by the electric resistance in the wiring, and their magnitude varies with the square of the magnetic flux, see figure). The peak efficiency of a transformers occurs at the point where no-load losses are equal to load losses. For a given efficiency, the no</w:t>
                      </w:r>
                      <w:r>
                        <w:rPr>
                          <w:noProof/>
                          <w:sz w:val="19"/>
                          <w:szCs w:val="19"/>
                          <w:lang w:val="en-GB"/>
                        </w:rPr>
                        <w:t>-</w:t>
                      </w:r>
                      <w:r w:rsidRPr="004C0D28">
                        <w:rPr>
                          <w:noProof/>
                          <w:sz w:val="19"/>
                          <w:szCs w:val="19"/>
                          <w:lang w:val="en-GB"/>
                        </w:rPr>
                        <w:t xml:space="preserve">load losses and load losses are generally inversely related. </w:t>
                      </w:r>
                    </w:p>
                    <w:p w:rsidR="00540FEA" w:rsidRPr="004C0D28" w:rsidRDefault="00540FEA" w:rsidP="00297A17">
                      <w:pPr>
                        <w:ind w:right="6477"/>
                        <w:rPr>
                          <w:noProof/>
                          <w:sz w:val="19"/>
                          <w:szCs w:val="19"/>
                          <w:lang w:val="en-GB"/>
                        </w:rPr>
                      </w:pPr>
                      <w:r w:rsidRPr="004C0D28">
                        <w:rPr>
                          <w:noProof/>
                          <w:sz w:val="19"/>
                          <w:szCs w:val="19"/>
                          <w:lang w:val="en-GB"/>
                        </w:rPr>
                        <w:t xml:space="preserve">A transformer can be made more efficient by improving materials  (e.g. better quality core steel or winding material) and by modifying the geometric configuration of the core and windings).  </w:t>
                      </w:r>
                    </w:p>
                    <w:p w:rsidR="00540FEA" w:rsidRPr="004C0D28" w:rsidRDefault="00540FEA" w:rsidP="00297A17">
                      <w:pPr>
                        <w:tabs>
                          <w:tab w:val="left" w:pos="3686"/>
                        </w:tabs>
                        <w:ind w:right="99"/>
                        <w:rPr>
                          <w:noProof/>
                          <w:sz w:val="19"/>
                          <w:szCs w:val="19"/>
                          <w:lang w:val="en-GB"/>
                        </w:rPr>
                      </w:pPr>
                      <w:r w:rsidRPr="004C0D28">
                        <w:rPr>
                          <w:noProof/>
                          <w:sz w:val="19"/>
                          <w:szCs w:val="19"/>
                          <w:lang w:val="en-GB"/>
                        </w:rPr>
                        <w:t>Most transformers have relatively high efficiency levels of around 98%. The importance of national energy savings occurs because they operate almost non-stop over a very long service lifetime (15-40 years) and their large numbers in the distribution grid. So, even small increments ( to 99%) can have a substantial im</w:t>
                      </w:r>
                      <w:r>
                        <w:rPr>
                          <w:noProof/>
                          <w:sz w:val="19"/>
                          <w:szCs w:val="19"/>
                          <w:lang w:val="en-GB"/>
                        </w:rPr>
                        <w:t>pac</w:t>
                      </w:r>
                      <w:r w:rsidRPr="004C0D28">
                        <w:rPr>
                          <w:noProof/>
                          <w:sz w:val="19"/>
                          <w:szCs w:val="19"/>
                          <w:lang w:val="en-GB"/>
                        </w:rPr>
                        <w:t>t on the national level.</w:t>
                      </w:r>
                    </w:p>
                    <w:p w:rsidR="00540FEA" w:rsidRPr="004C0D28" w:rsidRDefault="00540FEA" w:rsidP="00297A17">
                      <w:pPr>
                        <w:rPr>
                          <w:noProof/>
                          <w:sz w:val="19"/>
                          <w:szCs w:val="19"/>
                          <w:lang w:val="en-GB"/>
                        </w:rPr>
                      </w:pPr>
                      <w:r w:rsidRPr="004C0D28">
                        <w:rPr>
                          <w:noProof/>
                          <w:sz w:val="19"/>
                          <w:szCs w:val="19"/>
                          <w:lang w:val="en-GB"/>
                        </w:rPr>
                        <w:t xml:space="preserve">Many countries around the world have estabished minumum energy performance standards (MEPS) for transformers. For example, European Union (EN50588-1:2014 and EU 548/2014, defining maximum core and coil losses at 100% load, mandatory, 3-phase 25-40,000 kVA), China (GB 20052-2013, maximum cor and coil losses at 100% load, mandatory, 1-phase 5-160 kVA and 3-phase 30-1600 kVA), Mexico (NOM-002-SEDE-1997, efficiency at 50% load, 1-phase 5-167 kVA, 3-phase 15-500 kVA) and USA (effciiency at 50% load, 10-CFR-431, mandatory, efficiency at 50% load, 1-phase: 10-833 VA, 3-phase 15-2500 Kva. Other countries have introduced comparative and/or endorsement labels on a voluntary or mandatory basis. When setting MEPS, countries usually follow IEC 60076 test methods. </w:t>
                      </w:r>
                    </w:p>
                    <w:p w:rsidR="00540FEA" w:rsidRPr="004C0D28" w:rsidRDefault="00540FEA" w:rsidP="00297A17">
                      <w:pPr>
                        <w:rPr>
                          <w:noProof/>
                          <w:sz w:val="19"/>
                          <w:szCs w:val="19"/>
                          <w:lang w:val="en-GB"/>
                        </w:rPr>
                      </w:pPr>
                      <w:r w:rsidRPr="004C0D28">
                        <w:rPr>
                          <w:noProof/>
                          <w:sz w:val="19"/>
                          <w:szCs w:val="19"/>
                          <w:lang w:val="en-GB"/>
                        </w:rPr>
                        <w:t>Worldwide, transformer losses are about 5% of power consumption. By 2030, world energy consumption will be about 30,875 TWh/yr, incl</w:t>
                      </w:r>
                      <w:r>
                        <w:rPr>
                          <w:noProof/>
                          <w:sz w:val="19"/>
                          <w:szCs w:val="19"/>
                          <w:lang w:val="en-GB"/>
                        </w:rPr>
                        <w:t>ud</w:t>
                      </w:r>
                      <w:r w:rsidRPr="004C0D28">
                        <w:rPr>
                          <w:noProof/>
                          <w:sz w:val="19"/>
                          <w:szCs w:val="19"/>
                          <w:lang w:val="en-GB"/>
                        </w:rPr>
                        <w:t xml:space="preserve">ing transformer losses of 1,462 TWh/yr. Adoption </w:t>
                      </w:r>
                      <w:r>
                        <w:rPr>
                          <w:noProof/>
                          <w:sz w:val="19"/>
                          <w:szCs w:val="19"/>
                          <w:lang w:val="en-GB"/>
                        </w:rPr>
                        <w:t xml:space="preserve">of </w:t>
                      </w:r>
                      <w:r w:rsidRPr="004C0D28">
                        <w:rPr>
                          <w:noProof/>
                          <w:sz w:val="19"/>
                          <w:szCs w:val="19"/>
                          <w:lang w:val="en-GB"/>
                        </w:rPr>
                        <w:t>MEPS could yield savings of 218 TWh/yr and</w:t>
                      </w:r>
                      <w:r>
                        <w:rPr>
                          <w:noProof/>
                          <w:sz w:val="19"/>
                          <w:szCs w:val="19"/>
                          <w:lang w:val="en-GB"/>
                        </w:rPr>
                        <w:t xml:space="preserve"> in combination with</w:t>
                      </w:r>
                      <w:r w:rsidRPr="004C0D28">
                        <w:rPr>
                          <w:noProof/>
                          <w:sz w:val="19"/>
                          <w:szCs w:val="19"/>
                          <w:lang w:val="en-GB"/>
                        </w:rPr>
                        <w:t xml:space="preserve"> best available technology (BAT) even up to 400 TWh/yr, resulting in CO</w:t>
                      </w:r>
                      <w:r w:rsidRPr="004C0D28">
                        <w:rPr>
                          <w:noProof/>
                          <w:sz w:val="19"/>
                          <w:szCs w:val="19"/>
                          <w:vertAlign w:val="subscript"/>
                          <w:lang w:val="en-GB"/>
                        </w:rPr>
                        <w:t>2</w:t>
                      </w:r>
                      <w:r w:rsidRPr="004C0D28">
                        <w:rPr>
                          <w:noProof/>
                          <w:sz w:val="19"/>
                          <w:szCs w:val="19"/>
                          <w:lang w:val="en-GB"/>
                        </w:rPr>
                        <w:t xml:space="preserve"> emission savings of 127-248  million tons (MEPS</w:t>
                      </w:r>
                      <w:r>
                        <w:rPr>
                          <w:noProof/>
                          <w:sz w:val="19"/>
                          <w:szCs w:val="19"/>
                          <w:lang w:val="en-GB"/>
                        </w:rPr>
                        <w:t xml:space="preserve"> and </w:t>
                      </w:r>
                      <w:r w:rsidRPr="004C0D28">
                        <w:rPr>
                          <w:noProof/>
                          <w:sz w:val="19"/>
                          <w:szCs w:val="19"/>
                          <w:lang w:val="en-GB"/>
                        </w:rPr>
                        <w:t>BAT</w:t>
                      </w:r>
                      <w:r>
                        <w:rPr>
                          <w:noProof/>
                          <w:sz w:val="19"/>
                          <w:szCs w:val="19"/>
                          <w:lang w:val="en-GB"/>
                        </w:rPr>
                        <w:t xml:space="preserve"> scenarios</w:t>
                      </w:r>
                      <w:r w:rsidRPr="004C0D28">
                        <w:rPr>
                          <w:noProof/>
                          <w:sz w:val="19"/>
                          <w:szCs w:val="19"/>
                          <w:lang w:val="en-GB"/>
                        </w:rPr>
                        <w:t>, respectively)</w:t>
                      </w:r>
                    </w:p>
                    <w:p w:rsidR="00540FEA" w:rsidRPr="004C0D28" w:rsidRDefault="00540FEA" w:rsidP="00297A17">
                      <w:pPr>
                        <w:rPr>
                          <w:noProof/>
                          <w:sz w:val="18"/>
                          <w:lang w:val="en-GB"/>
                        </w:rPr>
                      </w:pPr>
                      <w:r w:rsidRPr="004C0D28">
                        <w:rPr>
                          <w:i/>
                          <w:noProof/>
                          <w:sz w:val="18"/>
                          <w:lang w:val="en-GB"/>
                        </w:rPr>
                        <w:t xml:space="preserve">Source: Accelerating the Global Adoption of Energy-Efficient Transformers, </w:t>
                      </w:r>
                      <w:r w:rsidRPr="004C0D28">
                        <w:rPr>
                          <w:noProof/>
                          <w:sz w:val="18"/>
                          <w:lang w:val="en-GB"/>
                        </w:rPr>
                        <w:t xml:space="preserve">UN Environment-GEF United for Efficiency (U4E, 2017); Eskom </w:t>
                      </w:r>
                      <w:r w:rsidRPr="004C0D28">
                        <w:rPr>
                          <w:i/>
                          <w:noProof/>
                          <w:sz w:val="18"/>
                          <w:lang w:val="en-GB"/>
                        </w:rPr>
                        <w:t xml:space="preserve">Fact Sheet Transmission and Distribution </w:t>
                      </w:r>
                      <w:r w:rsidRPr="004C0D28">
                        <w:rPr>
                          <w:noProof/>
                          <w:sz w:val="18"/>
                          <w:lang w:val="en-GB"/>
                        </w:rPr>
                        <w:t>(2015)</w:t>
                      </w:r>
                    </w:p>
                    <w:p w:rsidR="00540FEA" w:rsidRPr="004C0D28" w:rsidRDefault="00540FEA" w:rsidP="00297A17">
                      <w:pPr>
                        <w:rPr>
                          <w:noProof/>
                          <w:lang w:val="en-GB"/>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Default="00540FEA" w:rsidP="00297A17">
                      <w:pPr>
                        <w:rPr>
                          <w:noProof/>
                        </w:rPr>
                      </w:pPr>
                    </w:p>
                    <w:p w:rsidR="00540FEA" w:rsidRPr="002044AF" w:rsidRDefault="00540FEA" w:rsidP="00297A17">
                      <w:pPr>
                        <w:rPr>
                          <w:sz w:val="18"/>
                        </w:rPr>
                      </w:pPr>
                      <w:r w:rsidRPr="00A21E05">
                        <w:rPr>
                          <w:i/>
                          <w:noProof/>
                          <w:sz w:val="18"/>
                        </w:rPr>
                        <w:t>Source:</w:t>
                      </w:r>
                      <w:r>
                        <w:rPr>
                          <w:noProof/>
                          <w:sz w:val="18"/>
                        </w:rPr>
                        <w:t xml:space="preserve"> Eskom website (2017)</w:t>
                      </w:r>
                    </w:p>
                  </w:txbxContent>
                </v:textbox>
                <w10:wrap type="topAndBottom" anchorx="page" anchory="page"/>
              </v:shape>
            </w:pict>
          </mc:Fallback>
        </mc:AlternateContent>
      </w:r>
      <w:r w:rsidR="003A2690">
        <w:rPr>
          <w:noProof/>
        </w:rPr>
        <w:drawing>
          <wp:anchor distT="0" distB="0" distL="114300" distR="114300" simplePos="0" relativeHeight="251621376" behindDoc="0" locked="0" layoutInCell="1" allowOverlap="1">
            <wp:simplePos x="0" y="0"/>
            <wp:positionH relativeFrom="page">
              <wp:posOffset>3368675</wp:posOffset>
            </wp:positionH>
            <wp:positionV relativeFrom="page">
              <wp:posOffset>3614420</wp:posOffset>
            </wp:positionV>
            <wp:extent cx="3834765" cy="2653030"/>
            <wp:effectExtent l="0" t="0" r="0" b="0"/>
            <wp:wrapTopAndBottom/>
            <wp:docPr id="22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3834765" cy="2653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7545E">
        <w:rPr>
          <w:lang w:val="en-GB" w:eastAsia="en-GB"/>
        </w:rPr>
        <w:br w:type="page"/>
      </w:r>
    </w:p>
    <w:p w:rsidR="00202887" w:rsidRPr="00666B27" w:rsidRDefault="00202887" w:rsidP="00202887">
      <w:pPr>
        <w:spacing w:after="0"/>
        <w:rPr>
          <w:lang w:val="en-GB" w:eastAsia="en-GB"/>
        </w:rPr>
      </w:pPr>
      <w:bookmarkStart w:id="273" w:name="_Hlk497388694"/>
      <w:r w:rsidRPr="00353542">
        <w:rPr>
          <w:lang w:val="en-GB" w:eastAsia="en-GB"/>
        </w:rPr>
        <w:lastRenderedPageBreak/>
        <w:t>High-efficiency transformers built with amorphous iron cores have 70% lower no-load losses (compared to best conventional des</w:t>
      </w:r>
      <w:r w:rsidRPr="003B7D62">
        <w:rPr>
          <w:lang w:val="en-GB" w:eastAsia="en-GB"/>
        </w:rPr>
        <w:t xml:space="preserve">igns using traditional core steel) and can achieve efficiencies up to </w:t>
      </w:r>
      <w:r w:rsidRPr="004722F0">
        <w:rPr>
          <w:lang w:val="en-GB" w:eastAsia="en-GB"/>
        </w:rPr>
        <w:t>99.7% f</w:t>
      </w:r>
      <w:r w:rsidRPr="00666B27">
        <w:rPr>
          <w:lang w:val="en-GB" w:eastAsia="en-GB"/>
        </w:rPr>
        <w:t>or a 100-kVA unit</w:t>
      </w:r>
      <w:r w:rsidRPr="0057545E">
        <w:rPr>
          <w:vertAlign w:val="superscript"/>
          <w:lang w:val="en-GB" w:eastAsia="en-GB"/>
        </w:rPr>
        <w:footnoteReference w:id="48"/>
      </w:r>
      <w:r w:rsidRPr="0057545E">
        <w:rPr>
          <w:lang w:val="en-GB" w:eastAsia="en-GB"/>
        </w:rPr>
        <w:t>. Such premium-efficiency transformers improve the material characteristics or the method with which these are used, and at the same time cost, size and weight of the transformer are contained. However, only a few companies can pro</w:t>
      </w:r>
      <w:r w:rsidRPr="00353542">
        <w:rPr>
          <w:lang w:val="en-GB" w:eastAsia="en-GB"/>
        </w:rPr>
        <w:t>duce high-efficiency transformers and chang</w:t>
      </w:r>
      <w:r w:rsidR="002E43AD" w:rsidRPr="003B7D62">
        <w:rPr>
          <w:lang w:val="en-GB" w:eastAsia="en-GB"/>
        </w:rPr>
        <w:t>e</w:t>
      </w:r>
      <w:r w:rsidRPr="004722F0">
        <w:rPr>
          <w:lang w:val="en-GB" w:eastAsia="en-GB"/>
        </w:rPr>
        <w:t xml:space="preserve"> their production</w:t>
      </w:r>
      <w:r w:rsidR="002E43AD" w:rsidRPr="00666B27">
        <w:rPr>
          <w:lang w:val="en-GB" w:eastAsia="en-GB"/>
        </w:rPr>
        <w:t xml:space="preserve"> lines.</w:t>
      </w:r>
      <w:r w:rsidRPr="00666B27">
        <w:rPr>
          <w:lang w:val="en-GB" w:eastAsia="en-GB"/>
        </w:rPr>
        <w:t xml:space="preserve"> For example, the amorphous technology uses thin ribbons </w:t>
      </w:r>
      <w:r w:rsidR="00C45283" w:rsidRPr="00666B27">
        <w:rPr>
          <w:lang w:val="en-GB" w:eastAsia="en-GB"/>
        </w:rPr>
        <w:t>for</w:t>
      </w:r>
      <w:r w:rsidRPr="00666B27">
        <w:rPr>
          <w:lang w:val="en-GB" w:eastAsia="en-GB"/>
        </w:rPr>
        <w:t xml:space="preserve"> </w:t>
      </w:r>
      <w:r w:rsidR="00C45283" w:rsidRPr="00666B27">
        <w:rPr>
          <w:lang w:val="en-GB" w:eastAsia="en-GB"/>
        </w:rPr>
        <w:t xml:space="preserve">the </w:t>
      </w:r>
      <w:r w:rsidRPr="00666B27">
        <w:rPr>
          <w:noProof/>
          <w:lang w:val="en-GB" w:eastAsia="en-GB"/>
        </w:rPr>
        <w:t>core</w:t>
      </w:r>
      <w:r w:rsidRPr="00666B27">
        <w:rPr>
          <w:lang w:val="en-GB" w:eastAsia="en-GB"/>
        </w:rPr>
        <w:t>, but this makes more difficult to handle during manufacturing</w:t>
      </w:r>
      <w:r w:rsidR="002E43AD" w:rsidRPr="00666B27">
        <w:rPr>
          <w:lang w:val="en-GB" w:eastAsia="en-GB"/>
        </w:rPr>
        <w:t xml:space="preserve"> (</w:t>
      </w:r>
      <w:r w:rsidRPr="00666B27">
        <w:rPr>
          <w:lang w:val="en-GB" w:eastAsia="en-GB"/>
        </w:rPr>
        <w:t xml:space="preserve">and the windings have a different shape). Another constraint to </w:t>
      </w:r>
      <w:r w:rsidRPr="00666B27">
        <w:rPr>
          <w:noProof/>
          <w:lang w:val="en-GB" w:eastAsia="en-GB"/>
        </w:rPr>
        <w:t>increas</w:t>
      </w:r>
      <w:r w:rsidR="00C45283" w:rsidRPr="00666B27">
        <w:rPr>
          <w:noProof/>
          <w:lang w:val="en-GB" w:eastAsia="en-GB"/>
        </w:rPr>
        <w:t>ing</w:t>
      </w:r>
      <w:r w:rsidRPr="00666B27">
        <w:rPr>
          <w:lang w:val="en-GB" w:eastAsia="en-GB"/>
        </w:rPr>
        <w:t xml:space="preserve"> efficiency is access to better</w:t>
      </w:r>
      <w:r w:rsidR="002E43AD" w:rsidRPr="00666B27">
        <w:rPr>
          <w:lang w:val="en-GB" w:eastAsia="en-GB"/>
        </w:rPr>
        <w:t>-</w:t>
      </w:r>
      <w:r w:rsidRPr="00666B27">
        <w:rPr>
          <w:lang w:val="en-GB" w:eastAsia="en-GB"/>
        </w:rPr>
        <w:t xml:space="preserve">quality steel and copper. Also, the newer transformers </w:t>
      </w:r>
      <w:proofErr w:type="gramStart"/>
      <w:r w:rsidRPr="00666B27">
        <w:rPr>
          <w:lang w:val="en-GB" w:eastAsia="en-GB"/>
        </w:rPr>
        <w:t>have to</w:t>
      </w:r>
      <w:proofErr w:type="gramEnd"/>
      <w:r w:rsidRPr="00666B27">
        <w:rPr>
          <w:lang w:val="en-GB" w:eastAsia="en-GB"/>
        </w:rPr>
        <w:t xml:space="preserve"> fit into existing mounting locations, placing a physical constraint on the maximum size (and efficiency) of the new transformers. </w:t>
      </w:r>
    </w:p>
    <w:p w:rsidR="00202887" w:rsidRPr="00666B27" w:rsidRDefault="00202887" w:rsidP="00202887">
      <w:pPr>
        <w:spacing w:after="0"/>
        <w:rPr>
          <w:lang w:val="en-GB" w:eastAsia="en-GB"/>
        </w:rPr>
      </w:pPr>
    </w:p>
    <w:p w:rsidR="00202887" w:rsidRPr="00666B27" w:rsidRDefault="00202887" w:rsidP="00202887">
      <w:pPr>
        <w:spacing w:after="0"/>
        <w:rPr>
          <w:lang w:val="en-GB" w:eastAsia="en-GB"/>
        </w:rPr>
      </w:pPr>
      <w:r w:rsidRPr="00666B27">
        <w:rPr>
          <w:lang w:val="en-GB" w:eastAsia="en-GB"/>
        </w:rPr>
        <w:t>The manufacturers</w:t>
      </w:r>
      <w:r w:rsidRPr="0057545E">
        <w:rPr>
          <w:rStyle w:val="FootnoteReference"/>
          <w:lang w:val="en-GB" w:eastAsia="en-GB"/>
        </w:rPr>
        <w:footnoteReference w:id="49"/>
      </w:r>
      <w:r w:rsidRPr="0057545E">
        <w:rPr>
          <w:lang w:val="en-GB" w:eastAsia="en-GB"/>
        </w:rPr>
        <w:t>, a mix of both foreign and local companies, will need to invest in upgrading their production facilities, while also Eskom and municipalities w</w:t>
      </w:r>
      <w:r w:rsidR="002E43AD" w:rsidRPr="00353542">
        <w:rPr>
          <w:lang w:val="en-GB" w:eastAsia="en-GB"/>
        </w:rPr>
        <w:t>ill</w:t>
      </w:r>
      <w:r w:rsidRPr="003B7D62">
        <w:rPr>
          <w:lang w:val="en-GB" w:eastAsia="en-GB"/>
        </w:rPr>
        <w:t xml:space="preserve"> not want to see a drastic chan</w:t>
      </w:r>
      <w:r w:rsidRPr="004722F0">
        <w:rPr>
          <w:lang w:val="en-GB" w:eastAsia="en-GB"/>
        </w:rPr>
        <w:t>ge in the transformer price. To change to high-efficiency transformers</w:t>
      </w:r>
      <w:r w:rsidRPr="00666B27">
        <w:rPr>
          <w:lang w:val="en-GB" w:eastAsia="en-GB"/>
        </w:rPr>
        <w:t xml:space="preserve"> the manufacturers will need to upgrade their production facilities (e.g. oil filling under vacuum, separate oil storage facilities, newer winding machines and improved paint spray booths) at an estimated cost of ZAR 8 to 10 million. </w:t>
      </w:r>
    </w:p>
    <w:p w:rsidR="00D903B4" w:rsidRPr="00666B27" w:rsidRDefault="00D903B4"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One approach will be to reduce losses requir</w:t>
      </w:r>
      <w:r w:rsidR="000F1225" w:rsidRPr="00666B27">
        <w:rPr>
          <w:lang w:val="en-GB" w:eastAsia="en-GB"/>
        </w:rPr>
        <w:t xml:space="preserve">ements incrementally over time. Rather than fixing losses at a </w:t>
      </w:r>
      <w:r w:rsidR="000F1225" w:rsidRPr="00666B27">
        <w:rPr>
          <w:noProof/>
          <w:lang w:val="en-GB" w:eastAsia="en-GB"/>
        </w:rPr>
        <w:t>general</w:t>
      </w:r>
      <w:r w:rsidR="00C45283" w:rsidRPr="00666B27">
        <w:rPr>
          <w:noProof/>
          <w:lang w:val="en-GB" w:eastAsia="en-GB"/>
        </w:rPr>
        <w:t>ly</w:t>
      </w:r>
      <w:r w:rsidR="000F1225" w:rsidRPr="00666B27">
        <w:rPr>
          <w:lang w:val="en-GB" w:eastAsia="en-GB"/>
        </w:rPr>
        <w:t xml:space="preserve"> low level, the load factors will vary greatly in different areas or type of applications in South Africa. For example, it does not make sense to force very low loss cores for areas with high loading, where load losses dominate. </w:t>
      </w:r>
      <w:r w:rsidRPr="00666B27">
        <w:rPr>
          <w:lang w:val="en-GB" w:eastAsia="en-GB"/>
        </w:rPr>
        <w:t>This would push manufacturers and utilities towards reducing losses and raise the awareness that TOC improvements can be made with drastic changes in the upfront cost of transformers.</w:t>
      </w:r>
      <w:r w:rsidR="00B901AA" w:rsidRPr="00666B27">
        <w:rPr>
          <w:lang w:val="en-GB" w:eastAsia="en-GB"/>
        </w:rPr>
        <w:t xml:space="preserve"> Municipalities already struggle to keep up with the infrastructure damage caused by cable theft, and the general overloading of electricity transformers due to illegal connections. </w:t>
      </w:r>
    </w:p>
    <w:p w:rsidR="00D903B4" w:rsidRPr="00666B27" w:rsidRDefault="00D903B4" w:rsidP="00297A17">
      <w:pPr>
        <w:spacing w:after="0"/>
        <w:rPr>
          <w:lang w:val="en-GB" w:eastAsia="en-GB"/>
        </w:rPr>
      </w:pPr>
    </w:p>
    <w:p w:rsidR="00D75E7F" w:rsidRPr="00666B27" w:rsidRDefault="00A50ADC" w:rsidP="00297A17">
      <w:pPr>
        <w:spacing w:after="0"/>
        <w:rPr>
          <w:lang w:val="en-GB" w:eastAsia="en-GB"/>
        </w:rPr>
      </w:pPr>
      <w:r w:rsidRPr="00F737AD">
        <w:rPr>
          <w:rFonts w:eastAsia="MS PGothic" w:cs="Calibri"/>
          <w:szCs w:val="20"/>
          <w:lang w:val="en-GB"/>
        </w:rPr>
        <w:t xml:space="preserve">Transformers are not typical consumer products, unlike the lighting products discussed in the previous section E.2, and in South Africa may be less suited to energy </w:t>
      </w:r>
      <w:r w:rsidRPr="00F737AD">
        <w:rPr>
          <w:rFonts w:eastAsia="MS PGothic" w:cs="Calibri"/>
          <w:noProof/>
          <w:szCs w:val="20"/>
          <w:lang w:val="en-GB"/>
        </w:rPr>
        <w:t>labelling</w:t>
      </w:r>
      <w:r w:rsidRPr="0057545E">
        <w:rPr>
          <w:rStyle w:val="FootnoteReference"/>
          <w:rFonts w:eastAsia="MS PGothic"/>
          <w:szCs w:val="20"/>
          <w:lang w:val="en-GB"/>
        </w:rPr>
        <w:footnoteReference w:id="50"/>
      </w:r>
      <w:r w:rsidRPr="00F737AD">
        <w:rPr>
          <w:rFonts w:eastAsia="MS PGothic" w:cs="Calibri"/>
          <w:szCs w:val="20"/>
          <w:lang w:val="en-GB"/>
        </w:rPr>
        <w:t xml:space="preserve">. </w:t>
      </w:r>
      <w:r w:rsidR="00D903B4" w:rsidRPr="00353542">
        <w:rPr>
          <w:lang w:val="en-GB" w:eastAsia="en-GB"/>
        </w:rPr>
        <w:t>ESKOM has been developing an internal efficiency standard, which is not yet published</w:t>
      </w:r>
      <w:r w:rsidR="00D903B4" w:rsidRPr="003B7D62">
        <w:rPr>
          <w:lang w:val="en-GB" w:eastAsia="en-GB"/>
        </w:rPr>
        <w:t xml:space="preserve">. </w:t>
      </w:r>
      <w:r w:rsidR="00B901AA" w:rsidRPr="004722F0">
        <w:rPr>
          <w:lang w:val="en-GB" w:eastAsia="en-GB"/>
        </w:rPr>
        <w:t>This</w:t>
      </w:r>
      <w:r w:rsidR="00D903B4" w:rsidRPr="00666B27">
        <w:rPr>
          <w:lang w:val="en-GB" w:eastAsia="en-GB"/>
        </w:rPr>
        <w:t xml:space="preserve"> could be a basis for formulating the Minimum Energy Performance Standard </w:t>
      </w:r>
      <w:r w:rsidR="00B901AA" w:rsidRPr="00666B27">
        <w:rPr>
          <w:lang w:val="en-GB" w:eastAsia="en-GB"/>
        </w:rPr>
        <w:t xml:space="preserve">(MEPS) for </w:t>
      </w:r>
      <w:r w:rsidR="00D903B4" w:rsidRPr="00666B27">
        <w:rPr>
          <w:lang w:val="en-GB" w:eastAsia="en-GB"/>
        </w:rPr>
        <w:t>the country</w:t>
      </w:r>
      <w:r w:rsidR="00B901AA" w:rsidRPr="00666B27">
        <w:rPr>
          <w:lang w:val="en-GB" w:eastAsia="en-GB"/>
        </w:rPr>
        <w:t xml:space="preserve">, not only to be followed by Eskom but by the municipal utilities as well. </w:t>
      </w:r>
      <w:r w:rsidR="00D75E7F" w:rsidRPr="00666B27">
        <w:rPr>
          <w:lang w:val="en-GB" w:eastAsia="en-GB"/>
        </w:rPr>
        <w:t xml:space="preserve">The MEPS might be based on </w:t>
      </w:r>
      <w:r w:rsidR="00432E41" w:rsidRPr="00666B27">
        <w:rPr>
          <w:lang w:val="en-GB" w:eastAsia="en-GB"/>
        </w:rPr>
        <w:t>voluntary agreements between the electricity companies and the government</w:t>
      </w:r>
      <w:r w:rsidR="00D75E7F" w:rsidRPr="00666B27">
        <w:rPr>
          <w:lang w:val="en-GB" w:eastAsia="en-GB"/>
        </w:rPr>
        <w:t xml:space="preserve"> or as part of a mandatory regulatory and control framework. </w:t>
      </w:r>
    </w:p>
    <w:p w:rsidR="00D75E7F" w:rsidRPr="00666B27" w:rsidRDefault="00D75E7F" w:rsidP="00297A17">
      <w:pPr>
        <w:spacing w:after="0"/>
        <w:rPr>
          <w:lang w:val="en-GB" w:eastAsia="en-GB"/>
        </w:rPr>
      </w:pPr>
    </w:p>
    <w:p w:rsidR="00DA70CA" w:rsidRPr="00666B27" w:rsidRDefault="00DA70CA" w:rsidP="00DA70CA">
      <w:pPr>
        <w:spacing w:after="0"/>
        <w:rPr>
          <w:lang w:val="en-GB" w:eastAsia="en-GB"/>
        </w:rPr>
      </w:pPr>
      <w:r w:rsidRPr="00666B27">
        <w:rPr>
          <w:lang w:val="en-GB" w:eastAsia="en-GB"/>
        </w:rPr>
        <w:t xml:space="preserve">The replacement of distribution transformers is typically done on an on-demand basis, as transformers fail </w:t>
      </w:r>
      <w:r w:rsidR="002E43AD" w:rsidRPr="00666B27">
        <w:rPr>
          <w:lang w:val="en-GB" w:eastAsia="en-GB"/>
        </w:rPr>
        <w:t>or</w:t>
      </w:r>
      <w:r w:rsidRPr="00666B27">
        <w:rPr>
          <w:lang w:val="en-GB" w:eastAsia="en-GB"/>
        </w:rPr>
        <w:t xml:space="preserve"> when networks are extended. The installation of new transformers </w:t>
      </w:r>
      <w:r w:rsidR="002E43AD" w:rsidRPr="00666B27">
        <w:rPr>
          <w:lang w:val="en-GB" w:eastAsia="en-GB"/>
        </w:rPr>
        <w:t xml:space="preserve">falls under </w:t>
      </w:r>
      <w:r w:rsidRPr="00666B27">
        <w:rPr>
          <w:lang w:val="en-GB" w:eastAsia="en-GB"/>
        </w:rPr>
        <w:t>two central government program</w:t>
      </w:r>
      <w:r w:rsidR="002E43AD" w:rsidRPr="00666B27">
        <w:rPr>
          <w:lang w:val="en-GB" w:eastAsia="en-GB"/>
        </w:rPr>
        <w:t>me</w:t>
      </w:r>
      <w:r w:rsidRPr="00666B27">
        <w:rPr>
          <w:lang w:val="en-GB" w:eastAsia="en-GB"/>
        </w:rPr>
        <w:t>s</w:t>
      </w:r>
      <w:r w:rsidR="002E43AD" w:rsidRPr="00666B27">
        <w:rPr>
          <w:lang w:val="en-GB" w:eastAsia="en-GB"/>
        </w:rPr>
        <w:t xml:space="preserve"> for electrification</w:t>
      </w:r>
      <w:r w:rsidRPr="00666B27">
        <w:rPr>
          <w:lang w:val="en-GB" w:eastAsia="en-GB"/>
        </w:rPr>
        <w:t>, one managed by ESKOM (ZAR 3.2 billion annually), another managed by the municipalities (ZAR 1.9 billion annually).</w:t>
      </w:r>
    </w:p>
    <w:p w:rsidR="00DA70CA" w:rsidRPr="00666B27" w:rsidRDefault="00DA70CA" w:rsidP="00297A17">
      <w:pPr>
        <w:spacing w:after="0"/>
        <w:rPr>
          <w:lang w:val="en-GB" w:eastAsia="en-GB"/>
        </w:rPr>
      </w:pPr>
    </w:p>
    <w:p w:rsidR="00D903B4" w:rsidRPr="00F737AD" w:rsidRDefault="00D75E7F" w:rsidP="00A50ADC">
      <w:pPr>
        <w:spacing w:after="0"/>
        <w:rPr>
          <w:rFonts w:cs="Calibri"/>
          <w:szCs w:val="20"/>
          <w:lang w:val="en-GB" w:eastAsia="en-GB"/>
        </w:rPr>
      </w:pPr>
      <w:r w:rsidRPr="00666B27">
        <w:rPr>
          <w:lang w:val="en-GB" w:eastAsia="en-GB"/>
        </w:rPr>
        <w:t xml:space="preserve">Most electricity utilities are typically regulated to some extent in terms of prices they can charge and operating costs that can be claimed. Typically, these regulatory frameworks allow system losses to be included in the overall operating costs, which are then passed on to consumers. National Treasury requires a “lowest cost” for the procurement of transformers and </w:t>
      </w:r>
      <w:r w:rsidR="00C45283" w:rsidRPr="00666B27">
        <w:rPr>
          <w:lang w:val="en-GB" w:eastAsia="en-GB"/>
        </w:rPr>
        <w:t xml:space="preserve">a </w:t>
      </w:r>
      <w:r w:rsidRPr="00666B27">
        <w:rPr>
          <w:noProof/>
          <w:lang w:val="en-GB" w:eastAsia="en-GB"/>
        </w:rPr>
        <w:t>certain</w:t>
      </w:r>
      <w:r w:rsidRPr="00666B27">
        <w:rPr>
          <w:lang w:val="en-GB" w:eastAsia="en-GB"/>
        </w:rPr>
        <w:t xml:space="preserve"> amount of local </w:t>
      </w:r>
      <w:r w:rsidR="00C45283" w:rsidRPr="00666B27">
        <w:rPr>
          <w:lang w:val="en-GB" w:eastAsia="en-GB"/>
        </w:rPr>
        <w:t>conten</w:t>
      </w:r>
      <w:r w:rsidRPr="00666B27">
        <w:rPr>
          <w:lang w:val="en-GB" w:eastAsia="en-GB"/>
        </w:rPr>
        <w:t xml:space="preserve">t for qualifying equipment. Utilities therefore usually have no interest or incentive to increase the efficiency of distribution transformers that they install. Indeed, more efficient models will almost certainly have a higher capital cost, which acts as a strong disincentive for their selection. This impairs the purchase of higher efficiency equipment, and policies </w:t>
      </w:r>
      <w:proofErr w:type="gramStart"/>
      <w:r w:rsidRPr="00666B27">
        <w:rPr>
          <w:lang w:val="en-GB" w:eastAsia="en-GB"/>
        </w:rPr>
        <w:t>have to</w:t>
      </w:r>
      <w:proofErr w:type="gramEnd"/>
      <w:r w:rsidRPr="00666B27">
        <w:rPr>
          <w:lang w:val="en-GB" w:eastAsia="en-GB"/>
        </w:rPr>
        <w:t xml:space="preserve"> be modified to overcome this barrier.</w:t>
      </w:r>
      <w:r w:rsidRPr="00666B27">
        <w:rPr>
          <w:lang w:val="en-GB"/>
        </w:rPr>
        <w:t xml:space="preserve"> </w:t>
      </w:r>
      <w:r w:rsidRPr="00666B27">
        <w:rPr>
          <w:lang w:val="en-GB" w:eastAsia="en-GB"/>
        </w:rPr>
        <w:t xml:space="preserve">One way to provide an incentive for </w:t>
      </w:r>
      <w:r w:rsidRPr="00666B27">
        <w:rPr>
          <w:noProof/>
          <w:lang w:val="en-GB" w:eastAsia="en-GB"/>
        </w:rPr>
        <w:t>high</w:t>
      </w:r>
      <w:r w:rsidR="00C45283" w:rsidRPr="00666B27">
        <w:rPr>
          <w:noProof/>
          <w:lang w:val="en-GB" w:eastAsia="en-GB"/>
        </w:rPr>
        <w:t>-</w:t>
      </w:r>
      <w:r w:rsidRPr="00666B27">
        <w:rPr>
          <w:noProof/>
          <w:lang w:val="en-GB" w:eastAsia="en-GB"/>
        </w:rPr>
        <w:t>efficiency</w:t>
      </w:r>
      <w:r w:rsidRPr="00666B27">
        <w:rPr>
          <w:lang w:val="en-GB" w:eastAsia="en-GB"/>
        </w:rPr>
        <w:t xml:space="preserve"> </w:t>
      </w:r>
      <w:r w:rsidRPr="00F737AD">
        <w:rPr>
          <w:rFonts w:cs="Calibri"/>
          <w:szCs w:val="20"/>
          <w:lang w:val="en-GB" w:eastAsia="en-GB"/>
        </w:rPr>
        <w:t>transformers may be to allow faster depreciation of high</w:t>
      </w:r>
      <w:r w:rsidR="002E43AD" w:rsidRPr="00F737AD">
        <w:rPr>
          <w:rFonts w:cs="Calibri"/>
          <w:szCs w:val="20"/>
          <w:lang w:val="en-GB" w:eastAsia="en-GB"/>
        </w:rPr>
        <w:t>-</w:t>
      </w:r>
      <w:r w:rsidRPr="00F737AD">
        <w:rPr>
          <w:rFonts w:cs="Calibri"/>
          <w:szCs w:val="20"/>
          <w:lang w:val="en-GB" w:eastAsia="en-GB"/>
        </w:rPr>
        <w:t>efficiency model</w:t>
      </w:r>
      <w:r w:rsidR="002E43AD" w:rsidRPr="00F737AD">
        <w:rPr>
          <w:rFonts w:cs="Calibri"/>
          <w:szCs w:val="20"/>
          <w:lang w:val="en-GB" w:eastAsia="en-GB"/>
        </w:rPr>
        <w:t xml:space="preserve">s. </w:t>
      </w:r>
      <w:r w:rsidRPr="00F737AD">
        <w:rPr>
          <w:rFonts w:cs="Calibri"/>
          <w:szCs w:val="20"/>
          <w:lang w:val="en-GB" w:eastAsia="en-GB"/>
        </w:rPr>
        <w:t xml:space="preserve">This would provide some rebalancing of the financial penalties many utilities would see associated with </w:t>
      </w:r>
      <w:r w:rsidRPr="00F737AD">
        <w:rPr>
          <w:rFonts w:cs="Calibri"/>
          <w:noProof/>
          <w:szCs w:val="20"/>
          <w:lang w:val="en-GB" w:eastAsia="en-GB"/>
        </w:rPr>
        <w:t>high</w:t>
      </w:r>
      <w:r w:rsidR="00C45283" w:rsidRPr="00F737AD">
        <w:rPr>
          <w:rFonts w:cs="Calibri"/>
          <w:noProof/>
          <w:szCs w:val="20"/>
          <w:lang w:val="en-GB" w:eastAsia="en-GB"/>
        </w:rPr>
        <w:t>-</w:t>
      </w:r>
      <w:r w:rsidRPr="00F737AD">
        <w:rPr>
          <w:rFonts w:cs="Calibri"/>
          <w:noProof/>
          <w:szCs w:val="20"/>
          <w:lang w:val="en-GB" w:eastAsia="en-GB"/>
        </w:rPr>
        <w:t>efficiency</w:t>
      </w:r>
      <w:r w:rsidRPr="00F737AD">
        <w:rPr>
          <w:rFonts w:cs="Calibri"/>
          <w:szCs w:val="20"/>
          <w:lang w:val="en-GB" w:eastAsia="en-GB"/>
        </w:rPr>
        <w:t xml:space="preserve"> transformers. Another approach would be to apply some form of tax, levy or other capital payment onto transformers that are below the target efficiency threshold to discourage their selection</w:t>
      </w:r>
      <w:r w:rsidR="00A50ADC" w:rsidRPr="00F737AD">
        <w:rPr>
          <w:rFonts w:cs="Calibri"/>
          <w:szCs w:val="20"/>
          <w:lang w:val="en-GB" w:eastAsia="en-GB"/>
        </w:rPr>
        <w:t xml:space="preserve">. However, there are </w:t>
      </w:r>
      <w:r w:rsidR="002E43AD" w:rsidRPr="00F737AD">
        <w:rPr>
          <w:rFonts w:cs="Calibri"/>
          <w:szCs w:val="20"/>
          <w:lang w:val="en-GB" w:eastAsia="en-GB"/>
        </w:rPr>
        <w:t xml:space="preserve">no </w:t>
      </w:r>
      <w:proofErr w:type="gramStart"/>
      <w:r w:rsidR="002E43AD" w:rsidRPr="00F737AD">
        <w:rPr>
          <w:rFonts w:cs="Calibri"/>
          <w:szCs w:val="20"/>
          <w:lang w:val="en-GB" w:eastAsia="en-GB"/>
        </w:rPr>
        <w:t>particular</w:t>
      </w:r>
      <w:r w:rsidR="00A50ADC" w:rsidRPr="00F737AD">
        <w:rPr>
          <w:rFonts w:cs="Calibri"/>
          <w:szCs w:val="20"/>
          <w:lang w:val="en-GB" w:eastAsia="en-GB"/>
        </w:rPr>
        <w:t xml:space="preserve"> state</w:t>
      </w:r>
      <w:proofErr w:type="gramEnd"/>
      <w:r w:rsidR="00A50ADC" w:rsidRPr="00F737AD">
        <w:rPr>
          <w:rFonts w:cs="Calibri"/>
          <w:szCs w:val="20"/>
          <w:lang w:val="en-GB" w:eastAsia="en-GB"/>
        </w:rPr>
        <w:t xml:space="preserve"> or </w:t>
      </w:r>
      <w:r w:rsidR="00A50ADC" w:rsidRPr="00F737AD">
        <w:rPr>
          <w:rFonts w:cs="Calibri"/>
          <w:noProof/>
          <w:szCs w:val="20"/>
          <w:lang w:val="en-GB" w:eastAsia="en-GB"/>
        </w:rPr>
        <w:t>industry</w:t>
      </w:r>
      <w:r w:rsidR="00C45283" w:rsidRPr="00F737AD">
        <w:rPr>
          <w:rFonts w:cs="Calibri"/>
          <w:noProof/>
          <w:szCs w:val="20"/>
          <w:lang w:val="en-GB" w:eastAsia="en-GB"/>
        </w:rPr>
        <w:t>-</w:t>
      </w:r>
      <w:r w:rsidR="00A50ADC" w:rsidRPr="00F737AD">
        <w:rPr>
          <w:rFonts w:cs="Calibri"/>
          <w:noProof/>
          <w:szCs w:val="20"/>
          <w:lang w:val="en-GB" w:eastAsia="en-GB"/>
        </w:rPr>
        <w:t>funded</w:t>
      </w:r>
      <w:r w:rsidR="00A50ADC" w:rsidRPr="00F737AD">
        <w:rPr>
          <w:rFonts w:cs="Calibri"/>
          <w:szCs w:val="20"/>
          <w:lang w:val="en-GB" w:eastAsia="en-GB"/>
        </w:rPr>
        <w:t xml:space="preserve"> programmes or initiatives to drive the adoption of energy efficient distribution transformers in South Africa.</w:t>
      </w:r>
    </w:p>
    <w:p w:rsidR="000C22D3" w:rsidRPr="00F737AD" w:rsidRDefault="000C22D3" w:rsidP="00297A17">
      <w:pPr>
        <w:spacing w:after="0"/>
        <w:rPr>
          <w:rFonts w:cs="Calibri"/>
          <w:szCs w:val="20"/>
          <w:lang w:val="en-GB" w:eastAsia="en-GB"/>
        </w:rPr>
      </w:pPr>
    </w:p>
    <w:bookmarkEnd w:id="273"/>
    <w:p w:rsidR="00297A17" w:rsidRPr="00666B27" w:rsidRDefault="00297A17" w:rsidP="00297A17">
      <w:pPr>
        <w:spacing w:after="0"/>
        <w:rPr>
          <w:u w:val="single"/>
          <w:lang w:val="en-GB" w:eastAsia="en-GB"/>
        </w:rPr>
      </w:pPr>
      <w:r w:rsidRPr="00666B27">
        <w:rPr>
          <w:u w:val="single"/>
          <w:lang w:val="en-GB" w:eastAsia="en-GB"/>
        </w:rPr>
        <w:t>Use of vegetable oil</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Most distribution transformers used in South Africa are of the liquid-immersed type. </w:t>
      </w:r>
      <w:bookmarkStart w:id="274" w:name="_Hlk359210"/>
      <w:r w:rsidRPr="00666B27">
        <w:rPr>
          <w:lang w:val="en-GB" w:eastAsia="en-GB"/>
        </w:rPr>
        <w:t>Worldwide, vegetable-oil natural esters are increasingly being used in distribution transformers as insulating oil. The use of vegetabl</w:t>
      </w:r>
      <w:r w:rsidR="001D042C" w:rsidRPr="00666B27">
        <w:rPr>
          <w:lang w:val="en-GB" w:eastAsia="en-GB"/>
        </w:rPr>
        <w:t xml:space="preserve">e oil would add an additional </w:t>
      </w:r>
      <w:r w:rsidRPr="00666B27">
        <w:rPr>
          <w:lang w:val="en-GB" w:eastAsia="en-GB"/>
        </w:rPr>
        <w:t>10% to the cost of a transformer</w:t>
      </w:r>
      <w:bookmarkEnd w:id="274"/>
      <w:r w:rsidRPr="00666B27">
        <w:rPr>
          <w:lang w:val="en-GB" w:eastAsia="en-GB"/>
        </w:rPr>
        <w:t xml:space="preserve">. Apart from its greenhouse reduction impact as a replacement for mineral oils, vegetable oils have the advantage that these have a higher maximum operating temperature, meaning that a transformer can be loaded at higher rating (run at a higher load factor and extend the transformer’s life) and/or have an extended life (up to 40 years). In addition, vegetable oils have </w:t>
      </w:r>
      <w:r w:rsidRPr="00666B27">
        <w:rPr>
          <w:noProof/>
          <w:lang w:val="en-GB" w:eastAsia="en-GB"/>
        </w:rPr>
        <w:t>better</w:t>
      </w:r>
      <w:r w:rsidRPr="00666B27">
        <w:rPr>
          <w:lang w:val="en-GB" w:eastAsia="en-GB"/>
        </w:rPr>
        <w:t xml:space="preserve"> fire safety (having a larger flash and fire point than mineral oils) and reduced spread (due to their higher viscosity) in spillage conditions. </w:t>
      </w:r>
    </w:p>
    <w:p w:rsidR="00297A17" w:rsidRPr="00666B27" w:rsidRDefault="00297A17" w:rsidP="00297A17">
      <w:pPr>
        <w:spacing w:after="0"/>
        <w:rPr>
          <w:lang w:val="en-GB" w:eastAsia="en-GB"/>
        </w:rPr>
      </w:pPr>
    </w:p>
    <w:p w:rsidR="00B901AA" w:rsidRPr="00666B27" w:rsidRDefault="00297A17" w:rsidP="00297A17">
      <w:pPr>
        <w:spacing w:after="0"/>
        <w:rPr>
          <w:lang w:val="en-GB" w:eastAsia="en-GB"/>
        </w:rPr>
      </w:pPr>
      <w:bookmarkStart w:id="275" w:name="_Hlk497388718"/>
      <w:r w:rsidRPr="00666B27">
        <w:rPr>
          <w:lang w:val="en-GB" w:eastAsia="en-GB"/>
        </w:rPr>
        <w:t>Vegetable oils, such as rapeseed, soy or sunflower oils, are bio-degradab</w:t>
      </w:r>
      <w:r w:rsidR="00E476B8" w:rsidRPr="00666B27">
        <w:rPr>
          <w:lang w:val="en-GB" w:eastAsia="en-GB"/>
        </w:rPr>
        <w:t>le. Th</w:t>
      </w:r>
      <w:r w:rsidRPr="00666B27">
        <w:rPr>
          <w:lang w:val="en-GB" w:eastAsia="en-GB"/>
        </w:rPr>
        <w:t xml:space="preserve">e insulating oils could be recovered after the transformer’s service and processed to be used as biofuel. </w:t>
      </w:r>
      <w:r w:rsidR="001D042C" w:rsidRPr="00666B27">
        <w:rPr>
          <w:lang w:val="en-GB" w:eastAsia="en-GB"/>
        </w:rPr>
        <w:t xml:space="preserve"> </w:t>
      </w:r>
      <w:bookmarkStart w:id="276" w:name="_Hlk359303"/>
      <w:r w:rsidR="007D0DC9" w:rsidRPr="00666B27">
        <w:rPr>
          <w:lang w:val="en-GB" w:eastAsia="en-GB"/>
        </w:rPr>
        <w:t xml:space="preserve">One proposal being discussed at Eskom is for </w:t>
      </w:r>
      <w:r w:rsidR="000C22D3" w:rsidRPr="00666B27">
        <w:rPr>
          <w:lang w:val="en-GB" w:eastAsia="en-GB"/>
        </w:rPr>
        <w:t>new contract</w:t>
      </w:r>
      <w:r w:rsidR="007D0DC9" w:rsidRPr="00666B27">
        <w:rPr>
          <w:lang w:val="en-GB" w:eastAsia="en-GB"/>
        </w:rPr>
        <w:t>s</w:t>
      </w:r>
      <w:r w:rsidR="000C22D3" w:rsidRPr="00666B27">
        <w:rPr>
          <w:lang w:val="en-GB" w:eastAsia="en-GB"/>
        </w:rPr>
        <w:t xml:space="preserve"> on transformers</w:t>
      </w:r>
      <w:bookmarkEnd w:id="276"/>
      <w:r w:rsidR="007D0DC9" w:rsidRPr="00666B27">
        <w:rPr>
          <w:lang w:val="en-GB" w:eastAsia="en-GB"/>
        </w:rPr>
        <w:t xml:space="preserve">, these </w:t>
      </w:r>
      <w:r w:rsidR="007D0DC9" w:rsidRPr="00666B27">
        <w:rPr>
          <w:noProof/>
          <w:lang w:val="en-GB" w:eastAsia="en-GB"/>
        </w:rPr>
        <w:t xml:space="preserve">will </w:t>
      </w:r>
      <w:r w:rsidR="000C22D3" w:rsidRPr="00666B27">
        <w:rPr>
          <w:lang w:val="en-GB" w:eastAsia="en-GB"/>
        </w:rPr>
        <w:t>incorporate 30% ester oil in the first year, 60% in the second year and 100% as of the third year onwards.</w:t>
      </w:r>
    </w:p>
    <w:p w:rsidR="00202887" w:rsidRPr="00666B27" w:rsidRDefault="00202887">
      <w:pPr>
        <w:spacing w:after="0"/>
        <w:jc w:val="left"/>
        <w:rPr>
          <w:lang w:val="en-GB" w:eastAsia="en-GB"/>
        </w:rPr>
      </w:pPr>
    </w:p>
    <w:p w:rsidR="00FD7DAF" w:rsidRPr="00666B27" w:rsidRDefault="00FD7DAF" w:rsidP="00FD7DAF">
      <w:pPr>
        <w:spacing w:after="0"/>
        <w:jc w:val="left"/>
        <w:rPr>
          <w:u w:val="single"/>
          <w:lang w:val="en-GB" w:eastAsia="en-GB"/>
        </w:rPr>
      </w:pPr>
    </w:p>
    <w:p w:rsidR="00FD7DAF" w:rsidRPr="00666B27" w:rsidRDefault="00FD7DAF" w:rsidP="00FD7DAF">
      <w:pPr>
        <w:pStyle w:val="HeadingA2"/>
      </w:pPr>
      <w:bookmarkStart w:id="277" w:name="_Toc496963799"/>
      <w:bookmarkStart w:id="278" w:name="_Toc496966649"/>
      <w:bookmarkStart w:id="279" w:name="_Toc496966944"/>
      <w:bookmarkStart w:id="280" w:name="_Toc497856154"/>
      <w:bookmarkStart w:id="281" w:name="_Toc340786"/>
      <w:r w:rsidRPr="00666B27">
        <w:t>Waste management and recycling</w:t>
      </w:r>
      <w:bookmarkEnd w:id="277"/>
      <w:bookmarkEnd w:id="278"/>
      <w:bookmarkEnd w:id="279"/>
      <w:bookmarkEnd w:id="280"/>
      <w:bookmarkEnd w:id="281"/>
    </w:p>
    <w:p w:rsidR="00FD7DAF" w:rsidRPr="00666B27" w:rsidRDefault="00FD7DAF" w:rsidP="00FD7DAF">
      <w:pPr>
        <w:spacing w:after="0"/>
        <w:rPr>
          <w:lang w:val="en-GB" w:eastAsia="en-GB"/>
        </w:rPr>
      </w:pPr>
    </w:p>
    <w:p w:rsidR="00FD7DAF" w:rsidRPr="00666B27" w:rsidRDefault="00FD7DAF" w:rsidP="00FD7DAF">
      <w:pPr>
        <w:spacing w:after="0"/>
        <w:rPr>
          <w:u w:val="single"/>
          <w:lang w:val="en-GB" w:eastAsia="en-GB"/>
        </w:rPr>
      </w:pPr>
      <w:r w:rsidRPr="00666B27">
        <w:rPr>
          <w:u w:val="single"/>
          <w:lang w:val="en-GB" w:eastAsia="en-GB"/>
        </w:rPr>
        <w:t>E-waste</w:t>
      </w:r>
    </w:p>
    <w:p w:rsidR="00FD7DAF" w:rsidRPr="00666B27" w:rsidRDefault="00FD7DAF" w:rsidP="00FD7DAF">
      <w:pPr>
        <w:spacing w:after="0"/>
        <w:rPr>
          <w:lang w:val="en-GB" w:eastAsia="en-GB"/>
        </w:rPr>
      </w:pPr>
    </w:p>
    <w:p w:rsidR="00FD7DAF" w:rsidRPr="00666B27" w:rsidRDefault="00FD7DAF" w:rsidP="00FD7DAF">
      <w:pPr>
        <w:spacing w:after="0"/>
        <w:rPr>
          <w:lang w:val="en-GB" w:eastAsia="en-GB"/>
        </w:rPr>
      </w:pPr>
      <w:r w:rsidRPr="00666B27">
        <w:rPr>
          <w:lang w:val="en-GB" w:eastAsia="en-GB"/>
        </w:rPr>
        <w:t xml:space="preserve">Informal sector salvaging, both at the street level, and at the landfill, constitutes the bulk of recycling activities in South Africa. Recovered quantities and types of material </w:t>
      </w:r>
      <w:r w:rsidR="007D0DC9" w:rsidRPr="00666B27">
        <w:rPr>
          <w:lang w:val="en-GB" w:eastAsia="en-GB"/>
        </w:rPr>
        <w:t xml:space="preserve">are </w:t>
      </w:r>
      <w:r w:rsidRPr="00666B27">
        <w:rPr>
          <w:lang w:val="en-GB" w:eastAsia="en-GB"/>
        </w:rPr>
        <w:t xml:space="preserve">highly dependent on the market demand, price and industry </w:t>
      </w:r>
      <w:r w:rsidRPr="00666B27">
        <w:rPr>
          <w:noProof/>
          <w:lang w:val="en-GB" w:eastAsia="en-GB"/>
        </w:rPr>
        <w:t>organised</w:t>
      </w:r>
      <w:r w:rsidRPr="00666B27">
        <w:rPr>
          <w:lang w:val="en-GB" w:eastAsia="en-GB"/>
        </w:rPr>
        <w:t xml:space="preserve"> collection, buy-back</w:t>
      </w:r>
      <w:r w:rsidR="00C45283"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redemption systems. </w:t>
      </w:r>
      <w:proofErr w:type="gramStart"/>
      <w:r w:rsidRPr="00666B27">
        <w:rPr>
          <w:lang w:val="en-GB" w:eastAsia="en-GB"/>
        </w:rPr>
        <w:t>As a consequence</w:t>
      </w:r>
      <w:proofErr w:type="gramEnd"/>
      <w:r w:rsidRPr="00666B27">
        <w:rPr>
          <w:lang w:val="en-GB" w:eastAsia="en-GB"/>
        </w:rPr>
        <w:t xml:space="preserve">, waste separation and formal recycling remain a concept foreign to </w:t>
      </w:r>
      <w:r w:rsidR="007D0DC9" w:rsidRPr="00666B27">
        <w:rPr>
          <w:lang w:val="en-GB" w:eastAsia="en-GB"/>
        </w:rPr>
        <w:t>many</w:t>
      </w:r>
      <w:r w:rsidRPr="00666B27">
        <w:rPr>
          <w:lang w:val="en-GB" w:eastAsia="en-GB"/>
        </w:rPr>
        <w:t xml:space="preserve"> South African households.</w:t>
      </w:r>
    </w:p>
    <w:p w:rsidR="00FD7DAF" w:rsidRPr="00666B27" w:rsidRDefault="00FD7DAF" w:rsidP="00FD7DAF">
      <w:pPr>
        <w:spacing w:after="0"/>
        <w:rPr>
          <w:lang w:val="en-GB" w:eastAsia="en-GB"/>
        </w:rPr>
      </w:pPr>
    </w:p>
    <w:p w:rsidR="00FD7DAF" w:rsidRPr="00666B27" w:rsidRDefault="00FD7DAF" w:rsidP="00FD7DAF">
      <w:pPr>
        <w:spacing w:after="0"/>
        <w:rPr>
          <w:lang w:val="en-GB" w:eastAsia="en-GB"/>
        </w:rPr>
      </w:pPr>
      <w:bookmarkStart w:id="282" w:name="_Hlk497390896"/>
      <w:r w:rsidRPr="00666B27">
        <w:rPr>
          <w:lang w:val="en-GB" w:eastAsia="en-GB"/>
        </w:rPr>
        <w:t>Lighting waste has internationally been incorporated under e-waste (electric and electronic waste). Fluorescent lamps have a special status as these contain small amounts of mercury</w:t>
      </w:r>
      <w:r w:rsidRPr="0057545E">
        <w:rPr>
          <w:vertAlign w:val="superscript"/>
          <w:lang w:val="en-GB" w:eastAsia="en-GB"/>
        </w:rPr>
        <w:footnoteReference w:id="51"/>
      </w:r>
      <w:r w:rsidRPr="0057545E">
        <w:rPr>
          <w:lang w:val="en-GB" w:eastAsia="en-GB"/>
        </w:rPr>
        <w:t xml:space="preserve">, which is </w:t>
      </w:r>
      <w:r w:rsidR="00C45283" w:rsidRPr="00353542">
        <w:rPr>
          <w:lang w:val="en-GB" w:eastAsia="en-GB"/>
        </w:rPr>
        <w:t xml:space="preserve">a </w:t>
      </w:r>
      <w:r w:rsidRPr="003B7D62">
        <w:rPr>
          <w:noProof/>
          <w:lang w:val="en-GB" w:eastAsia="en-GB"/>
        </w:rPr>
        <w:t>hazardous</w:t>
      </w:r>
      <w:r w:rsidRPr="004722F0">
        <w:rPr>
          <w:lang w:val="en-GB" w:eastAsia="en-GB"/>
        </w:rPr>
        <w:t xml:space="preserve"> substance. Recovery options possible are retail outlets, buy-back </w:t>
      </w:r>
      <w:r w:rsidRPr="00666B27">
        <w:rPr>
          <w:noProof/>
          <w:lang w:val="en-GB" w:eastAsia="en-GB"/>
        </w:rPr>
        <w:t>centres</w:t>
      </w:r>
      <w:r w:rsidRPr="00666B27">
        <w:rPr>
          <w:lang w:val="en-GB" w:eastAsia="en-GB"/>
        </w:rPr>
        <w:t>, ESKOM offices, municipal facilities</w:t>
      </w:r>
      <w:r w:rsidR="00C45283"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dedicated mobile units. An ESKOM-</w:t>
      </w:r>
      <w:proofErr w:type="spellStart"/>
      <w:r w:rsidRPr="00666B27">
        <w:rPr>
          <w:lang w:val="en-GB" w:eastAsia="en-GB"/>
        </w:rPr>
        <w:t>eWASA</w:t>
      </w:r>
      <w:proofErr w:type="spellEnd"/>
      <w:r w:rsidRPr="0057545E">
        <w:rPr>
          <w:vertAlign w:val="superscript"/>
          <w:lang w:val="en-GB" w:eastAsia="en-GB"/>
        </w:rPr>
        <w:footnoteReference w:id="52"/>
      </w:r>
      <w:r w:rsidRPr="0057545E">
        <w:rPr>
          <w:lang w:val="en-GB" w:eastAsia="en-GB"/>
        </w:rPr>
        <w:t xml:space="preserve"> study mentions that </w:t>
      </w:r>
      <w:r w:rsidR="007D0DC9" w:rsidRPr="00353542">
        <w:rPr>
          <w:lang w:val="en-GB" w:eastAsia="en-GB"/>
        </w:rPr>
        <w:t xml:space="preserve">the </w:t>
      </w:r>
      <w:r w:rsidRPr="003B7D62">
        <w:rPr>
          <w:lang w:val="en-GB" w:eastAsia="en-GB"/>
        </w:rPr>
        <w:t>points of sale would constitute a central location for collection, but in low-income or rural areas these are often not ‘within walking distance’ and mobile units might offer a</w:t>
      </w:r>
      <w:r w:rsidRPr="004722F0">
        <w:rPr>
          <w:lang w:val="en-GB" w:eastAsia="en-GB"/>
        </w:rPr>
        <w:t xml:space="preserve"> plausible solution. After collection, CFLs </w:t>
      </w:r>
      <w:r w:rsidRPr="00666B27">
        <w:rPr>
          <w:lang w:val="en-GB" w:eastAsia="en-GB"/>
        </w:rPr>
        <w:t xml:space="preserve">are taken to recycling </w:t>
      </w:r>
      <w:r w:rsidRPr="00666B27">
        <w:rPr>
          <w:noProof/>
          <w:lang w:val="en-GB" w:eastAsia="en-GB"/>
        </w:rPr>
        <w:t>centres</w:t>
      </w:r>
      <w:r w:rsidRPr="00666B27">
        <w:rPr>
          <w:lang w:val="en-GB" w:eastAsia="en-GB"/>
        </w:rPr>
        <w:t xml:space="preserve">. The first step of processing CFLs involves crushing the bulbs in a machine that uses negative pressure ventilation and a mercury-absorbing filter or cold trap to contain </w:t>
      </w:r>
      <w:r w:rsidR="007D0DC9" w:rsidRPr="00666B27">
        <w:rPr>
          <w:lang w:val="en-GB" w:eastAsia="en-GB"/>
        </w:rPr>
        <w:t xml:space="preserve">the </w:t>
      </w:r>
      <w:r w:rsidRPr="00666B27">
        <w:rPr>
          <w:lang w:val="en-GB" w:eastAsia="en-GB"/>
        </w:rPr>
        <w:t xml:space="preserve">mercury vapor. Then, the crushed glass and metal </w:t>
      </w:r>
      <w:r w:rsidRPr="00666B27">
        <w:rPr>
          <w:noProof/>
          <w:lang w:val="en-GB" w:eastAsia="en-GB"/>
        </w:rPr>
        <w:t>is</w:t>
      </w:r>
      <w:r w:rsidRPr="00666B27">
        <w:rPr>
          <w:lang w:val="en-GB" w:eastAsia="en-GB"/>
        </w:rPr>
        <w:t xml:space="preserve"> stored in drums, ready for shipping to recycling factories. In South Africa, companies such as </w:t>
      </w:r>
      <w:proofErr w:type="spellStart"/>
      <w:r w:rsidRPr="00666B27">
        <w:rPr>
          <w:lang w:val="en-GB" w:eastAsia="en-GB"/>
        </w:rPr>
        <w:t>Reclite</w:t>
      </w:r>
      <w:proofErr w:type="spellEnd"/>
      <w:r w:rsidRPr="00666B27">
        <w:rPr>
          <w:lang w:val="en-GB" w:eastAsia="en-GB"/>
        </w:rPr>
        <w:t xml:space="preserve">, </w:t>
      </w:r>
      <w:proofErr w:type="spellStart"/>
      <w:r w:rsidRPr="00666B27">
        <w:rPr>
          <w:lang w:val="en-GB" w:eastAsia="en-GB"/>
        </w:rPr>
        <w:t>Balcan</w:t>
      </w:r>
      <w:proofErr w:type="spellEnd"/>
      <w:r w:rsidRPr="00666B27">
        <w:rPr>
          <w:lang w:val="en-GB" w:eastAsia="en-GB"/>
        </w:rPr>
        <w:t xml:space="preserve"> Engineering, Crush Lamp, collect and/or recycle various types of lamps and separate into </w:t>
      </w:r>
      <w:r w:rsidRPr="00666B27">
        <w:rPr>
          <w:noProof/>
          <w:lang w:val="en-GB" w:eastAsia="en-GB"/>
        </w:rPr>
        <w:t>fraction</w:t>
      </w:r>
      <w:r w:rsidR="00C45283" w:rsidRPr="00666B27">
        <w:rPr>
          <w:noProof/>
          <w:lang w:val="en-GB" w:eastAsia="en-GB"/>
        </w:rPr>
        <w:t>s</w:t>
      </w:r>
      <w:r w:rsidRPr="00666B27">
        <w:rPr>
          <w:lang w:val="en-GB" w:eastAsia="en-GB"/>
        </w:rPr>
        <w:t xml:space="preserve">, including the recovery of mercury. </w:t>
      </w:r>
    </w:p>
    <w:p w:rsidR="00FD7DAF" w:rsidRPr="00666B27" w:rsidRDefault="00FD7DAF" w:rsidP="00FD7DAF">
      <w:pPr>
        <w:spacing w:after="0"/>
        <w:rPr>
          <w:lang w:val="en-GB" w:eastAsia="en-GB"/>
        </w:rPr>
      </w:pPr>
    </w:p>
    <w:p w:rsidR="00FD7DAF" w:rsidRPr="00666B27" w:rsidRDefault="00FD7DAF" w:rsidP="00FD7DAF">
      <w:pPr>
        <w:spacing w:after="0"/>
        <w:rPr>
          <w:lang w:val="en-GB" w:eastAsia="en-GB"/>
        </w:rPr>
      </w:pPr>
      <w:r w:rsidRPr="00666B27">
        <w:rPr>
          <w:lang w:val="en-GB" w:eastAsia="en-GB"/>
        </w:rPr>
        <w:t xml:space="preserve">There is currently no specific legislation that deals with e-waste in South Africa. However, the new National Environmental Management Waste Act (2008) has implications for e-waste management and makes it illegal for individuals or companies to send e-waste to landfills. DEA is considering </w:t>
      </w:r>
      <w:proofErr w:type="gramStart"/>
      <w:r w:rsidRPr="00666B27">
        <w:rPr>
          <w:lang w:val="en-GB" w:eastAsia="en-GB"/>
        </w:rPr>
        <w:t>to split</w:t>
      </w:r>
      <w:proofErr w:type="gramEnd"/>
      <w:r w:rsidRPr="00666B27">
        <w:rPr>
          <w:lang w:val="en-GB" w:eastAsia="en-GB"/>
        </w:rPr>
        <w:t xml:space="preserve"> the two categories, e-waste and lighting, and be dealt with separate waste management plans. In November 2011 the National Waste Management Strategy (NWMS) was established to achieve the objects of the Act. </w:t>
      </w:r>
    </w:p>
    <w:bookmarkEnd w:id="282"/>
    <w:p w:rsidR="00FD7DAF" w:rsidRPr="00666B27" w:rsidRDefault="00FD7DAF" w:rsidP="00FD7DAF">
      <w:pPr>
        <w:spacing w:after="0"/>
        <w:rPr>
          <w:lang w:val="en-GB" w:eastAsia="en-GB"/>
        </w:rPr>
      </w:pPr>
    </w:p>
    <w:p w:rsidR="00FD7DAF" w:rsidRPr="00666B27" w:rsidRDefault="00FD7DAF" w:rsidP="00FD7DAF">
      <w:pPr>
        <w:spacing w:after="0"/>
        <w:rPr>
          <w:u w:val="single"/>
          <w:lang w:val="en-GB" w:eastAsia="en-GB"/>
        </w:rPr>
      </w:pPr>
      <w:r w:rsidRPr="00666B27">
        <w:rPr>
          <w:u w:val="single"/>
          <w:lang w:val="en-GB" w:eastAsia="en-GB"/>
        </w:rPr>
        <w:t>PCBs</w:t>
      </w:r>
    </w:p>
    <w:p w:rsidR="00FD7DAF" w:rsidRPr="00666B27" w:rsidRDefault="00FD7DAF" w:rsidP="00FD7DAF">
      <w:pPr>
        <w:spacing w:after="0"/>
        <w:rPr>
          <w:lang w:val="en-GB" w:eastAsia="en-GB"/>
        </w:rPr>
      </w:pPr>
    </w:p>
    <w:p w:rsidR="00FD7DAF" w:rsidRPr="00666B27" w:rsidRDefault="00FD7DAF" w:rsidP="00FD7DAF">
      <w:pPr>
        <w:spacing w:after="0"/>
        <w:rPr>
          <w:lang w:val="en-GB" w:eastAsia="en-GB"/>
        </w:rPr>
      </w:pPr>
      <w:r w:rsidRPr="00666B27">
        <w:rPr>
          <w:lang w:val="en-GB" w:eastAsia="en-GB"/>
        </w:rPr>
        <w:t xml:space="preserve">South Africa is a Party to the Stockholm Convention on Persistent Organic Pollutants (“Stockholm Convention”). </w:t>
      </w:r>
      <w:bookmarkStart w:id="283" w:name="_Hlk496983689"/>
      <w:r w:rsidRPr="00666B27">
        <w:rPr>
          <w:lang w:val="en-GB" w:eastAsia="en-GB"/>
        </w:rPr>
        <w:t>Polychlorinated biphenyls</w:t>
      </w:r>
      <w:bookmarkEnd w:id="283"/>
      <w:r w:rsidRPr="00666B27">
        <w:rPr>
          <w:lang w:val="en-GB" w:eastAsia="en-GB"/>
        </w:rPr>
        <w:t xml:space="preserve"> (PCBs) form one of twelve) Persistent Organic Pollutants (POPs) governed by UNEP (United Nations Environmental Program) according to the outcome of the Basel Convention that was ratified in 2001, with South </w:t>
      </w:r>
      <w:r w:rsidRPr="00666B27">
        <w:rPr>
          <w:lang w:val="en-GB" w:eastAsia="en-GB"/>
        </w:rPr>
        <w:lastRenderedPageBreak/>
        <w:t xml:space="preserve">Africa being a signatory. The country published in July 2014 Regulations (# 37818) on the phasing out of the use of (PCBs) and PCB-contaminated materials. The Regulations prohibit the use, production, import and export and sale of PCBs or PCB contaminated materials, during the phase-out period, without registration. The use of PCBs and PCBs contaminated materials is to be phased out by the year 2023, with a further three years provided within which PCB holders </w:t>
      </w:r>
      <w:proofErr w:type="gramStart"/>
      <w:r w:rsidRPr="00666B27">
        <w:rPr>
          <w:lang w:val="en-GB" w:eastAsia="en-GB"/>
        </w:rPr>
        <w:t>have to</w:t>
      </w:r>
      <w:proofErr w:type="gramEnd"/>
      <w:r w:rsidRPr="00666B27">
        <w:rPr>
          <w:lang w:val="en-GB" w:eastAsia="en-GB"/>
        </w:rPr>
        <w:t xml:space="preserve"> dispose of their stockpiled PCB materials, PCB contaminated materials and PCB waste in their possession.</w:t>
      </w:r>
    </w:p>
    <w:p w:rsidR="00FD7DAF" w:rsidRPr="00666B27" w:rsidRDefault="00FD7DAF" w:rsidP="00FD7DAF">
      <w:pPr>
        <w:spacing w:after="0"/>
        <w:rPr>
          <w:lang w:val="en-GB" w:eastAsia="en-GB"/>
        </w:rPr>
      </w:pPr>
    </w:p>
    <w:p w:rsidR="00FD7DAF" w:rsidRPr="00666B27" w:rsidRDefault="007D0DC9" w:rsidP="00FD7DAF">
      <w:pPr>
        <w:spacing w:after="0"/>
        <w:rPr>
          <w:lang w:val="en-GB" w:eastAsia="en-GB"/>
        </w:rPr>
      </w:pPr>
      <w:bookmarkStart w:id="284" w:name="_Hlk497388758"/>
      <w:r w:rsidRPr="00666B27">
        <w:rPr>
          <w:lang w:val="en-GB" w:eastAsia="en-GB"/>
        </w:rPr>
        <w:t>PCBs</w:t>
      </w:r>
      <w:r w:rsidR="00FD7DAF" w:rsidRPr="00666B27">
        <w:rPr>
          <w:lang w:val="en-GB" w:eastAsia="en-GB"/>
        </w:rPr>
        <w:t xml:space="preserve"> were formerly used </w:t>
      </w:r>
      <w:r w:rsidR="00C45283" w:rsidRPr="00666B27">
        <w:rPr>
          <w:lang w:val="en-GB" w:eastAsia="en-GB"/>
        </w:rPr>
        <w:t xml:space="preserve">in </w:t>
      </w:r>
      <w:r w:rsidR="00FD7DAF" w:rsidRPr="00666B27">
        <w:rPr>
          <w:lang w:val="en-GB" w:eastAsia="en-GB"/>
        </w:rPr>
        <w:t xml:space="preserve">transformer </w:t>
      </w:r>
      <w:r w:rsidR="00FD7DAF" w:rsidRPr="00666B27">
        <w:rPr>
          <w:noProof/>
          <w:lang w:val="en-GB" w:eastAsia="en-GB"/>
        </w:rPr>
        <w:t>oil,</w:t>
      </w:r>
      <w:r w:rsidR="00FD7DAF" w:rsidRPr="00666B27">
        <w:rPr>
          <w:lang w:val="en-GB" w:eastAsia="en-GB"/>
        </w:rPr>
        <w:t xml:space="preserve"> since they have high dielectric strength and are not flammable. Unfortunately, they are also toxic and not at all biodegradable, and difficult to dispose of safely. When burned, they form even more toxic products, such as chlorinated dioxins and chlorinated dibenzofurans. Starting in the 1970s and 1980s, production and new uses of PCBs were banned in many countries, due to concerns about the accumulation of PCBs and toxicity of their by-products. The main electricity supplier in South Africa, Eskom, still has does have power (transmission network) transformers and capacitors with PCBs, but a programme with the aim of a getting PCB-free system is in place. Eskom has also shipped some PCB-contaminated oil overseas for monitored incineration. Batch testing of Eskom’ s distribution transformers has shown that these do not contain PCBs. One can conclude that nation-wide only a small percentage of the remaining equipment contains PCBs in the oils, and these are being replaced as they become redundant. Eskom has procedures in place to prevent further contamination during transfers and maintenance.</w:t>
      </w:r>
    </w:p>
    <w:bookmarkEnd w:id="284"/>
    <w:p w:rsidR="00FD7DAF" w:rsidRPr="00666B27" w:rsidRDefault="00FD7DAF">
      <w:pPr>
        <w:spacing w:after="0"/>
        <w:jc w:val="left"/>
        <w:rPr>
          <w:lang w:val="en-GB" w:eastAsia="en-GB"/>
        </w:rPr>
      </w:pPr>
    </w:p>
    <w:p w:rsidR="00202887" w:rsidRPr="00666B27" w:rsidRDefault="00202887">
      <w:pPr>
        <w:spacing w:after="0"/>
        <w:jc w:val="left"/>
        <w:rPr>
          <w:lang w:val="en-GB" w:eastAsia="en-GB"/>
        </w:rPr>
      </w:pPr>
    </w:p>
    <w:p w:rsidR="00297A17" w:rsidRPr="00666B27" w:rsidRDefault="00297A17" w:rsidP="00FD7DAF">
      <w:pPr>
        <w:pStyle w:val="HeadingA2"/>
      </w:pPr>
      <w:bookmarkStart w:id="285" w:name="_Toc496963798"/>
      <w:bookmarkStart w:id="286" w:name="_Toc496966648"/>
      <w:bookmarkStart w:id="287" w:name="_Toc496966943"/>
      <w:bookmarkStart w:id="288" w:name="_Toc497856153"/>
      <w:bookmarkStart w:id="289" w:name="_Toc340787"/>
      <w:bookmarkEnd w:id="275"/>
      <w:r w:rsidRPr="00666B27">
        <w:t>Financing of energy efficiency and the market for energy services</w:t>
      </w:r>
      <w:bookmarkEnd w:id="285"/>
      <w:bookmarkEnd w:id="286"/>
      <w:bookmarkEnd w:id="287"/>
      <w:bookmarkEnd w:id="288"/>
      <w:bookmarkEnd w:id="289"/>
    </w:p>
    <w:p w:rsidR="00297A17" w:rsidRPr="00666B27" w:rsidRDefault="00297A17" w:rsidP="00297A17">
      <w:pPr>
        <w:spacing w:after="0"/>
        <w:rPr>
          <w:lang w:val="en-GB" w:eastAsia="en-GB"/>
        </w:rPr>
      </w:pPr>
    </w:p>
    <w:p w:rsidR="00297A17" w:rsidRPr="00666B27" w:rsidRDefault="00297A17" w:rsidP="00297A17">
      <w:pPr>
        <w:spacing w:after="0"/>
        <w:rPr>
          <w:u w:val="single"/>
          <w:lang w:val="en-GB" w:eastAsia="en-GB"/>
        </w:rPr>
      </w:pPr>
      <w:r w:rsidRPr="00666B27">
        <w:rPr>
          <w:u w:val="single"/>
          <w:lang w:val="en-GB" w:eastAsia="en-GB"/>
        </w:rPr>
        <w:t>The market for energy efficiency services</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The energy services market uses many different definitions to reflect the varying interests of the broad spectrum of stakeholders involved. </w:t>
      </w:r>
      <w:r w:rsidRPr="00666B27">
        <w:rPr>
          <w:i/>
          <w:lang w:val="en-GB" w:eastAsia="en-GB"/>
        </w:rPr>
        <w:t xml:space="preserve">Consultancy </w:t>
      </w:r>
      <w:r w:rsidR="0014393D" w:rsidRPr="00666B27">
        <w:rPr>
          <w:i/>
          <w:lang w:val="en-GB" w:eastAsia="en-GB"/>
        </w:rPr>
        <w:t xml:space="preserve">services </w:t>
      </w:r>
      <w:r w:rsidR="0014393D" w:rsidRPr="00666B27">
        <w:rPr>
          <w:lang w:val="en-GB" w:eastAsia="en-GB"/>
        </w:rPr>
        <w:t xml:space="preserve">are provided by </w:t>
      </w:r>
      <w:r w:rsidRPr="00666B27">
        <w:rPr>
          <w:lang w:val="en-GB" w:eastAsia="en-GB"/>
        </w:rPr>
        <w:t xml:space="preserve">energy auditors, planning engineers, certified </w:t>
      </w:r>
      <w:r w:rsidR="0014393D" w:rsidRPr="00666B27">
        <w:rPr>
          <w:lang w:val="en-GB" w:eastAsia="en-GB"/>
        </w:rPr>
        <w:t>m</w:t>
      </w:r>
      <w:r w:rsidRPr="00666B27">
        <w:rPr>
          <w:lang w:val="en-GB" w:eastAsia="en-GB"/>
        </w:rPr>
        <w:t xml:space="preserve">easurement &amp; </w:t>
      </w:r>
      <w:r w:rsidR="0014393D" w:rsidRPr="00666B27">
        <w:rPr>
          <w:lang w:val="en-GB" w:eastAsia="en-GB"/>
        </w:rPr>
        <w:t>v</w:t>
      </w:r>
      <w:r w:rsidRPr="00666B27">
        <w:rPr>
          <w:lang w:val="en-GB" w:eastAsia="en-GB"/>
        </w:rPr>
        <w:t xml:space="preserve">erification </w:t>
      </w:r>
      <w:r w:rsidR="0014393D" w:rsidRPr="00666B27">
        <w:rPr>
          <w:lang w:val="en-GB" w:eastAsia="en-GB"/>
        </w:rPr>
        <w:t>p</w:t>
      </w:r>
      <w:r w:rsidRPr="00666B27">
        <w:rPr>
          <w:lang w:val="en-GB" w:eastAsia="en-GB"/>
        </w:rPr>
        <w:t>ersonnel (CMVPs), accountants, lawyer</w:t>
      </w:r>
      <w:r w:rsidR="0014393D" w:rsidRPr="00666B27">
        <w:rPr>
          <w:lang w:val="en-GB" w:eastAsia="en-GB"/>
        </w:rPr>
        <w:t>s, and others.</w:t>
      </w:r>
      <w:r w:rsidRPr="00666B27">
        <w:rPr>
          <w:lang w:val="en-GB" w:eastAsia="en-GB"/>
        </w:rPr>
        <w:t xml:space="preserve"> Payments for consultancy services are commonly agreed upon based on their inputs (hourly rates or a lump sum). </w:t>
      </w:r>
      <w:r w:rsidRPr="00666B27">
        <w:rPr>
          <w:i/>
          <w:lang w:val="en-GB" w:eastAsia="en-GB"/>
        </w:rPr>
        <w:t>Technology suppliers</w:t>
      </w:r>
      <w:r w:rsidRPr="00666B27">
        <w:rPr>
          <w:lang w:val="en-GB" w:eastAsia="en-GB"/>
        </w:rPr>
        <w:t xml:space="preserve"> provide hardware, such as lighting, or software such as energy accounting or management packages. </w:t>
      </w:r>
      <w:r w:rsidR="007D0DC9" w:rsidRPr="00666B27">
        <w:rPr>
          <w:lang w:val="en-GB" w:eastAsia="en-GB"/>
        </w:rPr>
        <w:t xml:space="preserve">These </w:t>
      </w:r>
      <w:r w:rsidRPr="00666B27">
        <w:rPr>
          <w:lang w:val="en-GB" w:eastAsia="en-GB"/>
        </w:rPr>
        <w:t xml:space="preserve">are paid for the supply and/or installation or maintenance of these components, though typically not for their performance or outputs. </w:t>
      </w:r>
      <w:r w:rsidRPr="00666B27">
        <w:rPr>
          <w:i/>
          <w:lang w:val="en-GB" w:eastAsia="en-GB"/>
        </w:rPr>
        <w:t xml:space="preserve">Energy Service Companies (ESCOs) </w:t>
      </w:r>
      <w:r w:rsidRPr="00666B27">
        <w:rPr>
          <w:lang w:val="en-GB" w:eastAsia="en-GB"/>
        </w:rPr>
        <w:t xml:space="preserve">typically provide performance-based energy contracting, also referred to as ESCO or energy efficiency services. In the </w:t>
      </w:r>
      <w:r w:rsidRPr="00666B27">
        <w:rPr>
          <w:i/>
          <w:lang w:val="en-GB" w:eastAsia="en-GB"/>
        </w:rPr>
        <w:t>Energy Performance Contracting (EPC</w:t>
      </w:r>
      <w:r w:rsidRPr="00666B27">
        <w:rPr>
          <w:lang w:val="en-GB" w:eastAsia="en-GB"/>
        </w:rPr>
        <w:t xml:space="preserve">) business model, ESCOs provide energy savings measured in comparison with a previous energy cost baseline. </w:t>
      </w:r>
      <w:r w:rsidRPr="00666B27">
        <w:rPr>
          <w:i/>
          <w:lang w:val="en-GB" w:eastAsia="en-GB"/>
        </w:rPr>
        <w:t xml:space="preserve">Engineering Procurement Contractors </w:t>
      </w:r>
      <w:r w:rsidRPr="00666B27">
        <w:rPr>
          <w:lang w:val="en-GB" w:eastAsia="en-GB"/>
        </w:rPr>
        <w:t>provide the detailed engineering</w:t>
      </w:r>
      <w:r w:rsidR="0014393D" w:rsidRPr="00666B27">
        <w:rPr>
          <w:lang w:val="en-GB" w:eastAsia="en-GB"/>
        </w:rPr>
        <w:t xml:space="preserve"> </w:t>
      </w:r>
      <w:r w:rsidRPr="00666B27">
        <w:rPr>
          <w:lang w:val="en-GB" w:eastAsia="en-GB"/>
        </w:rPr>
        <w:t>design of the project, procure all the equipment and materials necessary and then construct to deliver a functioning facility or asset to their clients.</w:t>
      </w:r>
    </w:p>
    <w:p w:rsidR="00297A17" w:rsidRPr="00666B27" w:rsidRDefault="00297A17" w:rsidP="00297A17">
      <w:pPr>
        <w:spacing w:after="0"/>
        <w:rPr>
          <w:lang w:val="en-GB" w:eastAsia="en-GB"/>
        </w:rPr>
      </w:pPr>
    </w:p>
    <w:p w:rsidR="00297A17" w:rsidRPr="00666B27" w:rsidRDefault="00297A17" w:rsidP="00297A17">
      <w:pPr>
        <w:spacing w:after="0"/>
        <w:rPr>
          <w:lang w:val="en-GB" w:eastAsia="en-GB"/>
        </w:rPr>
      </w:pPr>
      <w:r w:rsidRPr="00666B27">
        <w:rPr>
          <w:lang w:val="en-GB" w:eastAsia="en-GB"/>
        </w:rPr>
        <w:t xml:space="preserve">The Department of Energy, with the Department of Public Works, has set an energy savings target of 15% for the government’s portfolio of nearly 100,000 public buildings. The standards SANS 1544 </w:t>
      </w:r>
      <w:r w:rsidRPr="00666B27">
        <w:rPr>
          <w:i/>
          <w:lang w:val="en-GB" w:eastAsia="en-GB"/>
        </w:rPr>
        <w:t xml:space="preserve">Energy performance certificates for buildings </w:t>
      </w:r>
      <w:r w:rsidRPr="00666B27">
        <w:rPr>
          <w:lang w:val="en-GB" w:eastAsia="en-GB"/>
        </w:rPr>
        <w:t>specifies the methodology for calculating energy performance in existing buildings. This standard is mandatory for all public buildings since 2016. These Energy Performance Certificates (EPCs) will be issued by trained assessors. Although the regulations will only apply to government buildings that have a floor area greater than 1,000m</w:t>
      </w:r>
      <w:r w:rsidRPr="00666B27">
        <w:rPr>
          <w:vertAlign w:val="superscript"/>
          <w:lang w:val="en-GB" w:eastAsia="en-GB"/>
        </w:rPr>
        <w:t>2</w:t>
      </w:r>
      <w:r w:rsidRPr="00666B27">
        <w:rPr>
          <w:lang w:val="en-GB" w:eastAsia="en-GB"/>
        </w:rPr>
        <w:t>, it is expected that the regulations will be extended to the commercial sector by 2020 (SANAS, 2016)</w:t>
      </w:r>
      <w:r w:rsidRPr="00666B27">
        <w:rPr>
          <w:noProof/>
          <w:lang w:val="en-GB" w:eastAsia="en-GB"/>
        </w:rPr>
        <w:t>.</w:t>
      </w:r>
      <w:r w:rsidR="00C45283" w:rsidRPr="00666B27">
        <w:rPr>
          <w:noProof/>
          <w:lang w:val="en-GB" w:eastAsia="en-GB"/>
        </w:rPr>
        <w:t xml:space="preserve"> </w:t>
      </w:r>
      <w:r w:rsidRPr="00666B27">
        <w:rPr>
          <w:noProof/>
          <w:lang w:val="en-GB" w:eastAsia="en-GB"/>
        </w:rPr>
        <w:t>This</w:t>
      </w:r>
      <w:r w:rsidRPr="00666B27">
        <w:rPr>
          <w:lang w:val="en-GB" w:eastAsia="en-GB"/>
        </w:rPr>
        <w:t xml:space="preserve"> creates opportunities for many players in the energy efficiency value chain, including technology providers, project developers, installers, and financiers, or ESCOs offering consolidated solutions in existing buildings (i.e. retrofits) and in new buildings. </w:t>
      </w:r>
    </w:p>
    <w:p w:rsidR="00297A17" w:rsidRPr="00666B27" w:rsidRDefault="00297A17" w:rsidP="00297A17">
      <w:pPr>
        <w:spacing w:after="0"/>
        <w:rPr>
          <w:lang w:val="en-GB" w:eastAsia="en-GB"/>
        </w:rPr>
      </w:pPr>
    </w:p>
    <w:p w:rsidR="00CA3C14" w:rsidRPr="00353542" w:rsidRDefault="00297A17" w:rsidP="00297A17">
      <w:pPr>
        <w:spacing w:after="0"/>
        <w:rPr>
          <w:lang w:val="en-GB" w:eastAsia="en-GB"/>
        </w:rPr>
      </w:pPr>
      <w:r w:rsidRPr="00666B27">
        <w:rPr>
          <w:lang w:val="en-GB" w:eastAsia="en-GB"/>
        </w:rPr>
        <w:t xml:space="preserve">An IDC-commissioned report estimates the EE market in 2011 in South Africa as 12,993 MW, of which 939 MW in the residential, 115 MW in the commercial and 116 MW in the industrial sectors for efficient lighting.  Over the period 2012-2020 another 5,500 MW would be added. Out of this potential, the market for energy efficiency service providers (ESCOs) would be 6,000 MW (at least </w:t>
      </w:r>
      <w:r w:rsidR="007D0DC9" w:rsidRPr="00666B27">
        <w:rPr>
          <w:lang w:val="en-GB" w:eastAsia="en-GB"/>
        </w:rPr>
        <w:t>ZAR</w:t>
      </w:r>
      <w:r w:rsidRPr="00666B27">
        <w:rPr>
          <w:lang w:val="en-GB" w:eastAsia="en-GB"/>
        </w:rPr>
        <w:t xml:space="preserve"> 2.6 billion with an estimated 26 million GWh savings)</w:t>
      </w:r>
      <w:r w:rsidRPr="00666B27">
        <w:rPr>
          <w:vertAlign w:val="superscript"/>
          <w:lang w:val="en-GB" w:eastAsia="en-GB"/>
        </w:rPr>
        <w:t xml:space="preserve"> </w:t>
      </w:r>
      <w:r w:rsidRPr="0057545E">
        <w:rPr>
          <w:vertAlign w:val="superscript"/>
          <w:lang w:val="en-GB" w:eastAsia="en-GB"/>
        </w:rPr>
        <w:footnoteReference w:id="53"/>
      </w:r>
      <w:r w:rsidRPr="0057545E">
        <w:rPr>
          <w:lang w:val="en-GB" w:eastAsia="en-GB"/>
        </w:rPr>
        <w:t>.</w:t>
      </w:r>
    </w:p>
    <w:p w:rsidR="00771B53" w:rsidRDefault="0035491B" w:rsidP="00297A17">
      <w:pPr>
        <w:spacing w:after="0"/>
        <w:rPr>
          <w:u w:val="single"/>
          <w:lang w:val="en-GB" w:eastAsia="en-GB"/>
        </w:rPr>
      </w:pPr>
      <w:r>
        <w:rPr>
          <w:u w:val="single"/>
          <w:lang w:val="en-GB" w:eastAsia="en-GB"/>
        </w:rPr>
        <w:t>‘</w:t>
      </w:r>
    </w:p>
    <w:p w:rsidR="0035491B" w:rsidRPr="003B7D62" w:rsidRDefault="0035491B" w:rsidP="00297A17">
      <w:pPr>
        <w:spacing w:after="0"/>
        <w:rPr>
          <w:u w:val="single"/>
          <w:lang w:val="en-GB" w:eastAsia="en-GB"/>
        </w:rPr>
      </w:pPr>
    </w:p>
    <w:p w:rsidR="00CA3C14" w:rsidRPr="00666B27" w:rsidRDefault="00CA3C14" w:rsidP="00297A17">
      <w:pPr>
        <w:spacing w:after="0"/>
        <w:rPr>
          <w:u w:val="single"/>
          <w:lang w:val="en-GB" w:eastAsia="en-GB"/>
        </w:rPr>
      </w:pPr>
      <w:bookmarkStart w:id="290" w:name="_Hlk4679383"/>
      <w:r w:rsidRPr="004722F0">
        <w:rPr>
          <w:u w:val="single"/>
          <w:lang w:val="en-GB" w:eastAsia="en-GB"/>
        </w:rPr>
        <w:lastRenderedPageBreak/>
        <w:t>Financing models</w:t>
      </w:r>
    </w:p>
    <w:p w:rsidR="00CA3C14" w:rsidRPr="00666B27" w:rsidRDefault="00CA3C14" w:rsidP="00297A17">
      <w:pPr>
        <w:spacing w:after="0"/>
        <w:rPr>
          <w:lang w:val="en-GB" w:eastAsia="en-GB"/>
        </w:rPr>
      </w:pPr>
    </w:p>
    <w:p w:rsidR="00CA3C14" w:rsidRPr="00666B27" w:rsidRDefault="00CA3C14" w:rsidP="00297A17">
      <w:pPr>
        <w:spacing w:after="0"/>
        <w:rPr>
          <w:i/>
          <w:lang w:val="en-GB" w:eastAsia="en-GB"/>
        </w:rPr>
      </w:pPr>
      <w:r w:rsidRPr="00666B27">
        <w:rPr>
          <w:i/>
          <w:lang w:val="en-GB" w:eastAsia="en-GB"/>
        </w:rPr>
        <w:t>1) Standard project development – grant and debt funding</w:t>
      </w:r>
    </w:p>
    <w:p w:rsidR="00CA3C14" w:rsidRPr="00666B27" w:rsidRDefault="00CA3C14" w:rsidP="00297A17">
      <w:pPr>
        <w:spacing w:after="0"/>
        <w:rPr>
          <w:i/>
          <w:lang w:val="en-GB" w:eastAsia="en-GB"/>
        </w:rPr>
      </w:pPr>
    </w:p>
    <w:p w:rsidR="00CA3C14" w:rsidRPr="00666B27" w:rsidRDefault="00CA3C14" w:rsidP="00297A17">
      <w:pPr>
        <w:spacing w:after="0"/>
        <w:rPr>
          <w:lang w:val="en-GB" w:eastAsia="en-GB"/>
        </w:rPr>
      </w:pPr>
      <w:r w:rsidRPr="00666B27">
        <w:rPr>
          <w:lang w:val="en-GB" w:eastAsia="en-GB"/>
        </w:rPr>
        <w:t xml:space="preserve">The traditional model separates the project development from the funding of energy efficiency projects. The end-client develops a set of requirements and runs a selection process for the installation of the project in a process separated from the acquisition of funding for the project. It requires the end-clients to be technically competent in the development of adequate Terms of Reference for the project and be able to </w:t>
      </w:r>
      <w:r w:rsidR="00C92AFF" w:rsidRPr="00666B27">
        <w:rPr>
          <w:noProof/>
          <w:lang w:val="en-GB" w:eastAsia="en-GB"/>
        </w:rPr>
        <w:t>analyse</w:t>
      </w:r>
      <w:r w:rsidRPr="00666B27">
        <w:rPr>
          <w:lang w:val="en-GB" w:eastAsia="en-GB"/>
        </w:rPr>
        <w:t xml:space="preserve"> the technical proposals from the supplier/installer.</w:t>
      </w:r>
    </w:p>
    <w:p w:rsidR="00CA3C14" w:rsidRPr="00666B27" w:rsidRDefault="00CA3C14" w:rsidP="00297A17">
      <w:pPr>
        <w:spacing w:after="0"/>
        <w:rPr>
          <w:lang w:val="en-GB" w:eastAsia="en-GB"/>
        </w:rPr>
      </w:pPr>
    </w:p>
    <w:p w:rsidR="00CA3C14" w:rsidRPr="00666B27" w:rsidRDefault="00CA3C14" w:rsidP="00297A17">
      <w:pPr>
        <w:spacing w:after="0"/>
        <w:rPr>
          <w:lang w:val="en-GB" w:eastAsia="en-GB"/>
        </w:rPr>
      </w:pPr>
      <w:r w:rsidRPr="00666B27">
        <w:rPr>
          <w:lang w:val="en-GB" w:eastAsia="en-GB"/>
        </w:rPr>
        <w:t xml:space="preserve">In </w:t>
      </w:r>
      <w:r w:rsidRPr="00666B27">
        <w:rPr>
          <w:u w:val="single"/>
          <w:lang w:val="en-GB" w:eastAsia="en-GB"/>
        </w:rPr>
        <w:t xml:space="preserve">grant funding </w:t>
      </w:r>
      <w:r w:rsidRPr="00666B27">
        <w:rPr>
          <w:lang w:val="en-GB" w:eastAsia="en-GB"/>
        </w:rPr>
        <w:t xml:space="preserve">cases, the funds are provided </w:t>
      </w:r>
      <w:proofErr w:type="gramStart"/>
      <w:r w:rsidRPr="00666B27">
        <w:rPr>
          <w:lang w:val="en-GB" w:eastAsia="en-GB"/>
        </w:rPr>
        <w:t>as long as</w:t>
      </w:r>
      <w:proofErr w:type="gramEnd"/>
      <w:r w:rsidRPr="00666B27">
        <w:rPr>
          <w:lang w:val="en-GB" w:eastAsia="en-GB"/>
        </w:rPr>
        <w:t xml:space="preserve"> the projects meet certain criteria</w:t>
      </w:r>
      <w:r w:rsidR="007D0DC9" w:rsidRPr="00666B27">
        <w:rPr>
          <w:lang w:val="en-GB" w:eastAsia="en-GB"/>
        </w:rPr>
        <w:t xml:space="preserve"> (that can be very </w:t>
      </w:r>
      <w:r w:rsidRPr="00666B27">
        <w:rPr>
          <w:lang w:val="en-GB" w:eastAsia="en-GB"/>
        </w:rPr>
        <w:t xml:space="preserve">detailed and cumbersome to </w:t>
      </w:r>
      <w:r w:rsidR="007D0DC9" w:rsidRPr="00666B27">
        <w:rPr>
          <w:noProof/>
          <w:lang w:val="en-GB" w:eastAsia="en-GB"/>
        </w:rPr>
        <w:t>analyse</w:t>
      </w:r>
      <w:r w:rsidRPr="00666B27">
        <w:rPr>
          <w:lang w:val="en-GB" w:eastAsia="en-GB"/>
        </w:rPr>
        <w:t xml:space="preserve"> for the </w:t>
      </w:r>
      <w:r w:rsidR="007D0DC9" w:rsidRPr="00666B27">
        <w:rPr>
          <w:lang w:val="en-GB" w:eastAsia="en-GB"/>
        </w:rPr>
        <w:t>c</w:t>
      </w:r>
      <w:r w:rsidRPr="00666B27">
        <w:rPr>
          <w:lang w:val="en-GB" w:eastAsia="en-GB"/>
        </w:rPr>
        <w:t>lient</w:t>
      </w:r>
      <w:r w:rsidR="007D0DC9" w:rsidRPr="00666B27">
        <w:rPr>
          <w:lang w:val="en-GB" w:eastAsia="en-GB"/>
        </w:rPr>
        <w:t>)</w:t>
      </w:r>
      <w:r w:rsidRPr="00666B27">
        <w:rPr>
          <w:lang w:val="en-GB" w:eastAsia="en-GB"/>
        </w:rPr>
        <w:t>. The reason is that grant funding often has a higher-level objective, and the grants are only provided with a very strict set of criteria that perfectly matches this objective. This creates the risk of developing projects that are suitable for this higher-level objective but would otherwise have limited demand from the end</w:t>
      </w:r>
      <w:r w:rsidR="007D0DC9" w:rsidRPr="00666B27">
        <w:rPr>
          <w:lang w:val="en-GB" w:eastAsia="en-GB"/>
        </w:rPr>
        <w:t xml:space="preserve"> user</w:t>
      </w:r>
      <w:r w:rsidR="00C92AFF" w:rsidRPr="00666B27">
        <w:rPr>
          <w:lang w:val="en-GB" w:eastAsia="en-GB"/>
        </w:rPr>
        <w:t xml:space="preserve"> (uncertain ‘ownership’ by the client). The performance risk stays with the client.</w:t>
      </w:r>
    </w:p>
    <w:p w:rsidR="00CA3C14" w:rsidRPr="00666B27" w:rsidRDefault="00CA3C14" w:rsidP="00297A17">
      <w:pPr>
        <w:spacing w:after="0"/>
        <w:rPr>
          <w:lang w:val="en-GB" w:eastAsia="en-GB"/>
        </w:rPr>
      </w:pPr>
    </w:p>
    <w:p w:rsidR="005A5E8B" w:rsidRPr="00666B27" w:rsidRDefault="005A5E8B" w:rsidP="005A5E8B">
      <w:pPr>
        <w:spacing w:after="0"/>
        <w:rPr>
          <w:lang w:val="en-GB" w:eastAsia="en-GB"/>
        </w:rPr>
      </w:pPr>
      <w:r w:rsidRPr="00666B27">
        <w:rPr>
          <w:lang w:val="en-GB" w:eastAsia="en-GB"/>
        </w:rPr>
        <w:t xml:space="preserve">Public sector clients typically follow very strict and regulated processes for capital expenditure projects such as energy efficiency projects. In the case of South Africa, these activities are primarily regulated by the Municipal Finance Management Act (MFMA) and the Municipal Systems Act (MSA). Important differences exist between the different types of municipalities, in areas such as their credit ratings, their revenue generating capacities and the level of financial support from the central government. The larger metropolitan municipalities (metros) generate a substantial part of their revenues from internal sources and the grants from the central government represent a much smaller portion of their funding. They also have </w:t>
      </w:r>
      <w:r w:rsidRPr="00666B27">
        <w:rPr>
          <w:noProof/>
          <w:lang w:val="en-GB" w:eastAsia="en-GB"/>
        </w:rPr>
        <w:t>investment</w:t>
      </w:r>
      <w:r w:rsidR="00C45283" w:rsidRPr="00666B27">
        <w:rPr>
          <w:noProof/>
          <w:lang w:val="en-GB" w:eastAsia="en-GB"/>
        </w:rPr>
        <w:t>-</w:t>
      </w:r>
      <w:r w:rsidRPr="00666B27">
        <w:rPr>
          <w:noProof/>
          <w:lang w:val="en-GB" w:eastAsia="en-GB"/>
        </w:rPr>
        <w:t>grade</w:t>
      </w:r>
      <w:r w:rsidRPr="00666B27">
        <w:rPr>
          <w:lang w:val="en-GB" w:eastAsia="en-GB"/>
        </w:rPr>
        <w:t xml:space="preserve"> ratings, facilitating their borrowing processes and achieving similar borrowing costs as those of the central government.</w:t>
      </w:r>
    </w:p>
    <w:p w:rsidR="005A5E8B" w:rsidRPr="00666B27" w:rsidRDefault="005A5E8B" w:rsidP="005A5E8B">
      <w:pPr>
        <w:spacing w:after="0"/>
        <w:rPr>
          <w:lang w:val="en-GB" w:eastAsia="en-GB"/>
        </w:rPr>
      </w:pPr>
    </w:p>
    <w:p w:rsidR="005A5E8B" w:rsidRPr="00666B27" w:rsidRDefault="005A5E8B" w:rsidP="005A5E8B">
      <w:pPr>
        <w:spacing w:after="0"/>
        <w:rPr>
          <w:lang w:val="en-GB" w:eastAsia="en-GB"/>
        </w:rPr>
      </w:pPr>
      <w:r w:rsidRPr="00666B27">
        <w:rPr>
          <w:lang w:val="en-GB" w:eastAsia="en-GB"/>
        </w:rPr>
        <w:t xml:space="preserve">South African municipalities have a clear incentive to reduce energy consumption from their own infrastructure, as the energy costs of street lights and distribution transformers are attributed to the municipality either indirectly (as non-chargeable electricity consumption) or directly (in the case that ESKOM manages the electricity supply to a certain area, street-light electricity bills are issued to the municipality). On the other hand, any reduction </w:t>
      </w:r>
      <w:r w:rsidRPr="00666B27">
        <w:rPr>
          <w:noProof/>
          <w:lang w:val="en-GB" w:eastAsia="en-GB"/>
        </w:rPr>
        <w:t>of</w:t>
      </w:r>
      <w:r w:rsidRPr="00666B27">
        <w:rPr>
          <w:lang w:val="en-GB" w:eastAsia="en-GB"/>
        </w:rPr>
        <w:t xml:space="preserve"> electricity consumption from private end-users would have a negative financial impact on the municipality, due to reduced revenue from the sale of electricity. However, due to the continuous strain on the electricity system municipalities are in general supportive of energy efficiency programs if they help to reduce peak loads and increase the security of supply.</w:t>
      </w:r>
    </w:p>
    <w:p w:rsidR="005A5E8B" w:rsidRPr="00666B27" w:rsidRDefault="005A5E8B" w:rsidP="00297A17">
      <w:pPr>
        <w:spacing w:after="0"/>
        <w:rPr>
          <w:lang w:val="en-GB" w:eastAsia="en-GB"/>
        </w:rPr>
      </w:pPr>
    </w:p>
    <w:p w:rsidR="005A5E8B" w:rsidRPr="00666B27" w:rsidRDefault="005A5E8B" w:rsidP="005A5E8B">
      <w:pPr>
        <w:spacing w:after="0"/>
        <w:rPr>
          <w:lang w:val="en-GB" w:eastAsia="en-GB"/>
        </w:rPr>
      </w:pPr>
      <w:r w:rsidRPr="00666B27">
        <w:rPr>
          <w:lang w:val="en-GB" w:eastAsia="en-GB"/>
        </w:rPr>
        <w:t xml:space="preserve">In South Africa, examples of government grant schemes are the Municipal Energy Efficiency and Demand Side Management (MEEDSM, </w:t>
      </w:r>
      <w:r w:rsidR="00497A93" w:rsidRPr="00666B27">
        <w:rPr>
          <w:lang w:val="en-GB" w:eastAsia="en-GB"/>
        </w:rPr>
        <w:t>administered</w:t>
      </w:r>
      <w:r w:rsidRPr="00666B27">
        <w:rPr>
          <w:lang w:val="en-GB" w:eastAsia="en-GB"/>
        </w:rPr>
        <w:t xml:space="preserve"> by DOE), see </w:t>
      </w:r>
      <w:r w:rsidRPr="00353542">
        <w:rPr>
          <w:lang w:val="en-GB" w:eastAsia="en-GB"/>
        </w:rPr>
        <w:fldChar w:fldCharType="begin"/>
      </w:r>
      <w:r w:rsidRPr="00666B27">
        <w:rPr>
          <w:lang w:val="en-GB" w:eastAsia="en-GB"/>
        </w:rPr>
        <w:instrText xml:space="preserve"> REF _Ref535776767 \h </w:instrText>
      </w:r>
      <w:r w:rsidRPr="00353542">
        <w:rPr>
          <w:lang w:val="en-GB" w:eastAsia="en-GB"/>
        </w:rPr>
      </w:r>
      <w:r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34</w:t>
      </w:r>
      <w:r w:rsidRPr="00353542">
        <w:rPr>
          <w:lang w:val="en-GB" w:eastAsia="en-GB"/>
        </w:rPr>
        <w:fldChar w:fldCharType="end"/>
      </w:r>
      <w:r w:rsidRPr="0057545E">
        <w:rPr>
          <w:lang w:val="en-GB" w:eastAsia="en-GB"/>
        </w:rPr>
        <w:t xml:space="preserve">  and the Municipal Infrastructure Grant (which excludes the metropolitan municipalities), </w:t>
      </w:r>
      <w:r w:rsidR="00DA0E7E" w:rsidRPr="00353542">
        <w:rPr>
          <w:lang w:val="en-GB" w:eastAsia="en-GB"/>
        </w:rPr>
        <w:t>adm</w:t>
      </w:r>
      <w:r w:rsidR="00DA0E7E" w:rsidRPr="003B7D62">
        <w:rPr>
          <w:lang w:val="en-GB" w:eastAsia="en-GB"/>
        </w:rPr>
        <w:t>ini</w:t>
      </w:r>
      <w:r w:rsidR="00DA0E7E" w:rsidRPr="004722F0">
        <w:rPr>
          <w:lang w:val="en-GB" w:eastAsia="en-GB"/>
        </w:rPr>
        <w:t>stered by the Department of Cooperative Governance, see</w:t>
      </w:r>
      <w:r w:rsidRPr="00666B27">
        <w:rPr>
          <w:lang w:val="en-GB" w:eastAsia="en-GB"/>
        </w:rPr>
        <w:t xml:space="preserve"> </w:t>
      </w:r>
      <w:r w:rsidRPr="00353542">
        <w:rPr>
          <w:lang w:val="en-GB" w:eastAsia="en-GB"/>
        </w:rPr>
        <w:fldChar w:fldCharType="begin"/>
      </w:r>
      <w:r w:rsidRPr="00666B27">
        <w:rPr>
          <w:lang w:val="en-GB" w:eastAsia="en-GB"/>
        </w:rPr>
        <w:instrText xml:space="preserve"> REF _Ref535776809 \h </w:instrText>
      </w:r>
      <w:r w:rsidRPr="00353542">
        <w:rPr>
          <w:lang w:val="en-GB" w:eastAsia="en-GB"/>
        </w:rPr>
      </w:r>
      <w:r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22</w:t>
      </w:r>
      <w:r w:rsidRPr="00353542">
        <w:rPr>
          <w:lang w:val="en-GB" w:eastAsia="en-GB"/>
        </w:rPr>
        <w:fldChar w:fldCharType="end"/>
      </w:r>
      <w:r w:rsidRPr="0057545E">
        <w:rPr>
          <w:lang w:val="en-GB" w:eastAsia="en-GB"/>
        </w:rPr>
        <w:t>). Other examples are the Integrated National Electrification Program (both for municipalities and ESKOM), and the Urban Settlements Development Grant (which is focused on providing housing to</w:t>
      </w:r>
      <w:r w:rsidRPr="00353542">
        <w:rPr>
          <w:lang w:val="en-GB" w:eastAsia="en-GB"/>
        </w:rPr>
        <w:t xml:space="preserve"> reduce the numbers of informal settlements</w:t>
      </w:r>
      <w:r w:rsidR="00DA0E7E" w:rsidRPr="003B7D62">
        <w:rPr>
          <w:lang w:val="en-GB" w:eastAsia="en-GB"/>
        </w:rPr>
        <w:t>; administered by National Treasury</w:t>
      </w:r>
      <w:r w:rsidRPr="004722F0">
        <w:rPr>
          <w:lang w:val="en-GB" w:eastAsia="en-GB"/>
        </w:rPr>
        <w:t>).</w:t>
      </w:r>
    </w:p>
    <w:p w:rsidR="005A5E8B" w:rsidRPr="00666B27" w:rsidRDefault="005A5E8B" w:rsidP="00297A17">
      <w:pPr>
        <w:spacing w:after="0"/>
        <w:rPr>
          <w:lang w:val="en-GB" w:eastAsia="en-GB"/>
        </w:rPr>
      </w:pPr>
    </w:p>
    <w:p w:rsidR="005A5E8B" w:rsidRPr="00666B27" w:rsidRDefault="00DA0E7E" w:rsidP="00297A17">
      <w:pPr>
        <w:spacing w:after="0"/>
        <w:rPr>
          <w:lang w:val="en-GB" w:eastAsia="en-GB"/>
        </w:rPr>
      </w:pPr>
      <w:r w:rsidRPr="00666B27">
        <w:rPr>
          <w:lang w:val="en-GB" w:eastAsia="en-GB"/>
        </w:rPr>
        <w:t>These programs, in their current form, have been proven insufficient to address the transition towards higher efficiency LED lighting and distribution transformers, and funding is often used to reduce the backlog of issues in the infrastructure. Despite the insufficient grant funding available from the central government, municipalities</w:t>
      </w:r>
      <w:proofErr w:type="gramStart"/>
      <w:r w:rsidRPr="00666B27">
        <w:rPr>
          <w:lang w:val="en-GB" w:eastAsia="en-GB"/>
        </w:rPr>
        <w:t xml:space="preserve">, in </w:t>
      </w:r>
      <w:r w:rsidRPr="00666B27">
        <w:rPr>
          <w:noProof/>
          <w:lang w:val="en-GB" w:eastAsia="en-GB"/>
        </w:rPr>
        <w:t>particular</w:t>
      </w:r>
      <w:r w:rsidR="00C45283" w:rsidRPr="00666B27">
        <w:rPr>
          <w:noProof/>
          <w:lang w:val="en-GB" w:eastAsia="en-GB"/>
        </w:rPr>
        <w:t>,</w:t>
      </w:r>
      <w:r w:rsidRPr="00666B27">
        <w:rPr>
          <w:lang w:val="en-GB" w:eastAsia="en-GB"/>
        </w:rPr>
        <w:t xml:space="preserve"> those</w:t>
      </w:r>
      <w:proofErr w:type="gramEnd"/>
      <w:r w:rsidRPr="00666B27">
        <w:rPr>
          <w:lang w:val="en-GB" w:eastAsia="en-GB"/>
        </w:rPr>
        <w:t xml:space="preserve"> from rural areas, are accustomed to sourcing a substantial part of their revenue from grants, and it is an integral part of their expectations to receive grant funding for energy efficiency projects.</w:t>
      </w:r>
    </w:p>
    <w:bookmarkEnd w:id="290"/>
    <w:p w:rsidR="005A5E8B" w:rsidRPr="00666B27" w:rsidRDefault="005A5E8B" w:rsidP="00297A17">
      <w:pPr>
        <w:spacing w:after="0"/>
        <w:rPr>
          <w:lang w:val="en-GB" w:eastAsia="en-GB"/>
        </w:rPr>
      </w:pPr>
    </w:p>
    <w:p w:rsidR="002075FC" w:rsidRPr="00666B27" w:rsidRDefault="002075FC" w:rsidP="009041E1">
      <w:pPr>
        <w:spacing w:after="0"/>
        <w:rPr>
          <w:u w:val="single"/>
          <w:lang w:val="en-GB" w:eastAsia="en-GB"/>
        </w:rPr>
      </w:pPr>
    </w:p>
    <w:p w:rsidR="002075FC" w:rsidRPr="0057545E" w:rsidRDefault="003A2690" w:rsidP="009041E1">
      <w:pPr>
        <w:spacing w:after="0"/>
        <w:rPr>
          <w:u w:val="single"/>
          <w:lang w:val="en-GB" w:eastAsia="en-GB"/>
        </w:rPr>
      </w:pPr>
      <w:r>
        <w:rPr>
          <w:noProof/>
        </w:rPr>
        <w:lastRenderedPageBreak/>
        <mc:AlternateContent>
          <mc:Choice Requires="wps">
            <w:drawing>
              <wp:anchor distT="107950" distB="107950" distL="144145" distR="144145" simplePos="0" relativeHeight="251696128" behindDoc="1" locked="0" layoutInCell="1" allowOverlap="1">
                <wp:simplePos x="0" y="0"/>
                <wp:positionH relativeFrom="margin">
                  <wp:align>left</wp:align>
                </wp:positionH>
                <wp:positionV relativeFrom="margin">
                  <wp:posOffset>260985</wp:posOffset>
                </wp:positionV>
                <wp:extent cx="6386830" cy="6781800"/>
                <wp:effectExtent l="0" t="0" r="0" b="0"/>
                <wp:wrapTopAndBottom/>
                <wp:docPr id="228"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6830" cy="6781800"/>
                        </a:xfrm>
                        <a:prstGeom prst="rect">
                          <a:avLst/>
                        </a:prstGeom>
                        <a:solidFill>
                          <a:srgbClr val="ED7D31">
                            <a:lumMod val="20000"/>
                            <a:lumOff val="80000"/>
                          </a:srgbClr>
                        </a:solidFill>
                        <a:ln>
                          <a:noFill/>
                        </a:ln>
                      </wps:spPr>
                      <wps:txbx>
                        <w:txbxContent>
                          <w:p w:rsidR="00540FEA" w:rsidRDefault="00540FEA" w:rsidP="002075FC">
                            <w:pPr>
                              <w:pStyle w:val="Caption"/>
                              <w:rPr>
                                <w:rFonts w:ascii="Arial" w:hAnsi="Arial" w:cs="Arial"/>
                                <w:color w:val="2E74B5"/>
                                <w:sz w:val="18"/>
                              </w:rPr>
                            </w:pPr>
                            <w:bookmarkStart w:id="291" w:name="_Ref535776767"/>
                            <w:bookmarkStart w:id="292" w:name="_Toc17985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34</w:t>
                            </w:r>
                            <w:r w:rsidRPr="00A21E05">
                              <w:rPr>
                                <w:rFonts w:ascii="Arial" w:hAnsi="Arial" w:cs="Arial"/>
                                <w:color w:val="2E74B5"/>
                                <w:sz w:val="18"/>
                              </w:rPr>
                              <w:fldChar w:fldCharType="end"/>
                            </w:r>
                            <w:bookmarkEnd w:id="291"/>
                            <w:r>
                              <w:rPr>
                                <w:rFonts w:ascii="Arial" w:hAnsi="Arial" w:cs="Arial"/>
                                <w:color w:val="2E74B5"/>
                                <w:sz w:val="18"/>
                              </w:rPr>
                              <w:tab/>
                              <w:t>Government-sponsored schemes for energy efficiency and municipal energy efficiency</w:t>
                            </w:r>
                            <w:bookmarkEnd w:id="292"/>
                          </w:p>
                          <w:p w:rsidR="00540FEA" w:rsidRPr="00CC313E" w:rsidRDefault="00540FEA" w:rsidP="002075FC"/>
                          <w:p w:rsidR="00540FEA" w:rsidRPr="00771B53" w:rsidRDefault="00540FEA" w:rsidP="002075FC">
                            <w:pPr>
                              <w:spacing w:after="0"/>
                              <w:rPr>
                                <w:noProof/>
                                <w:sz w:val="19"/>
                                <w:szCs w:val="19"/>
                              </w:rPr>
                            </w:pPr>
                            <w:r w:rsidRPr="00771B53">
                              <w:rPr>
                                <w:noProof/>
                                <w:sz w:val="19"/>
                                <w:szCs w:val="19"/>
                              </w:rPr>
                              <w:t xml:space="preserve">Under the </w:t>
                            </w:r>
                            <w:r w:rsidRPr="00E845F2">
                              <w:rPr>
                                <w:b/>
                                <w:noProof/>
                                <w:sz w:val="19"/>
                                <w:szCs w:val="19"/>
                              </w:rPr>
                              <w:t>Municipal Energy Efficiency Demand-Side Management (MEEDSM) programme</w:t>
                            </w:r>
                            <w:r w:rsidRPr="00771B53">
                              <w:rPr>
                                <w:noProof/>
                                <w:sz w:val="19"/>
                                <w:szCs w:val="19"/>
                              </w:rPr>
                              <w:t>, established by the Department of Energy</w:t>
                            </w:r>
                            <w:r>
                              <w:rPr>
                                <w:noProof/>
                                <w:sz w:val="19"/>
                                <w:szCs w:val="19"/>
                              </w:rPr>
                              <w:t>, a</w:t>
                            </w:r>
                            <w:r w:rsidRPr="00E845F2">
                              <w:rPr>
                                <w:noProof/>
                                <w:sz w:val="19"/>
                                <w:szCs w:val="19"/>
                              </w:rPr>
                              <w:t>llocated by the National Treasury, through the Division of Revenue Act (DORA)</w:t>
                            </w:r>
                            <w:r>
                              <w:rPr>
                                <w:noProof/>
                                <w:sz w:val="19"/>
                                <w:szCs w:val="19"/>
                              </w:rPr>
                              <w:t xml:space="preserve">, </w:t>
                            </w:r>
                            <w:r w:rsidRPr="00771B53">
                              <w:rPr>
                                <w:noProof/>
                                <w:sz w:val="19"/>
                                <w:szCs w:val="19"/>
                              </w:rPr>
                              <w:t xml:space="preserve">municipalities can receive grants for the planning and implementation of energy efficient technologies ranging from traffic and street lighting to energy-efficient technologies in buildings and water service infrastructure. By means of Calls for Proposals, municipalities can submit EE and DSM proposals. The cumulative energy saved as a result of the programme based on projected targets is approximately 1.8 PJ, mainly through street lighting retrofits. The programme has delivered grants to 68 municipalities in South Africa since 2009 with a budget of </w:t>
                            </w:r>
                            <w:r>
                              <w:rPr>
                                <w:noProof/>
                                <w:sz w:val="19"/>
                                <w:szCs w:val="19"/>
                              </w:rPr>
                              <w:t>ZA</w:t>
                            </w:r>
                            <w:r w:rsidRPr="00771B53">
                              <w:rPr>
                                <w:noProof/>
                                <w:sz w:val="19"/>
                                <w:szCs w:val="19"/>
                              </w:rPr>
                              <w:t xml:space="preserve">R 1264 million (2009-2015/16) and planned energy savings of 500 GWh (1.8 PJ), benefitting over 32 million people. With GIZ-support, DoE is implementing the </w:t>
                            </w:r>
                            <w:r w:rsidRPr="00DA70CA">
                              <w:rPr>
                                <w:i/>
                                <w:noProof/>
                                <w:sz w:val="19"/>
                                <w:szCs w:val="19"/>
                              </w:rPr>
                              <w:t xml:space="preserve">EE Street Lighting Retrofit Project (2014-2019), </w:t>
                            </w:r>
                            <w:r w:rsidRPr="00771B53">
                              <w:rPr>
                                <w:noProof/>
                                <w:sz w:val="19"/>
                                <w:szCs w:val="19"/>
                              </w:rPr>
                              <w:t>which provides technical assistance, capacity building (at national and municipal level hardware infrastructure investments aiming at retrofitting about 12,000 MV as well as retrofitting HPS with LED (highways, high masts, and BRT corridors). The budget is approximately EUR 5 million, of which EUR 3.2 million for procurement (street lighting).</w:t>
                            </w:r>
                          </w:p>
                          <w:p w:rsidR="00540FEA" w:rsidRPr="00771B53" w:rsidRDefault="00540FEA" w:rsidP="002075FC">
                            <w:pPr>
                              <w:spacing w:after="0"/>
                              <w:rPr>
                                <w:noProof/>
                                <w:sz w:val="19"/>
                                <w:szCs w:val="19"/>
                              </w:rPr>
                            </w:pPr>
                          </w:p>
                          <w:p w:rsidR="00540FEA" w:rsidRPr="00771B53" w:rsidRDefault="00540FEA" w:rsidP="002075FC">
                            <w:pPr>
                              <w:spacing w:after="0"/>
                              <w:rPr>
                                <w:noProof/>
                                <w:sz w:val="19"/>
                                <w:szCs w:val="19"/>
                              </w:rPr>
                            </w:pPr>
                            <w:r w:rsidRPr="00771B53">
                              <w:rPr>
                                <w:noProof/>
                                <w:sz w:val="19"/>
                                <w:szCs w:val="19"/>
                              </w:rPr>
                              <w:t xml:space="preserve">For the coming years, the </w:t>
                            </w:r>
                            <w:r>
                              <w:rPr>
                                <w:noProof/>
                                <w:sz w:val="19"/>
                                <w:szCs w:val="19"/>
                              </w:rPr>
                              <w:t>M</w:t>
                            </w:r>
                            <w:r w:rsidRPr="00771B53">
                              <w:rPr>
                                <w:noProof/>
                                <w:sz w:val="19"/>
                                <w:szCs w:val="19"/>
                              </w:rPr>
                              <w:t xml:space="preserve">EEDSM programme will continue with a budget of about </w:t>
                            </w:r>
                            <w:r>
                              <w:rPr>
                                <w:noProof/>
                                <w:sz w:val="19"/>
                                <w:szCs w:val="19"/>
                              </w:rPr>
                              <w:t>ZAR</w:t>
                            </w:r>
                            <w:r w:rsidRPr="00771B53">
                              <w:rPr>
                                <w:noProof/>
                                <w:sz w:val="19"/>
                                <w:szCs w:val="19"/>
                              </w:rPr>
                              <w:t xml:space="preserve"> 200 million a year </w:t>
                            </w:r>
                            <w:r>
                              <w:rPr>
                                <w:noProof/>
                                <w:sz w:val="19"/>
                                <w:szCs w:val="19"/>
                              </w:rPr>
                              <w:t>(</w:t>
                            </w:r>
                            <w:r w:rsidRPr="00E845F2">
                              <w:rPr>
                                <w:noProof/>
                                <w:sz w:val="19"/>
                                <w:szCs w:val="19"/>
                              </w:rPr>
                              <w:t>ZAR 215 million in the 2018-19 budget</w:t>
                            </w:r>
                            <w:r>
                              <w:rPr>
                                <w:noProof/>
                                <w:sz w:val="19"/>
                                <w:szCs w:val="19"/>
                              </w:rPr>
                              <w:t>).</w:t>
                            </w:r>
                            <w:r w:rsidRPr="00771B53">
                              <w:rPr>
                                <w:noProof/>
                                <w:sz w:val="19"/>
                                <w:szCs w:val="19"/>
                              </w:rPr>
                              <w:t xml:space="preserve"> </w:t>
                            </w:r>
                            <w:r>
                              <w:rPr>
                                <w:noProof/>
                                <w:sz w:val="19"/>
                                <w:szCs w:val="19"/>
                              </w:rPr>
                              <w:t xml:space="preserve"> Nonetheless, the programme has reached </w:t>
                            </w:r>
                            <w:r w:rsidRPr="00DA70CA">
                              <w:rPr>
                                <w:noProof/>
                                <w:sz w:val="19"/>
                                <w:szCs w:val="19"/>
                              </w:rPr>
                              <w:t>annually just 12% of the municipalities in South Africa.</w:t>
                            </w:r>
                            <w:r>
                              <w:rPr>
                                <w:noProof/>
                                <w:sz w:val="19"/>
                                <w:szCs w:val="19"/>
                              </w:rPr>
                              <w:t xml:space="preserve"> To make more funding avilable to more municipalities, </w:t>
                            </w:r>
                            <w:r w:rsidRPr="00771B53">
                              <w:rPr>
                                <w:noProof/>
                                <w:sz w:val="19"/>
                                <w:szCs w:val="19"/>
                              </w:rPr>
                              <w:t>DoE is now discussing the possibility to reduce the level of grant funding under the MEEDSM from 100% of the project value to a lower percentage as a way to leverage the grant program, increase the number of projects and municipalities that receive funding and let the obtain funding from other sources. However, such a proposal will be opposed by many of the financially constrained municipalities.</w:t>
                            </w:r>
                          </w:p>
                          <w:p w:rsidR="00540FEA" w:rsidRPr="00771B53" w:rsidRDefault="00540FEA" w:rsidP="002075FC">
                            <w:pPr>
                              <w:spacing w:after="0"/>
                              <w:rPr>
                                <w:noProof/>
                                <w:sz w:val="19"/>
                                <w:szCs w:val="19"/>
                              </w:rPr>
                            </w:pPr>
                          </w:p>
                          <w:p w:rsidR="00540FEA" w:rsidRPr="00771B53" w:rsidRDefault="00540FEA" w:rsidP="002075FC">
                            <w:pPr>
                              <w:spacing w:after="0"/>
                              <w:rPr>
                                <w:noProof/>
                                <w:sz w:val="19"/>
                                <w:szCs w:val="19"/>
                              </w:rPr>
                            </w:pPr>
                            <w:r w:rsidRPr="00771B53">
                              <w:rPr>
                                <w:noProof/>
                                <w:sz w:val="19"/>
                                <w:szCs w:val="19"/>
                              </w:rPr>
                              <w:t xml:space="preserve">DoE has made funds available through the </w:t>
                            </w:r>
                            <w:r w:rsidRPr="00E845F2">
                              <w:rPr>
                                <w:b/>
                                <w:noProof/>
                                <w:sz w:val="19"/>
                                <w:szCs w:val="19"/>
                              </w:rPr>
                              <w:t>Approach to Distribution Asset Management (ADAM</w:t>
                            </w:r>
                            <w:r w:rsidRPr="00771B53">
                              <w:rPr>
                                <w:noProof/>
                                <w:sz w:val="19"/>
                                <w:szCs w:val="19"/>
                              </w:rPr>
                              <w:t xml:space="preserve">) programme that will deal with the funding of the maintenance.  Most of the infrastructure used by municipalities and Eskom is over 40 years old and it needs billions of Rand to be replaced or refurbished. In 2008, the maintenance backlog was </w:t>
                            </w:r>
                            <w:r>
                              <w:rPr>
                                <w:noProof/>
                                <w:sz w:val="19"/>
                                <w:szCs w:val="19"/>
                              </w:rPr>
                              <w:t>ZA</w:t>
                            </w:r>
                            <w:r w:rsidRPr="00771B53">
                              <w:rPr>
                                <w:noProof/>
                                <w:sz w:val="19"/>
                                <w:szCs w:val="19"/>
                              </w:rPr>
                              <w:t xml:space="preserve">R 27 billion and in 2014 this had increased to </w:t>
                            </w:r>
                            <w:r>
                              <w:rPr>
                                <w:noProof/>
                                <w:sz w:val="19"/>
                                <w:szCs w:val="19"/>
                              </w:rPr>
                              <w:t>ZAR</w:t>
                            </w:r>
                            <w:r w:rsidRPr="00771B53">
                              <w:rPr>
                                <w:noProof/>
                                <w:sz w:val="19"/>
                                <w:szCs w:val="19"/>
                              </w:rPr>
                              <w:t xml:space="preserve"> 68 billion (municipalities: </w:t>
                            </w:r>
                            <w:r>
                              <w:rPr>
                                <w:noProof/>
                                <w:sz w:val="19"/>
                                <w:szCs w:val="19"/>
                              </w:rPr>
                              <w:t>ZA</w:t>
                            </w:r>
                            <w:r w:rsidRPr="00771B53">
                              <w:rPr>
                                <w:noProof/>
                                <w:sz w:val="19"/>
                                <w:szCs w:val="19"/>
                              </w:rPr>
                              <w:t xml:space="preserve">R 32 billion and ESKOM: </w:t>
                            </w:r>
                            <w:r>
                              <w:rPr>
                                <w:noProof/>
                                <w:sz w:val="19"/>
                                <w:szCs w:val="19"/>
                              </w:rPr>
                              <w:t>ZA</w:t>
                            </w:r>
                            <w:r w:rsidRPr="00771B53">
                              <w:rPr>
                                <w:noProof/>
                                <w:sz w:val="19"/>
                                <w:szCs w:val="19"/>
                              </w:rPr>
                              <w:t xml:space="preserve">R 36 billion). Municipalities collectively owe Eskom </w:t>
                            </w:r>
                            <w:r>
                              <w:rPr>
                                <w:noProof/>
                                <w:sz w:val="19"/>
                                <w:szCs w:val="19"/>
                              </w:rPr>
                              <w:t>ZA</w:t>
                            </w:r>
                            <w:r w:rsidRPr="00771B53">
                              <w:rPr>
                                <w:noProof/>
                                <w:sz w:val="19"/>
                                <w:szCs w:val="19"/>
                              </w:rPr>
                              <w:t>R 11 billion over failure to pay the power utility and growing at the alarming rate of R 2.5 billion per annum (based on a study adone by Electricity Distribution Industry Holdings, EDIH).</w:t>
                            </w:r>
                            <w:r>
                              <w:rPr>
                                <w:noProof/>
                                <w:sz w:val="19"/>
                                <w:szCs w:val="19"/>
                              </w:rPr>
                              <w:t xml:space="preserve"> </w:t>
                            </w:r>
                            <w:r w:rsidRPr="00771B53">
                              <w:rPr>
                                <w:noProof/>
                                <w:sz w:val="19"/>
                                <w:szCs w:val="19"/>
                              </w:rPr>
                              <w:t>The National Energy Regulator of South Africa warned that 6%</w:t>
                            </w:r>
                            <w:r>
                              <w:rPr>
                                <w:noProof/>
                                <w:sz w:val="19"/>
                                <w:szCs w:val="19"/>
                              </w:rPr>
                              <w:t xml:space="preserve"> o</w:t>
                            </w:r>
                            <w:r w:rsidRPr="00771B53">
                              <w:rPr>
                                <w:noProof/>
                                <w:sz w:val="19"/>
                                <w:szCs w:val="19"/>
                              </w:rPr>
                              <w:t>f electricity revenue of municipalities should go to the maintenance of infrastructure</w:t>
                            </w:r>
                            <w:r>
                              <w:rPr>
                                <w:noProof/>
                                <w:sz w:val="19"/>
                                <w:szCs w:val="19"/>
                              </w:rPr>
                              <w:t>,</w:t>
                            </w:r>
                          </w:p>
                          <w:p w:rsidR="00540FEA" w:rsidRPr="00771B53" w:rsidRDefault="00540FEA" w:rsidP="002075FC">
                            <w:pPr>
                              <w:spacing w:after="0"/>
                              <w:rPr>
                                <w:noProof/>
                                <w:sz w:val="19"/>
                                <w:szCs w:val="19"/>
                              </w:rPr>
                            </w:pPr>
                          </w:p>
                          <w:p w:rsidR="00540FEA" w:rsidRPr="00E845F2" w:rsidRDefault="00540FEA" w:rsidP="002075FC">
                            <w:pPr>
                              <w:spacing w:after="0"/>
                              <w:rPr>
                                <w:noProof/>
                                <w:sz w:val="19"/>
                                <w:szCs w:val="19"/>
                              </w:rPr>
                            </w:pPr>
                            <w:r w:rsidRPr="00771B53">
                              <w:rPr>
                                <w:noProof/>
                                <w:sz w:val="19"/>
                                <w:szCs w:val="19"/>
                              </w:rPr>
                              <w:t xml:space="preserve">In response to the power shortage and load shedding situation (described earlier), Eskom’s Energy Efficiency and Demand-side Management programme (EE-DSM, now called, </w:t>
                            </w:r>
                            <w:r w:rsidRPr="00E845F2">
                              <w:rPr>
                                <w:b/>
                                <w:noProof/>
                                <w:sz w:val="19"/>
                                <w:szCs w:val="19"/>
                              </w:rPr>
                              <w:t>IDM, Integrated demand management</w:t>
                            </w:r>
                            <w:r w:rsidRPr="00771B53">
                              <w:rPr>
                                <w:noProof/>
                                <w:sz w:val="19"/>
                                <w:szCs w:val="19"/>
                              </w:rPr>
                              <w:t xml:space="preserve">) embarked in 2008 on a campaign </w:t>
                            </w:r>
                            <w:r>
                              <w:rPr>
                                <w:noProof/>
                                <w:sz w:val="19"/>
                                <w:szCs w:val="19"/>
                              </w:rPr>
                              <w:t>to</w:t>
                            </w:r>
                            <w:r w:rsidRPr="00E845F2">
                              <w:rPr>
                                <w:noProof/>
                                <w:sz w:val="19"/>
                                <w:szCs w:val="19"/>
                              </w:rPr>
                              <w:t xml:space="preserve"> exchange incandescent bulbs in homes for more energy efficient CFL bulbs (free-of-charge, primarily in the low-income households). As of January 2017, more than 65 million had been distributed to homes across South Africa, making it one of the biggest energy-saving initiatives. Eskom has directly procured these lamps for delivery to householders with a door-to-door campaign method*. The electricity supply situation has stabilised, and since 2016 there has been an over-supply. In this context and given ESKOM’s funding constraints (described earlier), ESKOM is scaling back its IDM initiatives, now focussing solely on the residential CFL mass rollout and the ESCO programme</w:t>
                            </w:r>
                            <w:r>
                              <w:rPr>
                                <w:noProof/>
                                <w:sz w:val="19"/>
                                <w:szCs w:val="19"/>
                              </w:rPr>
                              <w:t>.**</w:t>
                            </w:r>
                            <w:r w:rsidRPr="00E845F2">
                              <w:rPr>
                                <w:noProof/>
                                <w:sz w:val="19"/>
                                <w:szCs w:val="19"/>
                              </w:rPr>
                              <w:t xml:space="preserve"> </w:t>
                            </w:r>
                            <w:r>
                              <w:rPr>
                                <w:noProof/>
                                <w:sz w:val="19"/>
                                <w:szCs w:val="19"/>
                              </w:rPr>
                              <w:t>However,</w:t>
                            </w:r>
                            <w:r w:rsidRPr="00E845F2">
                              <w:rPr>
                                <w:noProof/>
                                <w:sz w:val="19"/>
                                <w:szCs w:val="19"/>
                              </w:rPr>
                              <w:t xml:space="preserve"> the </w:t>
                            </w:r>
                            <w:r>
                              <w:rPr>
                                <w:noProof/>
                                <w:sz w:val="19"/>
                                <w:szCs w:val="19"/>
                              </w:rPr>
                              <w:t>CFL exchange</w:t>
                            </w:r>
                            <w:r w:rsidRPr="00E845F2">
                              <w:rPr>
                                <w:noProof/>
                                <w:sz w:val="19"/>
                                <w:szCs w:val="19"/>
                              </w:rPr>
                              <w:t xml:space="preserve"> program will end and Eskom has no plans to continue it (with LED technology) in the foreseeable future.</w:t>
                            </w:r>
                          </w:p>
                          <w:p w:rsidR="00540FEA" w:rsidRDefault="00540FEA" w:rsidP="002075FC">
                            <w:pPr>
                              <w:spacing w:after="0"/>
                              <w:rPr>
                                <w:i/>
                                <w:noProof/>
                                <w:sz w:val="19"/>
                                <w:szCs w:val="19"/>
                              </w:rPr>
                            </w:pPr>
                          </w:p>
                          <w:p w:rsidR="00540FEA" w:rsidRDefault="00540FEA" w:rsidP="002075FC">
                            <w:pPr>
                              <w:rPr>
                                <w:noProof/>
                                <w:sz w:val="18"/>
                                <w:szCs w:val="18"/>
                              </w:rPr>
                            </w:pPr>
                            <w:r w:rsidRPr="00E845F2">
                              <w:rPr>
                                <w:noProof/>
                                <w:sz w:val="19"/>
                                <w:szCs w:val="19"/>
                              </w:rPr>
                              <w:t>*</w:t>
                            </w:r>
                            <w:r>
                              <w:rPr>
                                <w:noProof/>
                                <w:sz w:val="19"/>
                                <w:szCs w:val="19"/>
                              </w:rPr>
                              <w:t xml:space="preserve"> </w:t>
                            </w:r>
                            <w:r w:rsidRPr="00E845F2">
                              <w:rPr>
                                <w:rFonts w:ascii="Arial" w:hAnsi="Arial" w:cs="Arial"/>
                                <w:noProof/>
                                <w:sz w:val="16"/>
                                <w:szCs w:val="16"/>
                              </w:rPr>
                              <w:t>The ESKOM EE-DSM programme also had a component that serves commercial buildings and the services are the Standard Offer (SO) and Standard Product (SP) most suited for residential and small commercial buildings, including efficient lighting (SP is for savings up to 250 kW). Eskom put the SO and SP rebate programmes on hold in 2014.</w:t>
                            </w:r>
                          </w:p>
                          <w:p w:rsidR="00540FEA" w:rsidRPr="00E845F2" w:rsidRDefault="00540FEA" w:rsidP="002075FC">
                            <w:pPr>
                              <w:rPr>
                                <w:noProof/>
                                <w:sz w:val="19"/>
                                <w:szCs w:val="19"/>
                              </w:rPr>
                            </w:pPr>
                            <w:r>
                              <w:rPr>
                                <w:noProof/>
                                <w:sz w:val="19"/>
                                <w:szCs w:val="19"/>
                              </w:rPr>
                              <w:t xml:space="preserve">** </w:t>
                            </w:r>
                            <w:r w:rsidRPr="00E845F2">
                              <w:rPr>
                                <w:rFonts w:ascii="Arial" w:hAnsi="Arial" w:cs="Arial"/>
                                <w:noProof/>
                                <w:sz w:val="16"/>
                                <w:szCs w:val="16"/>
                              </w:rPr>
                              <w:t>The ESCO pgramme considered funding for commercial and industrial sector project that were able to shift electrical load outside Eskom's evening peak periods.Project proposals were invited from ESCOs, project developers, or businesses with a turnover of less than ZAR 50 million</w:t>
                            </w:r>
                          </w:p>
                          <w:p w:rsidR="00540FEA" w:rsidRDefault="00540FEA" w:rsidP="002075FC">
                            <w:pPr>
                              <w:rPr>
                                <w:noProof/>
                                <w:sz w:val="18"/>
                                <w:szCs w:val="18"/>
                              </w:rPr>
                            </w:pPr>
                          </w:p>
                          <w:p w:rsidR="00540FEA" w:rsidRPr="00E845F2" w:rsidRDefault="00540FEA" w:rsidP="002075FC">
                            <w:pPr>
                              <w:rPr>
                                <w:noProof/>
                                <w:sz w:val="19"/>
                                <w:szCs w:val="19"/>
                              </w:rPr>
                            </w:pPr>
                          </w:p>
                          <w:p w:rsidR="00540FEA" w:rsidRPr="00E845F2" w:rsidRDefault="00540FEA" w:rsidP="002075FC">
                            <w:pPr>
                              <w:rPr>
                                <w:noProof/>
                                <w:sz w:val="19"/>
                                <w:szCs w:val="19"/>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49" type="#_x0000_t202" style="position:absolute;left:0;text-align:left;margin-left:0;margin-top:20.55pt;width:502.9pt;height:534pt;z-index:-251620352;visibility:visible;mso-wrap-style:square;mso-width-percent:0;mso-height-percent:0;mso-wrap-distance-left:11.35pt;mso-wrap-distance-top:8.5pt;mso-wrap-distance-right:11.35pt;mso-wrap-distance-bottom:8.5pt;mso-position-horizontal:left;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" fillcolor="#fbe5d6" stroked="f">
                <v:textbox>
                  <w:txbxContent>
                    <w:p w:rsidR="00540FEA" w:rsidRDefault="00540FEA" w:rsidP="002075FC">
                      <w:pPr>
                        <w:pStyle w:val="Caption"/>
                        <w:rPr>
                          <w:rFonts w:ascii="Arial" w:hAnsi="Arial" w:cs="Arial"/>
                          <w:color w:val="2E74B5"/>
                          <w:sz w:val="18"/>
                        </w:rPr>
                      </w:pPr>
                      <w:bookmarkStart w:id="339" w:name="_Ref535776767"/>
                      <w:bookmarkStart w:id="340" w:name="_Toc179858"/>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34</w:t>
                      </w:r>
                      <w:r w:rsidRPr="00A21E05">
                        <w:rPr>
                          <w:rFonts w:ascii="Arial" w:hAnsi="Arial" w:cs="Arial"/>
                          <w:color w:val="2E74B5"/>
                          <w:sz w:val="18"/>
                        </w:rPr>
                        <w:fldChar w:fldCharType="end"/>
                      </w:r>
                      <w:bookmarkEnd w:id="339"/>
                      <w:r>
                        <w:rPr>
                          <w:rFonts w:ascii="Arial" w:hAnsi="Arial" w:cs="Arial"/>
                          <w:color w:val="2E74B5"/>
                          <w:sz w:val="18"/>
                        </w:rPr>
                        <w:tab/>
                        <w:t>Government-sponsored schemes for energy efficiency and municipal energy efficiency</w:t>
                      </w:r>
                      <w:bookmarkEnd w:id="340"/>
                    </w:p>
                    <w:p w:rsidR="00540FEA" w:rsidRPr="00CC313E" w:rsidRDefault="00540FEA" w:rsidP="002075FC"/>
                    <w:p w:rsidR="00540FEA" w:rsidRPr="00771B53" w:rsidRDefault="00540FEA" w:rsidP="002075FC">
                      <w:pPr>
                        <w:spacing w:after="0"/>
                        <w:rPr>
                          <w:noProof/>
                          <w:sz w:val="19"/>
                          <w:szCs w:val="19"/>
                        </w:rPr>
                      </w:pPr>
                      <w:r w:rsidRPr="00771B53">
                        <w:rPr>
                          <w:noProof/>
                          <w:sz w:val="19"/>
                          <w:szCs w:val="19"/>
                        </w:rPr>
                        <w:t xml:space="preserve">Under the </w:t>
                      </w:r>
                      <w:r w:rsidRPr="00E845F2">
                        <w:rPr>
                          <w:b/>
                          <w:noProof/>
                          <w:sz w:val="19"/>
                          <w:szCs w:val="19"/>
                        </w:rPr>
                        <w:t>Municipal Energy Efficiency Demand-Side Management (MEEDSM) programme</w:t>
                      </w:r>
                      <w:r w:rsidRPr="00771B53">
                        <w:rPr>
                          <w:noProof/>
                          <w:sz w:val="19"/>
                          <w:szCs w:val="19"/>
                        </w:rPr>
                        <w:t>, established by the Department of Energy</w:t>
                      </w:r>
                      <w:r>
                        <w:rPr>
                          <w:noProof/>
                          <w:sz w:val="19"/>
                          <w:szCs w:val="19"/>
                        </w:rPr>
                        <w:t>, a</w:t>
                      </w:r>
                      <w:r w:rsidRPr="00E845F2">
                        <w:rPr>
                          <w:noProof/>
                          <w:sz w:val="19"/>
                          <w:szCs w:val="19"/>
                        </w:rPr>
                        <w:t>llocated by the National Treasury, through the Division of Revenue Act (DORA)</w:t>
                      </w:r>
                      <w:r>
                        <w:rPr>
                          <w:noProof/>
                          <w:sz w:val="19"/>
                          <w:szCs w:val="19"/>
                        </w:rPr>
                        <w:t xml:space="preserve">, </w:t>
                      </w:r>
                      <w:r w:rsidRPr="00771B53">
                        <w:rPr>
                          <w:noProof/>
                          <w:sz w:val="19"/>
                          <w:szCs w:val="19"/>
                        </w:rPr>
                        <w:t xml:space="preserve">municipalities can receive grants for the planning and implementation of energy efficient technologies ranging from traffic and street lighting to energy-efficient technologies in buildings and water service infrastructure. By means of Calls for Proposals, municipalities can submit EE and DSM proposals. The cumulative energy saved as a result of the programme based on projected targets is approximately 1.8 PJ, mainly through street lighting retrofits. The programme has delivered grants to 68 municipalities in South Africa since 2009 with a budget of </w:t>
                      </w:r>
                      <w:r>
                        <w:rPr>
                          <w:noProof/>
                          <w:sz w:val="19"/>
                          <w:szCs w:val="19"/>
                        </w:rPr>
                        <w:t>ZA</w:t>
                      </w:r>
                      <w:r w:rsidRPr="00771B53">
                        <w:rPr>
                          <w:noProof/>
                          <w:sz w:val="19"/>
                          <w:szCs w:val="19"/>
                        </w:rPr>
                        <w:t xml:space="preserve">R 1264 million (2009-2015/16) and planned energy savings of 500 GWh (1.8 PJ), benefitting over 32 million people. With GIZ-support, DoE is implementing the </w:t>
                      </w:r>
                      <w:r w:rsidRPr="00DA70CA">
                        <w:rPr>
                          <w:i/>
                          <w:noProof/>
                          <w:sz w:val="19"/>
                          <w:szCs w:val="19"/>
                        </w:rPr>
                        <w:t xml:space="preserve">EE Street Lighting Retrofit Project (2014-2019), </w:t>
                      </w:r>
                      <w:r w:rsidRPr="00771B53">
                        <w:rPr>
                          <w:noProof/>
                          <w:sz w:val="19"/>
                          <w:szCs w:val="19"/>
                        </w:rPr>
                        <w:t>which provides technical assistance, capacity building (at national and municipal level hardware infrastructure investments aiming at retrofitting about 12,000 MV as well as retrofitting HPS with LED (highways, high masts, and BRT corridors). The budget is approximately EUR 5 million, of which EUR 3.2 million for procurement (street lighting).</w:t>
                      </w:r>
                    </w:p>
                    <w:p w:rsidR="00540FEA" w:rsidRPr="00771B53" w:rsidRDefault="00540FEA" w:rsidP="002075FC">
                      <w:pPr>
                        <w:spacing w:after="0"/>
                        <w:rPr>
                          <w:noProof/>
                          <w:sz w:val="19"/>
                          <w:szCs w:val="19"/>
                        </w:rPr>
                      </w:pPr>
                    </w:p>
                    <w:p w:rsidR="00540FEA" w:rsidRPr="00771B53" w:rsidRDefault="00540FEA" w:rsidP="002075FC">
                      <w:pPr>
                        <w:spacing w:after="0"/>
                        <w:rPr>
                          <w:noProof/>
                          <w:sz w:val="19"/>
                          <w:szCs w:val="19"/>
                        </w:rPr>
                      </w:pPr>
                      <w:r w:rsidRPr="00771B53">
                        <w:rPr>
                          <w:noProof/>
                          <w:sz w:val="19"/>
                          <w:szCs w:val="19"/>
                        </w:rPr>
                        <w:t xml:space="preserve">For the coming years, the </w:t>
                      </w:r>
                      <w:r>
                        <w:rPr>
                          <w:noProof/>
                          <w:sz w:val="19"/>
                          <w:szCs w:val="19"/>
                        </w:rPr>
                        <w:t>M</w:t>
                      </w:r>
                      <w:r w:rsidRPr="00771B53">
                        <w:rPr>
                          <w:noProof/>
                          <w:sz w:val="19"/>
                          <w:szCs w:val="19"/>
                        </w:rPr>
                        <w:t xml:space="preserve">EEDSM programme will continue with a budget of about </w:t>
                      </w:r>
                      <w:r>
                        <w:rPr>
                          <w:noProof/>
                          <w:sz w:val="19"/>
                          <w:szCs w:val="19"/>
                        </w:rPr>
                        <w:t>ZAR</w:t>
                      </w:r>
                      <w:r w:rsidRPr="00771B53">
                        <w:rPr>
                          <w:noProof/>
                          <w:sz w:val="19"/>
                          <w:szCs w:val="19"/>
                        </w:rPr>
                        <w:t xml:space="preserve"> 200 million a year </w:t>
                      </w:r>
                      <w:r>
                        <w:rPr>
                          <w:noProof/>
                          <w:sz w:val="19"/>
                          <w:szCs w:val="19"/>
                        </w:rPr>
                        <w:t>(</w:t>
                      </w:r>
                      <w:r w:rsidRPr="00E845F2">
                        <w:rPr>
                          <w:noProof/>
                          <w:sz w:val="19"/>
                          <w:szCs w:val="19"/>
                        </w:rPr>
                        <w:t>ZAR 215 million in the 2018-19 budget</w:t>
                      </w:r>
                      <w:r>
                        <w:rPr>
                          <w:noProof/>
                          <w:sz w:val="19"/>
                          <w:szCs w:val="19"/>
                        </w:rPr>
                        <w:t>).</w:t>
                      </w:r>
                      <w:r w:rsidRPr="00771B53">
                        <w:rPr>
                          <w:noProof/>
                          <w:sz w:val="19"/>
                          <w:szCs w:val="19"/>
                        </w:rPr>
                        <w:t xml:space="preserve"> </w:t>
                      </w:r>
                      <w:r>
                        <w:rPr>
                          <w:noProof/>
                          <w:sz w:val="19"/>
                          <w:szCs w:val="19"/>
                        </w:rPr>
                        <w:t xml:space="preserve"> Nonetheless, the programme has reached </w:t>
                      </w:r>
                      <w:r w:rsidRPr="00DA70CA">
                        <w:rPr>
                          <w:noProof/>
                          <w:sz w:val="19"/>
                          <w:szCs w:val="19"/>
                        </w:rPr>
                        <w:t>annually just 12% of the municipalities in South Africa.</w:t>
                      </w:r>
                      <w:r>
                        <w:rPr>
                          <w:noProof/>
                          <w:sz w:val="19"/>
                          <w:szCs w:val="19"/>
                        </w:rPr>
                        <w:t xml:space="preserve"> To make more funding avilable to more municipalities, </w:t>
                      </w:r>
                      <w:r w:rsidRPr="00771B53">
                        <w:rPr>
                          <w:noProof/>
                          <w:sz w:val="19"/>
                          <w:szCs w:val="19"/>
                        </w:rPr>
                        <w:t>DoE is now discussing the possibility to reduce the level of grant funding under the MEEDSM from 100% of the project value to a lower percentage as a way to leverage the grant program, increase the number of projects and municipalities that receive funding and let the obtain funding from other sources. However, such a proposal will be opposed by many of the financially constrained municipalities.</w:t>
                      </w:r>
                    </w:p>
                    <w:p w:rsidR="00540FEA" w:rsidRPr="00771B53" w:rsidRDefault="00540FEA" w:rsidP="002075FC">
                      <w:pPr>
                        <w:spacing w:after="0"/>
                        <w:rPr>
                          <w:noProof/>
                          <w:sz w:val="19"/>
                          <w:szCs w:val="19"/>
                        </w:rPr>
                      </w:pPr>
                    </w:p>
                    <w:p w:rsidR="00540FEA" w:rsidRPr="00771B53" w:rsidRDefault="00540FEA" w:rsidP="002075FC">
                      <w:pPr>
                        <w:spacing w:after="0"/>
                        <w:rPr>
                          <w:noProof/>
                          <w:sz w:val="19"/>
                          <w:szCs w:val="19"/>
                        </w:rPr>
                      </w:pPr>
                      <w:r w:rsidRPr="00771B53">
                        <w:rPr>
                          <w:noProof/>
                          <w:sz w:val="19"/>
                          <w:szCs w:val="19"/>
                        </w:rPr>
                        <w:t xml:space="preserve">DoE has made funds available through the </w:t>
                      </w:r>
                      <w:r w:rsidRPr="00E845F2">
                        <w:rPr>
                          <w:b/>
                          <w:noProof/>
                          <w:sz w:val="19"/>
                          <w:szCs w:val="19"/>
                        </w:rPr>
                        <w:t>Approach to Distribution Asset Management (ADAM</w:t>
                      </w:r>
                      <w:r w:rsidRPr="00771B53">
                        <w:rPr>
                          <w:noProof/>
                          <w:sz w:val="19"/>
                          <w:szCs w:val="19"/>
                        </w:rPr>
                        <w:t xml:space="preserve">) programme that will deal with the funding of the maintenance.  Most of the infrastructure used by municipalities and Eskom is over 40 years old and it needs billions of Rand to be replaced or refurbished. In 2008, the maintenance backlog was </w:t>
                      </w:r>
                      <w:r>
                        <w:rPr>
                          <w:noProof/>
                          <w:sz w:val="19"/>
                          <w:szCs w:val="19"/>
                        </w:rPr>
                        <w:t>ZA</w:t>
                      </w:r>
                      <w:r w:rsidRPr="00771B53">
                        <w:rPr>
                          <w:noProof/>
                          <w:sz w:val="19"/>
                          <w:szCs w:val="19"/>
                        </w:rPr>
                        <w:t xml:space="preserve">R 27 billion and in 2014 this had increased to </w:t>
                      </w:r>
                      <w:r>
                        <w:rPr>
                          <w:noProof/>
                          <w:sz w:val="19"/>
                          <w:szCs w:val="19"/>
                        </w:rPr>
                        <w:t>ZAR</w:t>
                      </w:r>
                      <w:r w:rsidRPr="00771B53">
                        <w:rPr>
                          <w:noProof/>
                          <w:sz w:val="19"/>
                          <w:szCs w:val="19"/>
                        </w:rPr>
                        <w:t xml:space="preserve"> 68 billion (municipalities: </w:t>
                      </w:r>
                      <w:r>
                        <w:rPr>
                          <w:noProof/>
                          <w:sz w:val="19"/>
                          <w:szCs w:val="19"/>
                        </w:rPr>
                        <w:t>ZA</w:t>
                      </w:r>
                      <w:r w:rsidRPr="00771B53">
                        <w:rPr>
                          <w:noProof/>
                          <w:sz w:val="19"/>
                          <w:szCs w:val="19"/>
                        </w:rPr>
                        <w:t xml:space="preserve">R 32 billion and ESKOM: </w:t>
                      </w:r>
                      <w:r>
                        <w:rPr>
                          <w:noProof/>
                          <w:sz w:val="19"/>
                          <w:szCs w:val="19"/>
                        </w:rPr>
                        <w:t>ZA</w:t>
                      </w:r>
                      <w:r w:rsidRPr="00771B53">
                        <w:rPr>
                          <w:noProof/>
                          <w:sz w:val="19"/>
                          <w:szCs w:val="19"/>
                        </w:rPr>
                        <w:t xml:space="preserve">R 36 billion). Municipalities collectively owe Eskom </w:t>
                      </w:r>
                      <w:r>
                        <w:rPr>
                          <w:noProof/>
                          <w:sz w:val="19"/>
                          <w:szCs w:val="19"/>
                        </w:rPr>
                        <w:t>ZA</w:t>
                      </w:r>
                      <w:r w:rsidRPr="00771B53">
                        <w:rPr>
                          <w:noProof/>
                          <w:sz w:val="19"/>
                          <w:szCs w:val="19"/>
                        </w:rPr>
                        <w:t>R 11 billion over failure to pay the power utility and growing at the alarming rate of R 2.5 billion per annum (based on a study adone by Electricity Distribution Industry Holdings, EDIH).</w:t>
                      </w:r>
                      <w:r>
                        <w:rPr>
                          <w:noProof/>
                          <w:sz w:val="19"/>
                          <w:szCs w:val="19"/>
                        </w:rPr>
                        <w:t xml:space="preserve"> </w:t>
                      </w:r>
                      <w:r w:rsidRPr="00771B53">
                        <w:rPr>
                          <w:noProof/>
                          <w:sz w:val="19"/>
                          <w:szCs w:val="19"/>
                        </w:rPr>
                        <w:t>The National Energy Regulator of South Africa warned that 6%</w:t>
                      </w:r>
                      <w:r>
                        <w:rPr>
                          <w:noProof/>
                          <w:sz w:val="19"/>
                          <w:szCs w:val="19"/>
                        </w:rPr>
                        <w:t xml:space="preserve"> o</w:t>
                      </w:r>
                      <w:r w:rsidRPr="00771B53">
                        <w:rPr>
                          <w:noProof/>
                          <w:sz w:val="19"/>
                          <w:szCs w:val="19"/>
                        </w:rPr>
                        <w:t>f electricity revenue of municipalities should go to the maintenance of infrastructure</w:t>
                      </w:r>
                      <w:r>
                        <w:rPr>
                          <w:noProof/>
                          <w:sz w:val="19"/>
                          <w:szCs w:val="19"/>
                        </w:rPr>
                        <w:t>,</w:t>
                      </w:r>
                    </w:p>
                    <w:p w:rsidR="00540FEA" w:rsidRPr="00771B53" w:rsidRDefault="00540FEA" w:rsidP="002075FC">
                      <w:pPr>
                        <w:spacing w:after="0"/>
                        <w:rPr>
                          <w:noProof/>
                          <w:sz w:val="19"/>
                          <w:szCs w:val="19"/>
                        </w:rPr>
                      </w:pPr>
                    </w:p>
                    <w:p w:rsidR="00540FEA" w:rsidRPr="00E845F2" w:rsidRDefault="00540FEA" w:rsidP="002075FC">
                      <w:pPr>
                        <w:spacing w:after="0"/>
                        <w:rPr>
                          <w:noProof/>
                          <w:sz w:val="19"/>
                          <w:szCs w:val="19"/>
                        </w:rPr>
                      </w:pPr>
                      <w:r w:rsidRPr="00771B53">
                        <w:rPr>
                          <w:noProof/>
                          <w:sz w:val="19"/>
                          <w:szCs w:val="19"/>
                        </w:rPr>
                        <w:t xml:space="preserve">In response to the power shortage and load shedding situation (described earlier), Eskom’s Energy Efficiency and Demand-side Management programme (EE-DSM, now called, </w:t>
                      </w:r>
                      <w:r w:rsidRPr="00E845F2">
                        <w:rPr>
                          <w:b/>
                          <w:noProof/>
                          <w:sz w:val="19"/>
                          <w:szCs w:val="19"/>
                        </w:rPr>
                        <w:t>IDM, Integrated demand management</w:t>
                      </w:r>
                      <w:r w:rsidRPr="00771B53">
                        <w:rPr>
                          <w:noProof/>
                          <w:sz w:val="19"/>
                          <w:szCs w:val="19"/>
                        </w:rPr>
                        <w:t xml:space="preserve">) embarked in 2008 on a campaign </w:t>
                      </w:r>
                      <w:r>
                        <w:rPr>
                          <w:noProof/>
                          <w:sz w:val="19"/>
                          <w:szCs w:val="19"/>
                        </w:rPr>
                        <w:t>to</w:t>
                      </w:r>
                      <w:r w:rsidRPr="00E845F2">
                        <w:rPr>
                          <w:noProof/>
                          <w:sz w:val="19"/>
                          <w:szCs w:val="19"/>
                        </w:rPr>
                        <w:t xml:space="preserve"> exchange incandescent bulbs in homes for more energy efficient CFL bulbs (free-of-charge, primarily in the low-income households). As of January 2017, more than 65 million had been distributed to homes across South Africa, making it one of the biggest energy-saving initiatives. Eskom has directly procured these lamps for delivery to householders with a door-to-door campaign method*. The electricity supply situation has stabilised, and since 2016 there has been an over-supply. In this context and given ESKOM’s funding constraints (described earlier), ESKOM is scaling back its IDM initiatives, now focussing solely on the residential CFL mass rollout and the ESCO programme</w:t>
                      </w:r>
                      <w:r>
                        <w:rPr>
                          <w:noProof/>
                          <w:sz w:val="19"/>
                          <w:szCs w:val="19"/>
                        </w:rPr>
                        <w:t>.**</w:t>
                      </w:r>
                      <w:r w:rsidRPr="00E845F2">
                        <w:rPr>
                          <w:noProof/>
                          <w:sz w:val="19"/>
                          <w:szCs w:val="19"/>
                        </w:rPr>
                        <w:t xml:space="preserve"> </w:t>
                      </w:r>
                      <w:r>
                        <w:rPr>
                          <w:noProof/>
                          <w:sz w:val="19"/>
                          <w:szCs w:val="19"/>
                        </w:rPr>
                        <w:t>However,</w:t>
                      </w:r>
                      <w:r w:rsidRPr="00E845F2">
                        <w:rPr>
                          <w:noProof/>
                          <w:sz w:val="19"/>
                          <w:szCs w:val="19"/>
                        </w:rPr>
                        <w:t xml:space="preserve"> the </w:t>
                      </w:r>
                      <w:r>
                        <w:rPr>
                          <w:noProof/>
                          <w:sz w:val="19"/>
                          <w:szCs w:val="19"/>
                        </w:rPr>
                        <w:t>CFL exchange</w:t>
                      </w:r>
                      <w:r w:rsidRPr="00E845F2">
                        <w:rPr>
                          <w:noProof/>
                          <w:sz w:val="19"/>
                          <w:szCs w:val="19"/>
                        </w:rPr>
                        <w:t xml:space="preserve"> program will end and Eskom has no plans to continue it (with LED technology) in the foreseeable future.</w:t>
                      </w:r>
                    </w:p>
                    <w:p w:rsidR="00540FEA" w:rsidRDefault="00540FEA" w:rsidP="002075FC">
                      <w:pPr>
                        <w:spacing w:after="0"/>
                        <w:rPr>
                          <w:i/>
                          <w:noProof/>
                          <w:sz w:val="19"/>
                          <w:szCs w:val="19"/>
                        </w:rPr>
                      </w:pPr>
                    </w:p>
                    <w:p w:rsidR="00540FEA" w:rsidRDefault="00540FEA" w:rsidP="002075FC">
                      <w:pPr>
                        <w:rPr>
                          <w:noProof/>
                          <w:sz w:val="18"/>
                          <w:szCs w:val="18"/>
                        </w:rPr>
                      </w:pPr>
                      <w:r w:rsidRPr="00E845F2">
                        <w:rPr>
                          <w:noProof/>
                          <w:sz w:val="19"/>
                          <w:szCs w:val="19"/>
                        </w:rPr>
                        <w:t>*</w:t>
                      </w:r>
                      <w:r>
                        <w:rPr>
                          <w:noProof/>
                          <w:sz w:val="19"/>
                          <w:szCs w:val="19"/>
                        </w:rPr>
                        <w:t xml:space="preserve"> </w:t>
                      </w:r>
                      <w:r w:rsidRPr="00E845F2">
                        <w:rPr>
                          <w:rFonts w:ascii="Arial" w:hAnsi="Arial" w:cs="Arial"/>
                          <w:noProof/>
                          <w:sz w:val="16"/>
                          <w:szCs w:val="16"/>
                        </w:rPr>
                        <w:t>The ESKOM EE-DSM programme also had a component that serves commercial buildings and the services are the Standard Offer (SO) and Standard Product (SP) most suited for residential and small commercial buildings, including efficient lighting (SP is for savings up to 250 kW). Eskom put the SO and SP rebate programmes on hold in 2014.</w:t>
                      </w:r>
                    </w:p>
                    <w:p w:rsidR="00540FEA" w:rsidRPr="00E845F2" w:rsidRDefault="00540FEA" w:rsidP="002075FC">
                      <w:pPr>
                        <w:rPr>
                          <w:noProof/>
                          <w:sz w:val="19"/>
                          <w:szCs w:val="19"/>
                        </w:rPr>
                      </w:pPr>
                      <w:r>
                        <w:rPr>
                          <w:noProof/>
                          <w:sz w:val="19"/>
                          <w:szCs w:val="19"/>
                        </w:rPr>
                        <w:t xml:space="preserve">** </w:t>
                      </w:r>
                      <w:r w:rsidRPr="00E845F2">
                        <w:rPr>
                          <w:rFonts w:ascii="Arial" w:hAnsi="Arial" w:cs="Arial"/>
                          <w:noProof/>
                          <w:sz w:val="16"/>
                          <w:szCs w:val="16"/>
                        </w:rPr>
                        <w:t>The ESCO pgramme considered funding for commercial and industrial sector project that were able to shift electrical load outside Eskom's evening peak periods.Project proposals were invited from ESCOs, project developers, or businesses with a turnover of less than ZAR 50 million</w:t>
                      </w:r>
                    </w:p>
                    <w:p w:rsidR="00540FEA" w:rsidRDefault="00540FEA" w:rsidP="002075FC">
                      <w:pPr>
                        <w:rPr>
                          <w:noProof/>
                          <w:sz w:val="18"/>
                          <w:szCs w:val="18"/>
                        </w:rPr>
                      </w:pPr>
                    </w:p>
                    <w:p w:rsidR="00540FEA" w:rsidRPr="00E845F2" w:rsidRDefault="00540FEA" w:rsidP="002075FC">
                      <w:pPr>
                        <w:rPr>
                          <w:noProof/>
                          <w:sz w:val="19"/>
                          <w:szCs w:val="19"/>
                        </w:rPr>
                      </w:pPr>
                    </w:p>
                    <w:p w:rsidR="00540FEA" w:rsidRPr="00E845F2" w:rsidRDefault="00540FEA" w:rsidP="002075FC">
                      <w:pPr>
                        <w:rPr>
                          <w:noProof/>
                          <w:sz w:val="19"/>
                          <w:szCs w:val="19"/>
                        </w:rPr>
                      </w:pPr>
                    </w:p>
                  </w:txbxContent>
                </v:textbox>
                <w10:wrap type="topAndBottom" anchorx="margin" anchory="margin"/>
              </v:shape>
            </w:pict>
          </mc:Fallback>
        </mc:AlternateContent>
      </w:r>
    </w:p>
    <w:p w:rsidR="00CA3C14" w:rsidRPr="00666B27" w:rsidRDefault="00CA3C14" w:rsidP="009041E1">
      <w:pPr>
        <w:spacing w:after="0"/>
        <w:rPr>
          <w:lang w:val="en-GB" w:eastAsia="en-GB"/>
        </w:rPr>
      </w:pPr>
      <w:bookmarkStart w:id="293" w:name="_Hlk4679450"/>
      <w:r w:rsidRPr="00353542">
        <w:rPr>
          <w:u w:val="single"/>
          <w:lang w:val="en-GB" w:eastAsia="en-GB"/>
        </w:rPr>
        <w:t>Debt instruments</w:t>
      </w:r>
      <w:r w:rsidRPr="003B7D62">
        <w:rPr>
          <w:lang w:val="en-GB" w:eastAsia="en-GB"/>
        </w:rPr>
        <w:t xml:space="preserve"> include loans from a traditional </w:t>
      </w:r>
      <w:r w:rsidR="00B7144A" w:rsidRPr="004722F0">
        <w:rPr>
          <w:lang w:val="en-GB" w:eastAsia="en-GB"/>
        </w:rPr>
        <w:t xml:space="preserve">(commercial) </w:t>
      </w:r>
      <w:r w:rsidRPr="00666B27">
        <w:rPr>
          <w:lang w:val="en-GB" w:eastAsia="en-GB"/>
        </w:rPr>
        <w:t>bank</w:t>
      </w:r>
      <w:r w:rsidR="00B7144A" w:rsidRPr="00666B27">
        <w:rPr>
          <w:lang w:val="en-GB" w:eastAsia="en-GB"/>
        </w:rPr>
        <w:t>s</w:t>
      </w:r>
      <w:r w:rsidRPr="00666B27">
        <w:rPr>
          <w:lang w:val="en-GB" w:eastAsia="en-GB"/>
        </w:rPr>
        <w:t xml:space="preserve"> or a concessional loan from development banks or development partners, often through a specialized </w:t>
      </w:r>
      <w:r w:rsidR="00B7144A" w:rsidRPr="00666B27">
        <w:rPr>
          <w:lang w:val="en-GB" w:eastAsia="en-GB"/>
        </w:rPr>
        <w:t>v</w:t>
      </w:r>
      <w:r w:rsidRPr="00666B27">
        <w:rPr>
          <w:lang w:val="en-GB" w:eastAsia="en-GB"/>
        </w:rPr>
        <w:t xml:space="preserve">ehicle such as </w:t>
      </w:r>
      <w:r w:rsidR="00C45283" w:rsidRPr="00666B27">
        <w:rPr>
          <w:lang w:val="en-GB" w:eastAsia="en-GB"/>
        </w:rPr>
        <w:t xml:space="preserve">a </w:t>
      </w:r>
      <w:r w:rsidR="00B7144A" w:rsidRPr="00666B27">
        <w:rPr>
          <w:noProof/>
          <w:lang w:val="en-GB" w:eastAsia="en-GB"/>
        </w:rPr>
        <w:t>sustainable</w:t>
      </w:r>
      <w:r w:rsidR="00B7144A" w:rsidRPr="00666B27">
        <w:rPr>
          <w:lang w:val="en-GB" w:eastAsia="en-GB"/>
        </w:rPr>
        <w:t xml:space="preserve"> energy or </w:t>
      </w:r>
      <w:r w:rsidRPr="00666B27">
        <w:rPr>
          <w:lang w:val="en-GB" w:eastAsia="en-GB"/>
        </w:rPr>
        <w:t xml:space="preserve">climate change mitigation fund. The debt funding limits the provision of funds to those clients with higher credit-worthiness. It also requires a credit analysis of the end-client, which in non-specialized lenders typically follows the same procedure as a loan for non-energy projects. This neglects the effects that the energy efficiency project will have in the cash flow situation of the client, which, depending </w:t>
      </w:r>
      <w:r w:rsidRPr="00666B27">
        <w:rPr>
          <w:lang w:val="en-GB" w:eastAsia="en-GB"/>
        </w:rPr>
        <w:lastRenderedPageBreak/>
        <w:t>on the scope of the project may indeed have substantial implications to the financial situation of the end-client.</w:t>
      </w:r>
      <w:r w:rsidR="00B7144A" w:rsidRPr="00666B27">
        <w:rPr>
          <w:lang w:val="en-GB"/>
        </w:rPr>
        <w:t xml:space="preserve"> </w:t>
      </w:r>
      <w:r w:rsidR="00B7144A" w:rsidRPr="00666B27">
        <w:rPr>
          <w:lang w:val="en-GB" w:eastAsia="en-GB"/>
        </w:rPr>
        <w:t xml:space="preserve">A hybrid source of funding is the utilization of grant or concessional funding to provide a loan with </w:t>
      </w:r>
      <w:r w:rsidR="00C92AFF" w:rsidRPr="00666B27">
        <w:rPr>
          <w:noProof/>
          <w:lang w:val="en-GB" w:eastAsia="en-GB"/>
        </w:rPr>
        <w:t>favourable</w:t>
      </w:r>
      <w:r w:rsidR="00B7144A" w:rsidRPr="00666B27">
        <w:rPr>
          <w:lang w:val="en-GB" w:eastAsia="en-GB"/>
        </w:rPr>
        <w:t xml:space="preserve"> terms and conditions. In this case, the criteria to provide funds is relaxed compared to a pure grant-funding scheme, and it allows the development of a sustainable mechanism that does not require a constant replenishment of funds (particularly in the first years). Such </w:t>
      </w:r>
      <w:r w:rsidR="00C45283" w:rsidRPr="00666B27">
        <w:rPr>
          <w:lang w:val="en-GB" w:eastAsia="en-GB"/>
        </w:rPr>
        <w:t xml:space="preserve">a </w:t>
      </w:r>
      <w:r w:rsidR="00B7144A" w:rsidRPr="00666B27">
        <w:rPr>
          <w:noProof/>
          <w:lang w:val="en-GB" w:eastAsia="en-GB"/>
        </w:rPr>
        <w:t>mechanism</w:t>
      </w:r>
      <w:r w:rsidR="00B7144A" w:rsidRPr="00666B27">
        <w:rPr>
          <w:lang w:val="en-GB" w:eastAsia="en-GB"/>
        </w:rPr>
        <w:t xml:space="preserve"> also provides an economic incentive to end-users to take commercial sources of debt by lowering the overall financing costs.</w:t>
      </w:r>
      <w:r w:rsidR="00C92AFF" w:rsidRPr="00666B27">
        <w:rPr>
          <w:lang w:val="en-GB" w:eastAsia="en-GB"/>
        </w:rPr>
        <w:t xml:space="preserve"> A</w:t>
      </w:r>
      <w:r w:rsidR="000C5DCF" w:rsidRPr="00666B27">
        <w:rPr>
          <w:lang w:val="en-GB" w:eastAsia="en-GB"/>
        </w:rPr>
        <w:t>s</w:t>
      </w:r>
      <w:r w:rsidR="00C92AFF" w:rsidRPr="00666B27">
        <w:rPr>
          <w:lang w:val="en-GB" w:eastAsia="en-GB"/>
        </w:rPr>
        <w:t xml:space="preserve"> with grant financing, it requires ‘technically competent’ clients (or </w:t>
      </w:r>
      <w:r w:rsidR="00EB1DE2" w:rsidRPr="00666B27">
        <w:rPr>
          <w:lang w:val="en-GB" w:eastAsia="en-GB"/>
        </w:rPr>
        <w:t>outside</w:t>
      </w:r>
      <w:r w:rsidR="00C92AFF" w:rsidRPr="00666B27">
        <w:rPr>
          <w:lang w:val="en-GB" w:eastAsia="en-GB"/>
        </w:rPr>
        <w:t xml:space="preserve"> project preparation support). </w:t>
      </w:r>
    </w:p>
    <w:p w:rsidR="00B7144A" w:rsidRPr="00666B27" w:rsidRDefault="00B7144A" w:rsidP="009041E1">
      <w:pPr>
        <w:spacing w:after="0"/>
        <w:rPr>
          <w:lang w:val="en-GB" w:eastAsia="en-GB"/>
        </w:rPr>
      </w:pPr>
    </w:p>
    <w:p w:rsidR="000C5DCF" w:rsidRPr="00F737AD" w:rsidRDefault="000C5DCF" w:rsidP="00EB1DE2">
      <w:pPr>
        <w:widowControl w:val="0"/>
        <w:autoSpaceDE w:val="0"/>
        <w:autoSpaceDN w:val="0"/>
        <w:spacing w:after="0"/>
        <w:ind w:right="49"/>
        <w:rPr>
          <w:rFonts w:eastAsia="Arial" w:cs="Calibri"/>
          <w:szCs w:val="20"/>
          <w:lang w:val="en-GB"/>
        </w:rPr>
      </w:pPr>
      <w:r w:rsidRPr="00F737AD">
        <w:rPr>
          <w:rFonts w:eastAsia="Arial" w:cs="Calibri"/>
          <w:szCs w:val="20"/>
          <w:lang w:val="en-GB"/>
        </w:rPr>
        <w:t>For small-scale investment projects of similar type by similar end-clients (e.g. street lighting for small municipalities or LED lighting for households) this model may benefit from a joint procurement approach, whereby the aggregation of projects achieves economies of scale in the purchasing process. This approach may also be applied through an intermediary (distributor/reseller) of equipment. A graphical summary of this model is indicated below.</w:t>
      </w:r>
    </w:p>
    <w:p w:rsidR="000C5DCF" w:rsidRPr="00F737AD" w:rsidRDefault="000C5DCF" w:rsidP="009041E1">
      <w:pPr>
        <w:widowControl w:val="0"/>
        <w:autoSpaceDE w:val="0"/>
        <w:autoSpaceDN w:val="0"/>
        <w:spacing w:after="0"/>
        <w:ind w:left="851" w:right="550"/>
        <w:rPr>
          <w:rFonts w:eastAsia="Arial" w:cs="Calibri"/>
          <w:szCs w:val="20"/>
          <w:lang w:val="en-GB"/>
        </w:rPr>
      </w:pPr>
    </w:p>
    <w:p w:rsidR="000C5DCF" w:rsidRPr="0057545E" w:rsidRDefault="003A2690" w:rsidP="009041E1">
      <w:pPr>
        <w:spacing w:after="0"/>
        <w:rPr>
          <w:lang w:val="en-GB" w:eastAsia="en-GB"/>
        </w:rPr>
      </w:pPr>
      <w:r w:rsidRPr="00F737AD">
        <w:rPr>
          <w:rFonts w:ascii="Arial" w:eastAsia="Arial" w:hAnsi="Arial" w:cs="Arial"/>
          <w:noProof/>
          <w:sz w:val="22"/>
          <w:szCs w:val="22"/>
          <w:lang w:val="en-GB"/>
        </w:rPr>
        <w:drawing>
          <wp:inline distT="0" distB="0" distL="0" distR="0">
            <wp:extent cx="6035040" cy="772160"/>
            <wp:effectExtent l="0" t="0" r="0" b="0"/>
            <wp:docPr id="3"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5" cstate="print">
                      <a:extLst>
                        <a:ext uri="{28A0092B-C50C-407E-A947-70E740481C1C}">
                          <a14:useLocalDpi xmlns:a14="http://schemas.microsoft.com/office/drawing/2010/main" val="0"/>
                        </a:ext>
                      </a:extLst>
                    </a:blip>
                    <a:srcRect/>
                    <a:stretch>
                      <a:fillRect/>
                    </a:stretch>
                  </pic:blipFill>
                  <pic:spPr bwMode="auto">
                    <a:xfrm>
                      <a:off x="0" y="0"/>
                      <a:ext cx="6035040" cy="772160"/>
                    </a:xfrm>
                    <a:prstGeom prst="rect">
                      <a:avLst/>
                    </a:prstGeom>
                    <a:noFill/>
                    <a:ln>
                      <a:noFill/>
                    </a:ln>
                  </pic:spPr>
                </pic:pic>
              </a:graphicData>
            </a:graphic>
          </wp:inline>
        </w:drawing>
      </w:r>
    </w:p>
    <w:p w:rsidR="000C5DCF" w:rsidRPr="00353542" w:rsidRDefault="000C5DCF" w:rsidP="00297A17">
      <w:pPr>
        <w:spacing w:after="0"/>
        <w:rPr>
          <w:lang w:val="en-GB" w:eastAsia="en-GB"/>
        </w:rPr>
      </w:pPr>
    </w:p>
    <w:p w:rsidR="00B7144A" w:rsidRPr="00F737AD" w:rsidRDefault="00FD7DAF" w:rsidP="00297A17">
      <w:pPr>
        <w:spacing w:after="0"/>
        <w:rPr>
          <w:rFonts w:cs="Calibri"/>
          <w:szCs w:val="20"/>
          <w:lang w:val="en-GB" w:eastAsia="en-GB"/>
        </w:rPr>
      </w:pPr>
      <w:r w:rsidRPr="003B7D62">
        <w:rPr>
          <w:lang w:val="en-GB" w:eastAsia="en-GB"/>
        </w:rPr>
        <w:t xml:space="preserve">The Development Bank of </w:t>
      </w:r>
      <w:r w:rsidR="00EB1DE2" w:rsidRPr="004722F0">
        <w:rPr>
          <w:lang w:val="en-GB" w:eastAsia="en-GB"/>
        </w:rPr>
        <w:t>Southern</w:t>
      </w:r>
      <w:r w:rsidRPr="00666B27">
        <w:rPr>
          <w:lang w:val="en-GB" w:eastAsia="en-GB"/>
        </w:rPr>
        <w:t xml:space="preserve"> Africa (D</w:t>
      </w:r>
      <w:r w:rsidR="00B7144A" w:rsidRPr="00666B27">
        <w:rPr>
          <w:lang w:val="en-GB" w:eastAsia="en-GB"/>
        </w:rPr>
        <w:t>BSA</w:t>
      </w:r>
      <w:r w:rsidRPr="00666B27">
        <w:rPr>
          <w:lang w:val="en-GB" w:eastAsia="en-GB"/>
        </w:rPr>
        <w:t>)</w:t>
      </w:r>
      <w:r w:rsidR="00B7144A" w:rsidRPr="00666B27">
        <w:rPr>
          <w:lang w:val="en-GB" w:eastAsia="en-GB"/>
        </w:rPr>
        <w:t xml:space="preserve"> is a development financial institution (DFI) with a focus on the public sector in Southern Africa particularly for the financing of </w:t>
      </w:r>
      <w:r w:rsidR="00B7144A" w:rsidRPr="00F737AD">
        <w:rPr>
          <w:rFonts w:cs="Calibri"/>
          <w:szCs w:val="20"/>
          <w:lang w:val="en-GB" w:eastAsia="en-GB"/>
        </w:rPr>
        <w:t>infrastructure projects). In South Africa, DBSA’s loan portfolio heavily concentrated on municipalities, with 34% of the loan portfolio and on public utilities (primarily ESKOM) with 35% of the</w:t>
      </w:r>
      <w:r w:rsidR="00C263E4" w:rsidRPr="00F737AD">
        <w:rPr>
          <w:rFonts w:cs="Calibri"/>
          <w:szCs w:val="20"/>
          <w:lang w:val="en-GB" w:eastAsia="en-GB"/>
        </w:rPr>
        <w:t xml:space="preserve"> loan portfolio. DBSA has been implementing </w:t>
      </w:r>
      <w:proofErr w:type="gramStart"/>
      <w:r w:rsidR="00C263E4" w:rsidRPr="00F737AD">
        <w:rPr>
          <w:rFonts w:cs="Calibri"/>
          <w:szCs w:val="20"/>
          <w:lang w:val="en-GB" w:eastAsia="en-GB"/>
        </w:rPr>
        <w:t>a number of</w:t>
      </w:r>
      <w:proofErr w:type="gramEnd"/>
      <w:r w:rsidR="00C263E4" w:rsidRPr="00F737AD">
        <w:rPr>
          <w:rFonts w:cs="Calibri"/>
          <w:szCs w:val="20"/>
          <w:lang w:val="en-GB" w:eastAsia="en-GB"/>
        </w:rPr>
        <w:t xml:space="preserve"> programmes:</w:t>
      </w:r>
    </w:p>
    <w:p w:rsidR="00C263E4" w:rsidRPr="00F737AD" w:rsidRDefault="00C263E4" w:rsidP="00731F0C">
      <w:pPr>
        <w:pStyle w:val="ListParagraph"/>
        <w:numPr>
          <w:ilvl w:val="0"/>
          <w:numId w:val="42"/>
        </w:numPr>
        <w:ind w:left="284" w:hanging="284"/>
        <w:jc w:val="both"/>
        <w:rPr>
          <w:rFonts w:ascii="Calibri" w:hAnsi="Calibri" w:cs="Calibri"/>
          <w:sz w:val="20"/>
          <w:szCs w:val="20"/>
          <w:lang w:val="en-GB" w:eastAsia="en-GB"/>
        </w:rPr>
      </w:pPr>
      <w:r w:rsidRPr="00F737AD">
        <w:rPr>
          <w:rFonts w:ascii="Calibri" w:hAnsi="Calibri" w:cs="Calibri"/>
          <w:sz w:val="20"/>
          <w:szCs w:val="20"/>
          <w:lang w:val="en-GB" w:eastAsia="en-GB"/>
        </w:rPr>
        <w:t xml:space="preserve">The </w:t>
      </w:r>
      <w:r w:rsidRPr="00F737AD">
        <w:rPr>
          <w:rFonts w:ascii="Calibri" w:hAnsi="Calibri" w:cs="Calibri"/>
          <w:i/>
          <w:sz w:val="20"/>
          <w:szCs w:val="20"/>
          <w:lang w:val="en-GB" w:eastAsia="en-GB"/>
        </w:rPr>
        <w:t xml:space="preserve">Green Fund </w:t>
      </w:r>
      <w:r w:rsidRPr="00F737AD">
        <w:rPr>
          <w:rFonts w:ascii="Calibri" w:hAnsi="Calibri" w:cs="Calibri"/>
          <w:sz w:val="20"/>
          <w:szCs w:val="20"/>
          <w:lang w:val="en-GB" w:eastAsia="en-GB"/>
        </w:rPr>
        <w:t xml:space="preserve">(and to which DEA added </w:t>
      </w:r>
      <w:r w:rsidR="00EB1DE2" w:rsidRPr="00F737AD">
        <w:rPr>
          <w:rFonts w:ascii="Calibri" w:hAnsi="Calibri" w:cs="Calibri"/>
          <w:sz w:val="20"/>
          <w:szCs w:val="20"/>
          <w:lang w:val="en-GB" w:eastAsia="en-GB"/>
        </w:rPr>
        <w:t>ZAR</w:t>
      </w:r>
      <w:r w:rsidRPr="00F737AD">
        <w:rPr>
          <w:rFonts w:ascii="Calibri" w:hAnsi="Calibri" w:cs="Calibri"/>
          <w:sz w:val="20"/>
          <w:szCs w:val="20"/>
          <w:lang w:val="en-GB" w:eastAsia="en-GB"/>
        </w:rPr>
        <w:t xml:space="preserve"> 800 million) has been supporting project development and investment, capacity building and policy research in green projects by means of grants, loans and equity, including energy efficiency (within its focus areas of ‘green cities and towns’ and ‘low-carbon economy’). The Fund closed in 2018</w:t>
      </w:r>
      <w:r w:rsidR="00EB1DE2" w:rsidRPr="00F737AD">
        <w:rPr>
          <w:rFonts w:ascii="Calibri" w:hAnsi="Calibri" w:cs="Calibri"/>
          <w:sz w:val="20"/>
          <w:szCs w:val="20"/>
          <w:lang w:val="en-GB" w:eastAsia="en-GB"/>
        </w:rPr>
        <w:t xml:space="preserve"> for new proposals.</w:t>
      </w:r>
    </w:p>
    <w:p w:rsidR="00C263E4" w:rsidRPr="00F737AD" w:rsidRDefault="00C263E4" w:rsidP="00731F0C">
      <w:pPr>
        <w:pStyle w:val="ListParagraph"/>
        <w:numPr>
          <w:ilvl w:val="0"/>
          <w:numId w:val="42"/>
        </w:numPr>
        <w:ind w:left="284" w:hanging="284"/>
        <w:jc w:val="both"/>
        <w:rPr>
          <w:rFonts w:ascii="Calibri" w:hAnsi="Calibri" w:cs="Calibri"/>
          <w:sz w:val="20"/>
          <w:szCs w:val="20"/>
          <w:lang w:val="en-GB" w:eastAsia="en-GB"/>
        </w:rPr>
      </w:pPr>
      <w:r w:rsidRPr="00F737AD">
        <w:rPr>
          <w:rFonts w:ascii="Calibri" w:hAnsi="Calibri" w:cs="Calibri"/>
          <w:sz w:val="20"/>
          <w:szCs w:val="20"/>
          <w:lang w:val="en-GB" w:eastAsia="en-GB"/>
        </w:rPr>
        <w:t>The Bank is accredited to the Global Environment Facility (GEF) and the Green Climate Fund (GCF)</w:t>
      </w:r>
    </w:p>
    <w:p w:rsidR="00C263E4" w:rsidRPr="00F737AD" w:rsidRDefault="00C263E4" w:rsidP="00731F0C">
      <w:pPr>
        <w:pStyle w:val="ListParagraph"/>
        <w:numPr>
          <w:ilvl w:val="1"/>
          <w:numId w:val="42"/>
        </w:numPr>
        <w:ind w:left="567" w:hanging="283"/>
        <w:jc w:val="both"/>
        <w:rPr>
          <w:rFonts w:ascii="Calibri" w:hAnsi="Calibri" w:cs="Calibri"/>
          <w:sz w:val="20"/>
          <w:szCs w:val="20"/>
          <w:lang w:val="en-GB" w:eastAsia="en-GB"/>
        </w:rPr>
      </w:pPr>
      <w:r w:rsidRPr="00F737AD">
        <w:rPr>
          <w:rFonts w:ascii="Calibri" w:hAnsi="Calibri" w:cs="Calibri"/>
          <w:sz w:val="20"/>
          <w:szCs w:val="20"/>
          <w:lang w:val="en-GB" w:eastAsia="en-GB"/>
        </w:rPr>
        <w:t xml:space="preserve">With GEF support, DBSA is currently implementing two energy/urban-related projects, </w:t>
      </w:r>
      <w:r w:rsidRPr="00F737AD">
        <w:rPr>
          <w:rFonts w:ascii="Calibri" w:hAnsi="Calibri" w:cs="Calibri"/>
          <w:i/>
          <w:sz w:val="20"/>
          <w:szCs w:val="20"/>
          <w:lang w:val="en-GB" w:eastAsia="en-GB"/>
        </w:rPr>
        <w:t>Cities-IAP: Building a resilient and resource-efficient Johannesburg: increased access to urban services and improved quality of life</w:t>
      </w:r>
      <w:r w:rsidRPr="00F737AD">
        <w:rPr>
          <w:rFonts w:ascii="Calibri" w:hAnsi="Calibri" w:cs="Calibri"/>
          <w:sz w:val="20"/>
          <w:szCs w:val="20"/>
          <w:lang w:val="en-GB" w:eastAsia="en-GB"/>
        </w:rPr>
        <w:t xml:space="preserve"> (GEF 9415; GEF funding: USD 8.09 million) and the </w:t>
      </w:r>
      <w:r w:rsidRPr="00F737AD">
        <w:rPr>
          <w:rFonts w:ascii="Calibri" w:hAnsi="Calibri" w:cs="Calibri"/>
          <w:i/>
          <w:sz w:val="20"/>
          <w:szCs w:val="20"/>
          <w:lang w:val="en-GB" w:eastAsia="en-GB"/>
        </w:rPr>
        <w:t>SP-IPPPP: Equity Fund for the Small Projects Independent Power Producer Procurement Programme</w:t>
      </w:r>
      <w:r w:rsidRPr="00F737AD">
        <w:rPr>
          <w:rFonts w:ascii="Calibri" w:hAnsi="Calibri" w:cs="Calibri"/>
          <w:sz w:val="20"/>
          <w:szCs w:val="20"/>
          <w:lang w:val="en-GB" w:eastAsia="en-GB"/>
        </w:rPr>
        <w:t xml:space="preserve"> (GEF 9085, GEF funding: USD 15 million);</w:t>
      </w:r>
    </w:p>
    <w:p w:rsidR="00C263E4" w:rsidRPr="00F737AD" w:rsidRDefault="00C263E4" w:rsidP="00731F0C">
      <w:pPr>
        <w:pStyle w:val="ListParagraph"/>
        <w:numPr>
          <w:ilvl w:val="1"/>
          <w:numId w:val="42"/>
        </w:numPr>
        <w:ind w:left="567" w:hanging="283"/>
        <w:jc w:val="both"/>
        <w:rPr>
          <w:rFonts w:ascii="Calibri" w:hAnsi="Calibri" w:cs="Calibri"/>
          <w:sz w:val="20"/>
          <w:szCs w:val="20"/>
          <w:lang w:val="en-GB" w:eastAsia="en-GB"/>
        </w:rPr>
      </w:pPr>
      <w:r w:rsidRPr="00F737AD">
        <w:rPr>
          <w:rFonts w:ascii="Calibri" w:hAnsi="Calibri" w:cs="Calibri"/>
          <w:sz w:val="20"/>
          <w:szCs w:val="20"/>
          <w:lang w:val="en-GB" w:eastAsia="en-GB"/>
        </w:rPr>
        <w:t xml:space="preserve">The GCF-funded </w:t>
      </w:r>
      <w:r w:rsidRPr="00F737AD">
        <w:rPr>
          <w:rFonts w:ascii="Calibri" w:hAnsi="Calibri" w:cs="Calibri"/>
          <w:i/>
          <w:sz w:val="20"/>
          <w:szCs w:val="20"/>
          <w:lang w:val="en-GB" w:eastAsia="en-GB"/>
        </w:rPr>
        <w:t xml:space="preserve">Climate Finance Facility (CFF) </w:t>
      </w:r>
      <w:r w:rsidRPr="00F737AD">
        <w:rPr>
          <w:rFonts w:ascii="Calibri" w:hAnsi="Calibri" w:cs="Calibri"/>
          <w:sz w:val="20"/>
          <w:szCs w:val="20"/>
          <w:lang w:val="en-GB" w:eastAsia="en-GB"/>
        </w:rPr>
        <w:t xml:space="preserve">is in its latest development stages and pending finalization with the private financing providers. </w:t>
      </w:r>
      <w:r w:rsidRPr="00F737AD">
        <w:rPr>
          <w:rFonts w:ascii="Calibri" w:hAnsi="Calibri" w:cs="Calibri"/>
          <w:sz w:val="20"/>
          <w:szCs w:val="20"/>
          <w:lang w:val="en-GB"/>
        </w:rPr>
        <w:t xml:space="preserve">It </w:t>
      </w:r>
      <w:r w:rsidRPr="00F737AD">
        <w:rPr>
          <w:rFonts w:ascii="Calibri" w:hAnsi="Calibri" w:cs="Calibri"/>
          <w:sz w:val="20"/>
          <w:szCs w:val="20"/>
          <w:lang w:val="en-GB" w:eastAsia="en-GB"/>
        </w:rPr>
        <w:t>was approved by GCF in October 2018 to receive a total of USD 55.6 million of funding. DBSA and other private financiers are co-funding this program which is expected to achieve a total size of ZAR 2 billion.</w:t>
      </w:r>
      <w:r w:rsidR="00D74C34" w:rsidRPr="00666B27">
        <w:rPr>
          <w:lang w:val="en-GB"/>
        </w:rPr>
        <w:t xml:space="preserve"> </w:t>
      </w:r>
      <w:r w:rsidR="00D74C34" w:rsidRPr="00F737AD">
        <w:rPr>
          <w:rFonts w:ascii="Calibri" w:hAnsi="Calibri" w:cs="Calibri"/>
          <w:sz w:val="20"/>
          <w:szCs w:val="20"/>
          <w:lang w:val="en-GB" w:eastAsia="en-GB"/>
        </w:rPr>
        <w:t>The CFF will be structured as a self-sustaining debt facility and will evaluate and finance projects, drawing capital from multiple dedicated sources, to provide credit enhancement and debt funding (in various forms) to drive private investment Th</w:t>
      </w:r>
      <w:r w:rsidR="00EB1DE2" w:rsidRPr="00F737AD">
        <w:rPr>
          <w:rFonts w:ascii="Calibri" w:hAnsi="Calibri" w:cs="Calibri"/>
          <w:sz w:val="20"/>
          <w:szCs w:val="20"/>
          <w:lang w:val="en-GB" w:eastAsia="en-GB"/>
        </w:rPr>
        <w:t>e F</w:t>
      </w:r>
      <w:r w:rsidR="00D74C34" w:rsidRPr="00F737AD">
        <w:rPr>
          <w:rFonts w:ascii="Calibri" w:hAnsi="Calibri" w:cs="Calibri"/>
          <w:sz w:val="20"/>
          <w:szCs w:val="20"/>
          <w:lang w:val="en-GB" w:eastAsia="en-GB"/>
        </w:rPr>
        <w:t xml:space="preserve">acility targets </w:t>
      </w:r>
      <w:r w:rsidR="00F84660" w:rsidRPr="00F737AD">
        <w:rPr>
          <w:rFonts w:ascii="Calibri" w:hAnsi="Calibri" w:cs="Calibri"/>
          <w:sz w:val="20"/>
          <w:szCs w:val="20"/>
          <w:lang w:val="en-GB" w:eastAsia="en-GB"/>
        </w:rPr>
        <w:t xml:space="preserve">climate-friendly </w:t>
      </w:r>
      <w:r w:rsidR="005C71A0" w:rsidRPr="00F737AD">
        <w:rPr>
          <w:rFonts w:ascii="Calibri" w:hAnsi="Calibri" w:cs="Calibri"/>
          <w:sz w:val="20"/>
          <w:szCs w:val="20"/>
          <w:lang w:val="en-GB" w:eastAsia="en-GB"/>
        </w:rPr>
        <w:t xml:space="preserve">(e.g., </w:t>
      </w:r>
      <w:r w:rsidR="00D74C34" w:rsidRPr="00F737AD">
        <w:rPr>
          <w:rFonts w:ascii="Calibri" w:hAnsi="Calibri" w:cs="Calibri"/>
          <w:sz w:val="20"/>
          <w:szCs w:val="20"/>
          <w:lang w:val="en-GB" w:eastAsia="en-GB"/>
        </w:rPr>
        <w:t>renewable energy, water, transportation and waste</w:t>
      </w:r>
      <w:r w:rsidR="005C71A0" w:rsidRPr="00F737AD">
        <w:rPr>
          <w:rFonts w:ascii="Calibri" w:hAnsi="Calibri" w:cs="Calibri"/>
          <w:sz w:val="20"/>
          <w:szCs w:val="20"/>
          <w:lang w:val="en-GB" w:eastAsia="en-GB"/>
        </w:rPr>
        <w:t>)</w:t>
      </w:r>
      <w:r w:rsidR="00D74C34" w:rsidRPr="00F737AD">
        <w:rPr>
          <w:rFonts w:ascii="Calibri" w:hAnsi="Calibri" w:cs="Calibri"/>
          <w:sz w:val="20"/>
          <w:szCs w:val="20"/>
          <w:lang w:val="en-GB" w:eastAsia="en-GB"/>
        </w:rPr>
        <w:t xml:space="preserve"> projects in the four countries that comprise the common monetary area of southern Africa (South Africa, Namibia, Lesotho and Swaziland.  The CFF will be structured as </w:t>
      </w:r>
      <w:r w:rsidR="005C71A0" w:rsidRPr="00F737AD">
        <w:rPr>
          <w:rFonts w:ascii="Calibri" w:hAnsi="Calibri" w:cs="Calibri"/>
          <w:sz w:val="20"/>
          <w:szCs w:val="20"/>
          <w:lang w:val="en-GB" w:eastAsia="en-GB"/>
        </w:rPr>
        <w:t xml:space="preserve">an </w:t>
      </w:r>
      <w:r w:rsidR="00D74C34" w:rsidRPr="00F737AD">
        <w:rPr>
          <w:rFonts w:ascii="Calibri" w:hAnsi="Calibri" w:cs="Calibri"/>
          <w:sz w:val="20"/>
          <w:szCs w:val="20"/>
          <w:lang w:val="en-GB" w:eastAsia="en-GB"/>
        </w:rPr>
        <w:t>independent special purpose vehicle (SPV). Funds committed to the CFF will not sit on the DBSA balance sheet, but rather within this distinct legal vehicle.</w:t>
      </w:r>
      <w:r w:rsidR="00D74C34" w:rsidRPr="0057545E">
        <w:rPr>
          <w:rStyle w:val="FootnoteReference"/>
          <w:szCs w:val="20"/>
          <w:lang w:val="en-GB" w:eastAsia="en-GB"/>
        </w:rPr>
        <w:footnoteReference w:id="54"/>
      </w:r>
    </w:p>
    <w:p w:rsidR="00D74C34" w:rsidRPr="00F737AD" w:rsidRDefault="00D74C34" w:rsidP="00731F0C">
      <w:pPr>
        <w:pStyle w:val="ListParagraph"/>
        <w:numPr>
          <w:ilvl w:val="1"/>
          <w:numId w:val="42"/>
        </w:numPr>
        <w:ind w:left="567" w:hanging="283"/>
        <w:jc w:val="both"/>
        <w:rPr>
          <w:rFonts w:ascii="Calibri" w:hAnsi="Calibri" w:cs="Calibri"/>
          <w:sz w:val="20"/>
          <w:szCs w:val="20"/>
          <w:lang w:val="en-GB" w:eastAsia="en-GB"/>
        </w:rPr>
      </w:pPr>
      <w:r w:rsidRPr="00F737AD">
        <w:rPr>
          <w:rFonts w:ascii="Calibri" w:hAnsi="Calibri" w:cs="Calibri"/>
          <w:sz w:val="20"/>
          <w:szCs w:val="20"/>
          <w:lang w:val="en-GB" w:eastAsia="en-GB"/>
        </w:rPr>
        <w:t xml:space="preserve">Another GCF project is the </w:t>
      </w:r>
      <w:r w:rsidR="005C71A0" w:rsidRPr="00F737AD">
        <w:rPr>
          <w:rFonts w:ascii="Calibri" w:hAnsi="Calibri" w:cs="Calibri"/>
          <w:i/>
          <w:sz w:val="20"/>
          <w:szCs w:val="20"/>
          <w:lang w:val="en-GB" w:eastAsia="en-GB"/>
        </w:rPr>
        <w:t>Public &amp; Private Sector Energy Efficiency Programme (PPSEEP)</w:t>
      </w:r>
      <w:r w:rsidR="00EB1DE2" w:rsidRPr="00F737AD">
        <w:rPr>
          <w:rFonts w:ascii="Calibri" w:hAnsi="Calibri" w:cs="Calibri"/>
          <w:i/>
          <w:sz w:val="20"/>
          <w:szCs w:val="20"/>
          <w:lang w:val="en-GB" w:eastAsia="en-GB"/>
        </w:rPr>
        <w:t>.</w:t>
      </w:r>
      <w:r w:rsidR="005C71A0" w:rsidRPr="00F737AD">
        <w:rPr>
          <w:rFonts w:ascii="Calibri" w:hAnsi="Calibri" w:cs="Calibri"/>
          <w:i/>
          <w:sz w:val="20"/>
          <w:szCs w:val="20"/>
          <w:lang w:val="en-GB" w:eastAsia="en-GB"/>
        </w:rPr>
        <w:t xml:space="preserve"> </w:t>
      </w:r>
      <w:r w:rsidR="005C71A0" w:rsidRPr="00F737AD">
        <w:rPr>
          <w:rFonts w:ascii="Calibri" w:hAnsi="Calibri" w:cs="Calibri"/>
          <w:sz w:val="20"/>
          <w:szCs w:val="20"/>
          <w:lang w:val="en-GB" w:eastAsia="en-GB"/>
        </w:rPr>
        <w:t xml:space="preserve">This program aims to provide funding (with </w:t>
      </w:r>
      <w:r w:rsidR="005C71A0" w:rsidRPr="00F737AD">
        <w:rPr>
          <w:rFonts w:ascii="Calibri" w:hAnsi="Calibri" w:cs="Calibri"/>
          <w:noProof/>
          <w:sz w:val="20"/>
          <w:szCs w:val="20"/>
          <w:lang w:val="en-GB" w:eastAsia="en-GB"/>
        </w:rPr>
        <w:t>low</w:t>
      </w:r>
      <w:r w:rsidR="00C45283" w:rsidRPr="00F737AD">
        <w:rPr>
          <w:rFonts w:ascii="Calibri" w:hAnsi="Calibri" w:cs="Calibri"/>
          <w:noProof/>
          <w:sz w:val="20"/>
          <w:szCs w:val="20"/>
          <w:lang w:val="en-GB" w:eastAsia="en-GB"/>
        </w:rPr>
        <w:t>-</w:t>
      </w:r>
      <w:r w:rsidR="005C71A0" w:rsidRPr="00F737AD">
        <w:rPr>
          <w:rFonts w:ascii="Calibri" w:hAnsi="Calibri" w:cs="Calibri"/>
          <w:noProof/>
          <w:sz w:val="20"/>
          <w:szCs w:val="20"/>
          <w:lang w:val="en-GB" w:eastAsia="en-GB"/>
        </w:rPr>
        <w:t>interest</w:t>
      </w:r>
      <w:r w:rsidR="005C71A0" w:rsidRPr="00F737AD">
        <w:rPr>
          <w:rFonts w:ascii="Calibri" w:hAnsi="Calibri" w:cs="Calibri"/>
          <w:sz w:val="20"/>
          <w:szCs w:val="20"/>
          <w:lang w:val="en-GB" w:eastAsia="en-GB"/>
        </w:rPr>
        <w:t xml:space="preserve"> rates) to medium-sized energy efficiency projects both for public and private clients</w:t>
      </w:r>
      <w:r w:rsidR="00DB5A1B" w:rsidRPr="00F737AD">
        <w:rPr>
          <w:rFonts w:ascii="Calibri" w:hAnsi="Calibri" w:cs="Calibri"/>
          <w:sz w:val="20"/>
          <w:szCs w:val="20"/>
          <w:lang w:val="en-GB" w:eastAsia="en-GB"/>
        </w:rPr>
        <w:t xml:space="preserve"> (direct funding)</w:t>
      </w:r>
      <w:r w:rsidR="005C71A0" w:rsidRPr="00F737AD">
        <w:rPr>
          <w:rFonts w:ascii="Calibri" w:hAnsi="Calibri" w:cs="Calibri"/>
          <w:sz w:val="20"/>
          <w:szCs w:val="20"/>
          <w:lang w:val="en-GB" w:eastAsia="en-GB"/>
        </w:rPr>
        <w:t>, as well as providing additional support to the ESCO market as a critical element of off-balance sheet funding and risk sharing. The PPSEEP is currently in its formulation stage.</w:t>
      </w:r>
      <w:r w:rsidR="002075FC" w:rsidRPr="00666B27">
        <w:rPr>
          <w:lang w:val="en-GB"/>
        </w:rPr>
        <w:t xml:space="preserve"> </w:t>
      </w:r>
      <w:r w:rsidR="002075FC" w:rsidRPr="00F737AD">
        <w:rPr>
          <w:rFonts w:ascii="Calibri" w:hAnsi="Calibri" w:cs="Calibri"/>
          <w:sz w:val="20"/>
          <w:szCs w:val="20"/>
          <w:lang w:val="en-GB" w:eastAsia="en-GB"/>
        </w:rPr>
        <w:t>On a broad description, it builds on the National Business Initiative (NBI) and a large set of energy audits previously developed by the Carbon Trust.</w:t>
      </w:r>
      <w:r w:rsidR="002075FC" w:rsidRPr="0057545E">
        <w:rPr>
          <w:rStyle w:val="FootnoteReference"/>
          <w:szCs w:val="20"/>
          <w:lang w:val="en-GB" w:eastAsia="en-GB"/>
        </w:rPr>
        <w:footnoteReference w:id="55"/>
      </w:r>
    </w:p>
    <w:p w:rsidR="00FD7DAF" w:rsidRPr="00F737AD" w:rsidRDefault="00FD7DAF" w:rsidP="00202887">
      <w:pPr>
        <w:rPr>
          <w:rFonts w:cs="Calibri"/>
          <w:szCs w:val="20"/>
          <w:lang w:val="en-GB" w:eastAsia="en-GB"/>
        </w:rPr>
      </w:pPr>
    </w:p>
    <w:p w:rsidR="00202887" w:rsidRPr="00F737AD" w:rsidRDefault="009041E1" w:rsidP="009404A8">
      <w:pPr>
        <w:spacing w:after="0"/>
        <w:rPr>
          <w:rFonts w:cs="Calibri"/>
          <w:szCs w:val="20"/>
          <w:lang w:val="en-GB" w:eastAsia="en-GB"/>
        </w:rPr>
      </w:pPr>
      <w:r w:rsidRPr="00F737AD">
        <w:rPr>
          <w:rFonts w:cs="Calibri"/>
          <w:szCs w:val="20"/>
          <w:lang w:val="en-GB" w:eastAsia="en-GB"/>
        </w:rPr>
        <w:lastRenderedPageBreak/>
        <w:t>Rural municipalities have a higher cost of external finance, are heavily dependent on central government grants and some of them are currently in debt recovery status. The funding allocation from all the infrastructure grant programs has resulted in that rural municipalities are accustomed to receiving grant funding for these projects and makes it difficult for non-grant programs to be developed.</w:t>
      </w:r>
      <w:r w:rsidR="002075FC" w:rsidRPr="00F737AD">
        <w:rPr>
          <w:rFonts w:cs="Calibri"/>
          <w:szCs w:val="20"/>
          <w:lang w:val="en-GB" w:eastAsia="en-GB"/>
        </w:rPr>
        <w:t xml:space="preserve"> </w:t>
      </w:r>
      <w:r w:rsidR="00202887" w:rsidRPr="00F737AD">
        <w:rPr>
          <w:rFonts w:cs="Calibri"/>
          <w:szCs w:val="20"/>
          <w:lang w:val="en-GB" w:eastAsia="en-GB"/>
        </w:rPr>
        <w:t xml:space="preserve">On the other hand, metropolitan municipalities receive relatively little grant funding for these purposes. The eight larger, metropolitan municipalities have good access to capital markets. They are considered investment-grade, with interest rates marginally superior to those of the national government (e.g. 10-year South African government bond currently yields 9.2%). Considering their substantially stronger revenue generation and their </w:t>
      </w:r>
      <w:r w:rsidR="00202887" w:rsidRPr="00F737AD">
        <w:rPr>
          <w:rFonts w:cs="Calibri"/>
          <w:noProof/>
          <w:szCs w:val="20"/>
          <w:lang w:val="en-GB" w:eastAsia="en-GB"/>
        </w:rPr>
        <w:t>investment</w:t>
      </w:r>
      <w:r w:rsidR="00C45283" w:rsidRPr="00F737AD">
        <w:rPr>
          <w:rFonts w:cs="Calibri"/>
          <w:noProof/>
          <w:szCs w:val="20"/>
          <w:lang w:val="en-GB" w:eastAsia="en-GB"/>
        </w:rPr>
        <w:t>-</w:t>
      </w:r>
      <w:r w:rsidR="00202887" w:rsidRPr="00F737AD">
        <w:rPr>
          <w:rFonts w:cs="Calibri"/>
          <w:noProof/>
          <w:szCs w:val="20"/>
          <w:lang w:val="en-GB" w:eastAsia="en-GB"/>
        </w:rPr>
        <w:t>grade</w:t>
      </w:r>
      <w:r w:rsidR="00202887" w:rsidRPr="00F737AD">
        <w:rPr>
          <w:rFonts w:cs="Calibri"/>
          <w:szCs w:val="20"/>
          <w:lang w:val="en-GB" w:eastAsia="en-GB"/>
        </w:rPr>
        <w:t xml:space="preserve"> status, a financial mechanism that includes a debt component may</w:t>
      </w:r>
      <w:r w:rsidR="00C45283" w:rsidRPr="00F737AD">
        <w:rPr>
          <w:rFonts w:cs="Calibri"/>
          <w:szCs w:val="20"/>
          <w:lang w:val="en-GB" w:eastAsia="en-GB"/>
        </w:rPr>
        <w:t>, therefore,</w:t>
      </w:r>
      <w:r w:rsidR="009404A8" w:rsidRPr="00F737AD">
        <w:rPr>
          <w:rFonts w:cs="Calibri"/>
          <w:szCs w:val="20"/>
          <w:lang w:val="en-GB" w:eastAsia="en-GB"/>
        </w:rPr>
        <w:t xml:space="preserve"> </w:t>
      </w:r>
      <w:r w:rsidR="00202887" w:rsidRPr="00F737AD">
        <w:rPr>
          <w:rFonts w:cs="Calibri"/>
          <w:szCs w:val="20"/>
          <w:lang w:val="en-GB" w:eastAsia="en-GB"/>
        </w:rPr>
        <w:t>be suitable for the metropolitan municipalities.</w:t>
      </w:r>
      <w:r w:rsidR="009404A8" w:rsidRPr="00F737AD">
        <w:rPr>
          <w:rFonts w:cs="Calibri"/>
          <w:szCs w:val="20"/>
          <w:lang w:val="en-GB" w:eastAsia="en-GB"/>
        </w:rPr>
        <w:t xml:space="preserve"> </w:t>
      </w:r>
      <w:r w:rsidR="00202887" w:rsidRPr="00F737AD">
        <w:rPr>
          <w:rFonts w:cs="Calibri"/>
          <w:szCs w:val="20"/>
          <w:lang w:val="en-GB" w:eastAsia="en-GB"/>
        </w:rPr>
        <w:t>It is worth noting that the municipalities do not typically request debt funding for specific projects once their project preparation phase is completed, rather the capital expenditures for the following three fiscal years are planned in a very well-defined budget development process. If external funding is deemed to be required for the approved budgets, the treasury department of the municipality issues a tender for the provision of such funding. DBSA regularly participates in such tenders and currently has credit lines open to most of the major municipalities.</w:t>
      </w:r>
    </w:p>
    <w:p w:rsidR="005C1802" w:rsidRPr="00F737AD" w:rsidRDefault="005C1802" w:rsidP="00DA0E7E">
      <w:pPr>
        <w:rPr>
          <w:rFonts w:cs="Calibri"/>
          <w:szCs w:val="20"/>
          <w:lang w:val="en-GB" w:eastAsia="en-GB"/>
        </w:rPr>
      </w:pPr>
    </w:p>
    <w:p w:rsidR="00DB5A1B" w:rsidRPr="00F737AD" w:rsidRDefault="00DB5A1B" w:rsidP="00DB5A1B">
      <w:pPr>
        <w:spacing w:after="0"/>
        <w:rPr>
          <w:rFonts w:cs="Calibri"/>
          <w:i/>
          <w:szCs w:val="20"/>
          <w:lang w:val="en-GB" w:eastAsia="en-GB"/>
        </w:rPr>
      </w:pPr>
      <w:r w:rsidRPr="00F737AD">
        <w:rPr>
          <w:rFonts w:cs="Calibri"/>
          <w:i/>
          <w:szCs w:val="20"/>
          <w:lang w:val="en-GB" w:eastAsia="en-GB"/>
        </w:rPr>
        <w:t>2)  ESCO models</w:t>
      </w:r>
    </w:p>
    <w:p w:rsidR="005C71A0" w:rsidRPr="00666B27" w:rsidRDefault="005C71A0" w:rsidP="00297A17">
      <w:pPr>
        <w:spacing w:after="0"/>
        <w:rPr>
          <w:rFonts w:ascii="Arial" w:hAnsi="Arial" w:cs="Arial"/>
          <w:b/>
          <w:bCs/>
          <w:color w:val="2E74B5"/>
          <w:sz w:val="18"/>
          <w:lang w:val="en-GB"/>
        </w:rPr>
      </w:pPr>
    </w:p>
    <w:p w:rsidR="00DB5A1B" w:rsidRPr="00666B27" w:rsidRDefault="00DB5A1B" w:rsidP="00297A17">
      <w:pPr>
        <w:spacing w:after="0"/>
        <w:rPr>
          <w:lang w:val="en-GB" w:eastAsia="en-GB"/>
        </w:rPr>
      </w:pPr>
      <w:r w:rsidRPr="00F737AD">
        <w:rPr>
          <w:rFonts w:cs="Calibri"/>
          <w:szCs w:val="20"/>
          <w:lang w:val="en-GB" w:eastAsia="en-GB"/>
        </w:rPr>
        <w:t xml:space="preserve">This financing model introduces </w:t>
      </w:r>
      <w:r w:rsidR="009404A8" w:rsidRPr="00F737AD">
        <w:rPr>
          <w:rFonts w:cs="Calibri"/>
          <w:szCs w:val="20"/>
          <w:lang w:val="en-GB" w:eastAsia="en-GB"/>
        </w:rPr>
        <w:t>the</w:t>
      </w:r>
      <w:r w:rsidRPr="00F737AD">
        <w:rPr>
          <w:rFonts w:cs="Calibri"/>
          <w:szCs w:val="20"/>
          <w:lang w:val="en-GB" w:eastAsia="en-GB"/>
        </w:rPr>
        <w:t xml:space="preserve"> Energy Services Company (ESCO)</w:t>
      </w:r>
      <w:r w:rsidR="009404A8" w:rsidRPr="00F737AD">
        <w:rPr>
          <w:rFonts w:cs="Calibri"/>
          <w:szCs w:val="20"/>
          <w:lang w:val="en-GB" w:eastAsia="en-GB"/>
        </w:rPr>
        <w:t xml:space="preserve"> concept</w:t>
      </w:r>
      <w:r w:rsidRPr="00F737AD">
        <w:rPr>
          <w:rFonts w:cs="Calibri"/>
          <w:szCs w:val="20"/>
          <w:lang w:val="en-GB" w:eastAsia="en-GB"/>
        </w:rPr>
        <w:t xml:space="preserve">. This is a special service provider that combines procurement of goods, project installation capability and a post-installation service. ESCOs </w:t>
      </w:r>
      <w:r w:rsidRPr="00F737AD">
        <w:rPr>
          <w:rFonts w:cs="Calibri"/>
          <w:noProof/>
          <w:szCs w:val="20"/>
          <w:lang w:val="en-GB" w:eastAsia="en-GB"/>
        </w:rPr>
        <w:t xml:space="preserve">work </w:t>
      </w:r>
      <w:r w:rsidR="005C71A0" w:rsidRPr="00666B27">
        <w:rPr>
          <w:lang w:val="en-GB" w:eastAsia="en-GB"/>
        </w:rPr>
        <w:t>on ‘</w:t>
      </w:r>
      <w:r w:rsidR="005C71A0" w:rsidRPr="00666B27">
        <w:rPr>
          <w:i/>
          <w:lang w:val="en-GB" w:eastAsia="en-GB"/>
        </w:rPr>
        <w:t>energy performance contracting (EPC)</w:t>
      </w:r>
      <w:r w:rsidR="005C71A0" w:rsidRPr="00666B27">
        <w:rPr>
          <w:lang w:val="en-GB" w:eastAsia="en-GB"/>
        </w:rPr>
        <w:t xml:space="preserve">’ basis, which provides energy savings measured in comparison with a previous energy cost baseline and in which the ESCO’s remuneration depends on the respective outputs of the services </w:t>
      </w:r>
      <w:r w:rsidRPr="00F737AD">
        <w:rPr>
          <w:rFonts w:cs="Calibri"/>
          <w:szCs w:val="20"/>
          <w:lang w:val="en-GB" w:eastAsia="en-GB"/>
        </w:rPr>
        <w:t>p</w:t>
      </w:r>
      <w:r w:rsidRPr="00666B27">
        <w:rPr>
          <w:lang w:val="en-GB" w:eastAsia="en-GB"/>
        </w:rPr>
        <w:t>rovided</w:t>
      </w:r>
      <w:r w:rsidR="005C71A0" w:rsidRPr="00666B27">
        <w:rPr>
          <w:lang w:val="en-GB" w:eastAsia="en-GB"/>
        </w:rPr>
        <w:t>.</w:t>
      </w:r>
      <w:r w:rsidRPr="00666B27">
        <w:rPr>
          <w:lang w:val="en-GB"/>
        </w:rPr>
        <w:t xml:space="preserve"> </w:t>
      </w:r>
      <w:r w:rsidRPr="00666B27">
        <w:rPr>
          <w:lang w:val="en-GB" w:eastAsia="en-GB"/>
        </w:rPr>
        <w:t xml:space="preserve">In principle, customers can have off-balance financing that will pay for the project through energy savings. A major advantage is that customers can fund the project over time and can do so with very little or no discretionary budgets and at </w:t>
      </w:r>
      <w:r w:rsidRPr="00666B27">
        <w:rPr>
          <w:noProof/>
          <w:lang w:val="en-GB" w:eastAsia="en-GB"/>
        </w:rPr>
        <w:t>relatively</w:t>
      </w:r>
      <w:r w:rsidRPr="00666B27">
        <w:rPr>
          <w:lang w:val="en-GB" w:eastAsia="en-GB"/>
        </w:rPr>
        <w:t xml:space="preserve"> low risk.</w:t>
      </w:r>
      <w:r w:rsidR="00040B5A" w:rsidRPr="00666B27">
        <w:rPr>
          <w:lang w:val="en-GB" w:eastAsia="en-GB"/>
        </w:rPr>
        <w:t xml:space="preserve">  The models do require a proven ESCO presence in the energy efficiency market.</w:t>
      </w:r>
    </w:p>
    <w:p w:rsidR="00C92AFF" w:rsidRPr="00666B27" w:rsidRDefault="00C92AFF" w:rsidP="00297A17">
      <w:pPr>
        <w:spacing w:after="0"/>
        <w:rPr>
          <w:lang w:val="en-GB" w:eastAsia="en-GB"/>
        </w:rPr>
      </w:pPr>
    </w:p>
    <w:p w:rsidR="00C92AFF" w:rsidRPr="00666B27" w:rsidRDefault="003A2690" w:rsidP="00297A17">
      <w:pPr>
        <w:spacing w:after="0"/>
        <w:rPr>
          <w:lang w:val="en-GB" w:eastAsia="en-GB"/>
        </w:rPr>
      </w:pPr>
      <w:r>
        <w:rPr>
          <w:noProof/>
        </w:rPr>
        <w:drawing>
          <wp:anchor distT="0" distB="0" distL="0" distR="0" simplePos="0" relativeHeight="251638784" behindDoc="0" locked="0" layoutInCell="1" allowOverlap="1">
            <wp:simplePos x="0" y="0"/>
            <wp:positionH relativeFrom="margin">
              <wp:align>right</wp:align>
            </wp:positionH>
            <wp:positionV relativeFrom="paragraph">
              <wp:posOffset>1031240</wp:posOffset>
            </wp:positionV>
            <wp:extent cx="6322695" cy="790575"/>
            <wp:effectExtent l="0" t="0" r="0" b="0"/>
            <wp:wrapTopAndBottom/>
            <wp:docPr id="227" name="image2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4.jpe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6322695" cy="790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92AFF" w:rsidRPr="0057545E">
        <w:rPr>
          <w:lang w:val="en-GB" w:eastAsia="en-GB"/>
        </w:rPr>
        <w:t xml:space="preserve">In the </w:t>
      </w:r>
      <w:r w:rsidR="00C92AFF" w:rsidRPr="0057545E">
        <w:rPr>
          <w:u w:val="single"/>
          <w:lang w:val="en-GB" w:eastAsia="en-GB"/>
        </w:rPr>
        <w:t>guaranteed savings</w:t>
      </w:r>
      <w:r w:rsidR="00C92AFF" w:rsidRPr="00353542">
        <w:rPr>
          <w:lang w:val="en-GB" w:eastAsia="en-GB"/>
        </w:rPr>
        <w:t xml:space="preserve"> (or performance guarantee) modality, the client makes the investment (from his own funds or the banks</w:t>
      </w:r>
      <w:r w:rsidR="007E33AD" w:rsidRPr="003B7D62">
        <w:rPr>
          <w:lang w:val="en-GB" w:eastAsia="en-GB"/>
        </w:rPr>
        <w:t>, or leasing</w:t>
      </w:r>
      <w:r w:rsidR="00C92AFF" w:rsidRPr="004722F0">
        <w:rPr>
          <w:lang w:val="en-GB" w:eastAsia="en-GB"/>
        </w:rPr>
        <w:t>) but the ESCO provi</w:t>
      </w:r>
      <w:r w:rsidR="00C92AFF" w:rsidRPr="00666B27">
        <w:rPr>
          <w:lang w:val="en-GB" w:eastAsia="en-GB"/>
        </w:rPr>
        <w:t xml:space="preserve">des a guarantee for the energy savings </w:t>
      </w:r>
      <w:r w:rsidR="00C92AFF" w:rsidRPr="00666B27">
        <w:rPr>
          <w:noProof/>
          <w:lang w:val="en-GB" w:eastAsia="en-GB"/>
        </w:rPr>
        <w:t>realised</w:t>
      </w:r>
      <w:r w:rsidR="00C92AFF" w:rsidRPr="00666B27">
        <w:rPr>
          <w:lang w:val="en-GB" w:eastAsia="en-GB"/>
        </w:rPr>
        <w:t xml:space="preserve">. Based on </w:t>
      </w:r>
      <w:r w:rsidR="00C92AFF" w:rsidRPr="00666B27">
        <w:rPr>
          <w:i/>
          <w:lang w:val="en-GB" w:eastAsia="en-GB"/>
        </w:rPr>
        <w:t>end-user or third-party financing</w:t>
      </w:r>
      <w:r w:rsidR="00C92AFF" w:rsidRPr="00666B27">
        <w:rPr>
          <w:lang w:val="en-GB" w:eastAsia="en-GB"/>
        </w:rPr>
        <w:t>, this model has the advantage that interest rates are usually much lower and therefore more energy efficiency investment is possible.</w:t>
      </w:r>
      <w:r w:rsidR="00C92AFF" w:rsidRPr="00666B27">
        <w:rPr>
          <w:lang w:val="en-GB"/>
        </w:rPr>
        <w:t xml:space="preserve"> </w:t>
      </w:r>
      <w:r w:rsidR="00C92AFF" w:rsidRPr="00666B27">
        <w:rPr>
          <w:lang w:val="en-GB" w:eastAsia="en-GB"/>
        </w:rPr>
        <w:t>At the same time, the risk for the end-client is reduced by transferring to the ESCO the responsibility that the project will perform correctly. Penalties are applied to the ESCO should the performance of the project not meet the contractually agreed terms.</w:t>
      </w:r>
      <w:r w:rsidR="00C92AFF" w:rsidRPr="00666B27">
        <w:rPr>
          <w:lang w:val="en-GB"/>
        </w:rPr>
        <w:t xml:space="preserve"> </w:t>
      </w:r>
      <w:r w:rsidR="00C92AFF" w:rsidRPr="00666B27">
        <w:rPr>
          <w:lang w:val="en-GB" w:eastAsia="en-GB"/>
        </w:rPr>
        <w:t>A graphical summary of this model is indicated below.</w:t>
      </w:r>
    </w:p>
    <w:p w:rsidR="00C92AFF" w:rsidRPr="00666B27" w:rsidRDefault="00C92AFF" w:rsidP="00297A17">
      <w:pPr>
        <w:spacing w:after="0"/>
        <w:rPr>
          <w:lang w:val="en-GB" w:eastAsia="en-GB"/>
        </w:rPr>
      </w:pPr>
    </w:p>
    <w:p w:rsidR="00B02292" w:rsidRPr="00666B27" w:rsidRDefault="007E33AD" w:rsidP="00B02292">
      <w:pPr>
        <w:spacing w:after="0"/>
        <w:rPr>
          <w:lang w:val="en-GB" w:eastAsia="en-GB"/>
        </w:rPr>
      </w:pPr>
      <w:r w:rsidRPr="00666B27">
        <w:rPr>
          <w:lang w:val="en-GB" w:eastAsia="en-GB"/>
        </w:rPr>
        <w:t xml:space="preserve">This model has similar advantages and disadvantages to the standard project </w:t>
      </w:r>
      <w:r w:rsidRPr="00666B27">
        <w:rPr>
          <w:noProof/>
          <w:lang w:val="en-GB" w:eastAsia="en-GB"/>
        </w:rPr>
        <w:t>development</w:t>
      </w:r>
      <w:r w:rsidRPr="00666B27">
        <w:rPr>
          <w:lang w:val="en-GB" w:eastAsia="en-GB"/>
        </w:rPr>
        <w:t xml:space="preserve"> but transfers part of the project performance risk to the ESCO. Typically, ESCOs build a portion of these performance risks in the project cost, increasing the capital investment requirements. Additional </w:t>
      </w:r>
      <w:r w:rsidR="009404A8" w:rsidRPr="00666B27">
        <w:rPr>
          <w:lang w:val="en-GB" w:eastAsia="en-GB"/>
        </w:rPr>
        <w:t>m</w:t>
      </w:r>
      <w:r w:rsidRPr="00666B27">
        <w:rPr>
          <w:lang w:val="en-GB" w:eastAsia="en-GB"/>
        </w:rPr>
        <w:t xml:space="preserve">easurement and </w:t>
      </w:r>
      <w:r w:rsidR="009404A8" w:rsidRPr="00666B27">
        <w:rPr>
          <w:lang w:val="en-GB" w:eastAsia="en-GB"/>
        </w:rPr>
        <w:t>v</w:t>
      </w:r>
      <w:r w:rsidRPr="00666B27">
        <w:rPr>
          <w:lang w:val="en-GB" w:eastAsia="en-GB"/>
        </w:rPr>
        <w:t>erification costs also need to be included which may result in the end-clients perceiving the project cost as “inflated” compared to a traditional project development case.</w:t>
      </w:r>
      <w:r w:rsidR="00B02292" w:rsidRPr="00666B27">
        <w:rPr>
          <w:lang w:val="en-GB" w:eastAsia="en-GB"/>
        </w:rPr>
        <w:t xml:space="preserve"> </w:t>
      </w:r>
    </w:p>
    <w:p w:rsidR="00B02292" w:rsidRPr="00666B27" w:rsidRDefault="00B02292" w:rsidP="00B02292">
      <w:pPr>
        <w:spacing w:after="0"/>
        <w:rPr>
          <w:lang w:val="en-GB" w:eastAsia="en-GB"/>
        </w:rPr>
      </w:pPr>
    </w:p>
    <w:p w:rsidR="00B02292" w:rsidRPr="00666B27" w:rsidRDefault="00B02292" w:rsidP="00B02292">
      <w:pPr>
        <w:spacing w:after="0"/>
        <w:rPr>
          <w:lang w:val="en-GB" w:eastAsia="en-GB"/>
        </w:rPr>
      </w:pPr>
      <w:r w:rsidRPr="00666B27">
        <w:rPr>
          <w:lang w:val="en-GB" w:eastAsia="en-GB"/>
        </w:rPr>
        <w:t>The more technically-competent end- clients like the metropolitan municipalities in South Africa may see a limited value on this model. The rural municipalities with less internal capacity are also more financially constrained, which means that they may not be able to access competitive sources of funding.</w:t>
      </w:r>
    </w:p>
    <w:p w:rsidR="00DB5A1B" w:rsidRPr="00666B27" w:rsidRDefault="00DB5A1B" w:rsidP="00297A17">
      <w:pPr>
        <w:spacing w:after="0"/>
        <w:rPr>
          <w:lang w:val="en-GB" w:eastAsia="en-GB"/>
        </w:rPr>
      </w:pPr>
    </w:p>
    <w:p w:rsidR="007E33AD" w:rsidRPr="00666B27" w:rsidRDefault="00040B5A" w:rsidP="00297A17">
      <w:pPr>
        <w:spacing w:after="0"/>
        <w:rPr>
          <w:lang w:val="en-GB" w:eastAsia="en-GB"/>
        </w:rPr>
      </w:pPr>
      <w:r w:rsidRPr="00666B27">
        <w:rPr>
          <w:lang w:val="en-GB" w:eastAsia="en-GB"/>
        </w:rPr>
        <w:t>A variation of the m</w:t>
      </w:r>
      <w:r w:rsidR="007E33AD" w:rsidRPr="00666B27">
        <w:rPr>
          <w:lang w:val="en-GB" w:eastAsia="en-GB"/>
        </w:rPr>
        <w:t xml:space="preserve">odality </w:t>
      </w:r>
      <w:r w:rsidRPr="00666B27">
        <w:rPr>
          <w:lang w:val="en-GB" w:eastAsia="en-GB"/>
        </w:rPr>
        <w:t xml:space="preserve">is </w:t>
      </w:r>
      <w:r w:rsidR="007E33AD" w:rsidRPr="00666B27">
        <w:rPr>
          <w:i/>
          <w:lang w:val="en-GB" w:eastAsia="en-GB"/>
        </w:rPr>
        <w:t>lease-purchase</w:t>
      </w:r>
      <w:r w:rsidR="007E33AD" w:rsidRPr="00666B27">
        <w:rPr>
          <w:lang w:val="en-GB" w:eastAsia="en-GB"/>
        </w:rPr>
        <w:t xml:space="preserve">, </w:t>
      </w:r>
      <w:r w:rsidRPr="00666B27">
        <w:rPr>
          <w:lang w:val="en-GB" w:eastAsia="en-GB"/>
        </w:rPr>
        <w:t xml:space="preserve">in which </w:t>
      </w:r>
      <w:r w:rsidR="007E33AD" w:rsidRPr="00666B27">
        <w:rPr>
          <w:lang w:val="en-GB" w:eastAsia="en-GB"/>
        </w:rPr>
        <w:t>the end-client leases the assets implemented by the ESCO and receives ownership at the end of the lease contract. Typically, the ESCO arranges the financing solution for the end-client with a leasing institution.</w:t>
      </w:r>
      <w:r w:rsidR="007E33AD" w:rsidRPr="00666B27">
        <w:rPr>
          <w:lang w:val="en-GB"/>
        </w:rPr>
        <w:t xml:space="preserve"> </w:t>
      </w:r>
      <w:r w:rsidR="007E33AD" w:rsidRPr="00666B27">
        <w:rPr>
          <w:lang w:val="en-GB" w:eastAsia="en-GB"/>
        </w:rPr>
        <w:t>This is a common model in energy efficiency projects in the public sector in developed ESCO markets.</w:t>
      </w:r>
      <w:r w:rsidR="007E33AD" w:rsidRPr="00666B27">
        <w:rPr>
          <w:lang w:val="en-GB"/>
        </w:rPr>
        <w:t xml:space="preserve"> </w:t>
      </w:r>
      <w:r w:rsidR="007E33AD" w:rsidRPr="00666B27">
        <w:rPr>
          <w:lang w:val="en-GB" w:eastAsia="en-GB"/>
        </w:rPr>
        <w:t>Despite its higher headline interest rates, it is a good alternative to traditional debt financing sources (loans, bonds) as they are much faster to deploy</w:t>
      </w:r>
      <w:r w:rsidR="007E33AD" w:rsidRPr="00666B27">
        <w:rPr>
          <w:lang w:val="en-GB"/>
        </w:rPr>
        <w:t xml:space="preserve"> (it </w:t>
      </w:r>
      <w:r w:rsidR="007E33AD" w:rsidRPr="00666B27">
        <w:rPr>
          <w:lang w:val="en-GB" w:eastAsia="en-GB"/>
        </w:rPr>
        <w:t xml:space="preserve">also allows the organization to pay for facility upgrades by using funds that are already allocated in its annual energy budget, which simplifies their internal </w:t>
      </w:r>
      <w:r w:rsidR="009404A8" w:rsidRPr="00666B27">
        <w:rPr>
          <w:lang w:val="en-GB" w:eastAsia="en-GB"/>
        </w:rPr>
        <w:t xml:space="preserve">approval </w:t>
      </w:r>
      <w:r w:rsidR="007E33AD" w:rsidRPr="00666B27">
        <w:rPr>
          <w:lang w:val="en-GB" w:eastAsia="en-GB"/>
        </w:rPr>
        <w:t xml:space="preserve">processes). </w:t>
      </w:r>
      <w:r w:rsidR="00B02292" w:rsidRPr="00666B27">
        <w:rPr>
          <w:lang w:val="en-GB" w:eastAsia="en-GB"/>
        </w:rPr>
        <w:t xml:space="preserve">The modality does not require </w:t>
      </w:r>
      <w:r w:rsidR="00B02292" w:rsidRPr="00666B27">
        <w:rPr>
          <w:lang w:val="en-GB" w:eastAsia="en-GB"/>
        </w:rPr>
        <w:lastRenderedPageBreak/>
        <w:t>technically- competent client and the performance risk is transferred to the ESCO.</w:t>
      </w:r>
      <w:r w:rsidR="00B02292" w:rsidRPr="00666B27">
        <w:rPr>
          <w:lang w:val="en-GB"/>
        </w:rPr>
        <w:t xml:space="preserve"> However, it </w:t>
      </w:r>
      <w:r w:rsidR="00B02292" w:rsidRPr="00666B27">
        <w:rPr>
          <w:lang w:val="en-GB" w:eastAsia="en-GB"/>
        </w:rPr>
        <w:t>requires leasing companies to understand the ESCO model and clients to be financially</w:t>
      </w:r>
      <w:r w:rsidR="009404A8" w:rsidRPr="00666B27">
        <w:rPr>
          <w:lang w:val="en-GB" w:eastAsia="en-GB"/>
        </w:rPr>
        <w:t xml:space="preserve"> </w:t>
      </w:r>
      <w:r w:rsidR="00B02292" w:rsidRPr="00666B27">
        <w:rPr>
          <w:lang w:val="en-GB" w:eastAsia="en-GB"/>
        </w:rPr>
        <w:t xml:space="preserve">competent (or have additional project preparation &amp; post implementation support). </w:t>
      </w:r>
      <w:r w:rsidR="007E33AD" w:rsidRPr="00666B27">
        <w:rPr>
          <w:lang w:val="en-GB" w:eastAsia="en-GB"/>
        </w:rPr>
        <w:t>A graphical summary is given below:</w:t>
      </w:r>
    </w:p>
    <w:p w:rsidR="007E33AD" w:rsidRPr="00666B27" w:rsidRDefault="007E33AD" w:rsidP="00297A17">
      <w:pPr>
        <w:spacing w:after="0"/>
        <w:rPr>
          <w:lang w:val="en-GB" w:eastAsia="en-GB"/>
        </w:rPr>
      </w:pPr>
    </w:p>
    <w:p w:rsidR="007E33AD" w:rsidRPr="0057545E" w:rsidRDefault="003A2690" w:rsidP="00297A17">
      <w:pPr>
        <w:spacing w:after="0"/>
        <w:rPr>
          <w:lang w:val="en-GB" w:eastAsia="en-GB"/>
        </w:rPr>
      </w:pPr>
      <w:r w:rsidRPr="00F737AD">
        <w:rPr>
          <w:noProof/>
          <w:lang w:val="en-GB" w:eastAsia="en-GB"/>
        </w:rPr>
        <w:drawing>
          <wp:inline distT="0" distB="0" distL="0" distR="0">
            <wp:extent cx="3850640" cy="1595120"/>
            <wp:effectExtent l="0" t="0" r="0" b="0"/>
            <wp:docPr id="4"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3850640" cy="1595120"/>
                    </a:xfrm>
                    <a:prstGeom prst="rect">
                      <a:avLst/>
                    </a:prstGeom>
                    <a:noFill/>
                    <a:ln>
                      <a:noFill/>
                    </a:ln>
                  </pic:spPr>
                </pic:pic>
              </a:graphicData>
            </a:graphic>
          </wp:inline>
        </w:drawing>
      </w:r>
    </w:p>
    <w:p w:rsidR="00DB5A1B" w:rsidRPr="00353542" w:rsidRDefault="00DB5A1B" w:rsidP="00297A17">
      <w:pPr>
        <w:spacing w:after="0"/>
        <w:rPr>
          <w:lang w:val="en-GB" w:eastAsia="en-GB"/>
        </w:rPr>
      </w:pPr>
    </w:p>
    <w:p w:rsidR="00B02292" w:rsidRPr="00353542" w:rsidRDefault="00B02292" w:rsidP="00B02292">
      <w:pPr>
        <w:spacing w:after="0"/>
        <w:rPr>
          <w:lang w:val="en-GB" w:eastAsia="en-GB"/>
        </w:rPr>
      </w:pPr>
      <w:r w:rsidRPr="003B7D62">
        <w:rPr>
          <w:lang w:val="en-GB" w:eastAsia="en-GB"/>
        </w:rPr>
        <w:t xml:space="preserve">In the case of South African municipalities, the management of public finances </w:t>
      </w:r>
      <w:r w:rsidRPr="004722F0">
        <w:rPr>
          <w:noProof/>
          <w:lang w:val="en-GB" w:eastAsia="en-GB"/>
        </w:rPr>
        <w:t>follow</w:t>
      </w:r>
      <w:r w:rsidR="00C45283" w:rsidRPr="00666B27">
        <w:rPr>
          <w:noProof/>
          <w:lang w:val="en-GB" w:eastAsia="en-GB"/>
        </w:rPr>
        <w:t>s</w:t>
      </w:r>
      <w:r w:rsidRPr="00666B27">
        <w:rPr>
          <w:lang w:val="en-GB" w:eastAsia="en-GB"/>
        </w:rPr>
        <w:t xml:space="preserve"> an integrated plan with clearly defined processes, which would result in implementation timelines of this model </w:t>
      </w:r>
      <w:proofErr w:type="gramStart"/>
      <w:r w:rsidRPr="00666B27">
        <w:rPr>
          <w:lang w:val="en-GB" w:eastAsia="en-GB"/>
        </w:rPr>
        <w:t>similar to</w:t>
      </w:r>
      <w:proofErr w:type="gramEnd"/>
      <w:r w:rsidRPr="00666B27">
        <w:rPr>
          <w:lang w:val="en-GB" w:eastAsia="en-GB"/>
        </w:rPr>
        <w:t xml:space="preserve"> others. This model also requires the utilization of a specialized financial institution with deep knowledge of the ESCO model</w:t>
      </w:r>
      <w:r w:rsidR="009404A8" w:rsidRPr="00666B27">
        <w:rPr>
          <w:lang w:val="en-GB" w:eastAsia="en-GB"/>
        </w:rPr>
        <w:t xml:space="preserve"> (</w:t>
      </w:r>
      <w:r w:rsidRPr="00666B27">
        <w:rPr>
          <w:lang w:val="en-GB" w:eastAsia="en-GB"/>
        </w:rPr>
        <w:t>not present currently in South Africa</w:t>
      </w:r>
      <w:r w:rsidR="009404A8" w:rsidRPr="00666B27">
        <w:rPr>
          <w:lang w:val="en-GB" w:eastAsia="en-GB"/>
        </w:rPr>
        <w:t xml:space="preserve">) </w:t>
      </w:r>
      <w:r w:rsidRPr="00666B27">
        <w:rPr>
          <w:lang w:val="en-GB" w:eastAsia="en-GB"/>
        </w:rPr>
        <w:t>and internal capacities to assess the projects and take ownership of the assets.</w:t>
      </w:r>
      <w:r w:rsidR="009041E1" w:rsidRPr="00666B27">
        <w:rPr>
          <w:lang w:val="en-GB" w:eastAsia="en-GB"/>
        </w:rPr>
        <w:t xml:space="preserve"> Applying the model in the Project’s Financial Instrument (EEFI) may lead to duplication of efforts with the shared-savings model </w:t>
      </w:r>
      <w:r w:rsidR="004D35FB" w:rsidRPr="00666B27">
        <w:rPr>
          <w:lang w:val="en-GB" w:eastAsia="en-GB"/>
        </w:rPr>
        <w:t xml:space="preserve">for energy efficiency in public buildings </w:t>
      </w:r>
      <w:r w:rsidR="009041E1" w:rsidRPr="00666B27">
        <w:rPr>
          <w:lang w:val="en-GB" w:eastAsia="en-GB"/>
        </w:rPr>
        <w:t xml:space="preserve">implemented under the V-NAMA programme (see </w:t>
      </w:r>
      <w:r w:rsidR="004D35FB" w:rsidRPr="00353542">
        <w:rPr>
          <w:lang w:val="en-GB" w:eastAsia="en-GB"/>
        </w:rPr>
        <w:fldChar w:fldCharType="begin"/>
      </w:r>
      <w:r w:rsidR="004D35FB" w:rsidRPr="00666B27">
        <w:rPr>
          <w:lang w:val="en-GB" w:eastAsia="en-GB"/>
        </w:rPr>
        <w:instrText xml:space="preserve"> REF _Ref25541 \h </w:instrText>
      </w:r>
      <w:r w:rsidR="004D35FB" w:rsidRPr="00353542">
        <w:rPr>
          <w:lang w:val="en-GB" w:eastAsia="en-GB"/>
        </w:rPr>
      </w:r>
      <w:r w:rsidR="004D35FB"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35</w:t>
      </w:r>
      <w:r w:rsidR="004D35FB" w:rsidRPr="00353542">
        <w:rPr>
          <w:lang w:val="en-GB" w:eastAsia="en-GB"/>
        </w:rPr>
        <w:fldChar w:fldCharType="end"/>
      </w:r>
      <w:r w:rsidR="004D35FB" w:rsidRPr="0057545E">
        <w:rPr>
          <w:lang w:val="en-GB" w:eastAsia="en-GB"/>
        </w:rPr>
        <w:t xml:space="preserve">). </w:t>
      </w:r>
    </w:p>
    <w:p w:rsidR="009041E1" w:rsidRPr="003B7D62" w:rsidRDefault="009041E1" w:rsidP="00297A17">
      <w:pPr>
        <w:spacing w:after="0"/>
        <w:rPr>
          <w:lang w:val="en-GB" w:eastAsia="en-GB"/>
        </w:rPr>
      </w:pPr>
    </w:p>
    <w:p w:rsidR="004D35FB" w:rsidRPr="00F737AD" w:rsidRDefault="005C71A0" w:rsidP="004D35FB">
      <w:pPr>
        <w:spacing w:after="0"/>
        <w:rPr>
          <w:rFonts w:cs="Calibri"/>
          <w:szCs w:val="20"/>
          <w:lang w:val="en-GB" w:eastAsia="en-GB"/>
        </w:rPr>
      </w:pPr>
      <w:r w:rsidRPr="004722F0">
        <w:rPr>
          <w:lang w:val="en-GB" w:eastAsia="en-GB"/>
        </w:rPr>
        <w:t xml:space="preserve">In </w:t>
      </w:r>
      <w:r w:rsidR="00040B5A" w:rsidRPr="00666B27">
        <w:rPr>
          <w:lang w:val="en-GB" w:eastAsia="en-GB"/>
        </w:rPr>
        <w:t xml:space="preserve">the </w:t>
      </w:r>
      <w:r w:rsidR="00297A17" w:rsidRPr="00666B27">
        <w:rPr>
          <w:u w:val="single"/>
          <w:lang w:val="en-GB" w:eastAsia="en-GB"/>
        </w:rPr>
        <w:t>shared savings</w:t>
      </w:r>
      <w:r w:rsidR="00297A17" w:rsidRPr="00666B27">
        <w:rPr>
          <w:lang w:val="en-GB" w:eastAsia="en-GB"/>
        </w:rPr>
        <w:t xml:space="preserve"> </w:t>
      </w:r>
      <w:r w:rsidR="00040B5A" w:rsidRPr="00666B27">
        <w:rPr>
          <w:lang w:val="en-GB" w:eastAsia="en-GB"/>
        </w:rPr>
        <w:t xml:space="preserve">modality, </w:t>
      </w:r>
      <w:r w:rsidR="00297A17" w:rsidRPr="00666B27">
        <w:rPr>
          <w:lang w:val="en-GB" w:eastAsia="en-GB"/>
        </w:rPr>
        <w:t>the ESCO</w:t>
      </w:r>
      <w:r w:rsidR="00040B5A" w:rsidRPr="00666B27">
        <w:rPr>
          <w:lang w:val="en-GB" w:eastAsia="en-GB"/>
        </w:rPr>
        <w:t xml:space="preserve"> guarantees the performance of the installation </w:t>
      </w:r>
      <w:r w:rsidR="00040B5A" w:rsidRPr="00666B27">
        <w:rPr>
          <w:i/>
          <w:lang w:val="en-GB" w:eastAsia="en-GB"/>
        </w:rPr>
        <w:t xml:space="preserve">and </w:t>
      </w:r>
      <w:r w:rsidR="00040B5A" w:rsidRPr="00666B27">
        <w:rPr>
          <w:lang w:val="en-GB" w:eastAsia="en-GB"/>
        </w:rPr>
        <w:t>invests o</w:t>
      </w:r>
      <w:r w:rsidR="00297A17" w:rsidRPr="00666B27">
        <w:rPr>
          <w:lang w:val="en-GB" w:eastAsia="en-GB"/>
        </w:rPr>
        <w:t xml:space="preserve">r provides financing, and recoups this through the contracting fee, i.e. the cost savings </w:t>
      </w:r>
      <w:r w:rsidR="00040B5A" w:rsidRPr="00666B27">
        <w:rPr>
          <w:lang w:val="en-GB" w:eastAsia="en-GB"/>
        </w:rPr>
        <w:t xml:space="preserve">(due to reduced energy consumption and maintenance) </w:t>
      </w:r>
      <w:r w:rsidR="00297A17" w:rsidRPr="00F737AD">
        <w:rPr>
          <w:rFonts w:cs="Calibri"/>
          <w:szCs w:val="20"/>
          <w:lang w:val="en-GB" w:eastAsia="en-GB"/>
        </w:rPr>
        <w:t xml:space="preserve">are shared by the ESCO and the client at a pre-determined percentage for a fixed number of years. Thus, the ESCO guarantees a certain level of cost savings to the customer, assuming both the performance and the credit risk. </w:t>
      </w:r>
      <w:r w:rsidR="00040B5A" w:rsidRPr="00F737AD">
        <w:rPr>
          <w:rFonts w:cs="Calibri"/>
          <w:szCs w:val="20"/>
          <w:lang w:val="en-GB" w:eastAsia="en-GB"/>
        </w:rPr>
        <w:t>Maintenance of the facilities is also typically included in the scope of the ESCO.</w:t>
      </w:r>
    </w:p>
    <w:p w:rsidR="004D35FB" w:rsidRPr="00F737AD" w:rsidRDefault="004D35FB" w:rsidP="004D35FB">
      <w:pPr>
        <w:spacing w:after="0"/>
        <w:rPr>
          <w:rFonts w:cs="Calibri"/>
          <w:szCs w:val="20"/>
          <w:lang w:val="en-GB" w:eastAsia="en-GB"/>
        </w:rPr>
      </w:pPr>
    </w:p>
    <w:p w:rsidR="00297A17" w:rsidRPr="00F737AD" w:rsidRDefault="004D35FB" w:rsidP="004D35FB">
      <w:pPr>
        <w:widowControl w:val="0"/>
        <w:autoSpaceDE w:val="0"/>
        <w:autoSpaceDN w:val="0"/>
        <w:spacing w:after="0"/>
        <w:ind w:right="49"/>
        <w:rPr>
          <w:rFonts w:eastAsia="Arial" w:cs="Calibri"/>
          <w:szCs w:val="20"/>
          <w:lang w:val="en-GB"/>
        </w:rPr>
      </w:pPr>
      <w:r w:rsidRPr="00F737AD">
        <w:rPr>
          <w:rFonts w:eastAsia="Arial" w:cs="Calibri"/>
          <w:noProof/>
          <w:szCs w:val="20"/>
          <w:lang w:val="en-GB"/>
        </w:rPr>
        <w:t>A regular</w:t>
      </w:r>
      <w:r w:rsidRPr="00F737AD">
        <w:rPr>
          <w:rFonts w:eastAsia="Arial" w:cs="Calibri"/>
          <w:szCs w:val="20"/>
          <w:lang w:val="en-GB"/>
        </w:rPr>
        <w:t xml:space="preserve"> </w:t>
      </w:r>
      <w:r w:rsidR="009404A8" w:rsidRPr="00F737AD">
        <w:rPr>
          <w:rFonts w:eastAsia="Arial" w:cs="Calibri"/>
          <w:szCs w:val="20"/>
          <w:lang w:val="en-GB"/>
        </w:rPr>
        <w:t>m</w:t>
      </w:r>
      <w:r w:rsidRPr="00F737AD">
        <w:rPr>
          <w:rFonts w:eastAsia="Arial" w:cs="Calibri"/>
          <w:szCs w:val="20"/>
          <w:lang w:val="en-GB"/>
        </w:rPr>
        <w:t xml:space="preserve">easurement and </w:t>
      </w:r>
      <w:r w:rsidR="009404A8" w:rsidRPr="00F737AD">
        <w:rPr>
          <w:rFonts w:eastAsia="Arial" w:cs="Calibri"/>
          <w:szCs w:val="20"/>
          <w:lang w:val="en-GB"/>
        </w:rPr>
        <w:t>v</w:t>
      </w:r>
      <w:r w:rsidRPr="00F737AD">
        <w:rPr>
          <w:rFonts w:eastAsia="Arial" w:cs="Calibri"/>
          <w:szCs w:val="20"/>
          <w:lang w:val="en-GB"/>
        </w:rPr>
        <w:t xml:space="preserve">erification (M&amp;V) report assesses the actual savings achieved during the period </w:t>
      </w:r>
      <w:r w:rsidR="009404A8" w:rsidRPr="00F737AD">
        <w:rPr>
          <w:rFonts w:eastAsia="Arial" w:cs="Calibri"/>
          <w:noProof/>
          <w:szCs w:val="20"/>
          <w:lang w:val="en-GB"/>
        </w:rPr>
        <w:t>analysed</w:t>
      </w:r>
      <w:r w:rsidRPr="00F737AD">
        <w:rPr>
          <w:rFonts w:eastAsia="Arial" w:cs="Calibri"/>
          <w:szCs w:val="20"/>
          <w:lang w:val="en-GB"/>
        </w:rPr>
        <w:t xml:space="preserve"> and determines the savings split. This report is typically performed on an annual basis and is used to reconcile the amounts due to the ESCO and the scheduled payments performed by the end-client under the contract. Depending on the result of the M&amp;V report, an additional payment is performed by the client or by the ESCO to settle the balance. </w:t>
      </w:r>
      <w:r w:rsidR="00040B5A" w:rsidRPr="00F737AD">
        <w:rPr>
          <w:rFonts w:cs="Calibri"/>
          <w:szCs w:val="20"/>
          <w:lang w:val="en-GB" w:eastAsia="en-GB"/>
        </w:rPr>
        <w:t xml:space="preserve"> The savings split may include the allocation of excess savings to the end-client in order to align its incentives into achieving </w:t>
      </w:r>
      <w:r w:rsidR="00040B5A" w:rsidRPr="00F737AD">
        <w:rPr>
          <w:rFonts w:cs="Calibri"/>
          <w:noProof/>
          <w:szCs w:val="20"/>
          <w:lang w:val="en-GB" w:eastAsia="en-GB"/>
        </w:rPr>
        <w:t>good</w:t>
      </w:r>
      <w:r w:rsidR="00040B5A" w:rsidRPr="00F737AD">
        <w:rPr>
          <w:rFonts w:cs="Calibri"/>
          <w:szCs w:val="20"/>
          <w:lang w:val="en-GB" w:eastAsia="en-GB"/>
        </w:rPr>
        <w:t xml:space="preserve"> performance.</w:t>
      </w:r>
    </w:p>
    <w:p w:rsidR="00297A17" w:rsidRPr="00F737AD" w:rsidRDefault="00297A17" w:rsidP="004D35FB">
      <w:pPr>
        <w:spacing w:after="0"/>
        <w:rPr>
          <w:rFonts w:cs="Calibri"/>
          <w:szCs w:val="20"/>
          <w:lang w:val="en-GB" w:eastAsia="en-GB"/>
        </w:rPr>
      </w:pPr>
    </w:p>
    <w:p w:rsidR="00297A17" w:rsidRPr="00666B27" w:rsidRDefault="00040B5A" w:rsidP="004D35FB">
      <w:pPr>
        <w:spacing w:after="0"/>
        <w:rPr>
          <w:lang w:val="en-GB" w:eastAsia="en-GB"/>
        </w:rPr>
      </w:pPr>
      <w:r w:rsidRPr="00F737AD">
        <w:rPr>
          <w:rFonts w:cs="Calibri"/>
          <w:szCs w:val="20"/>
          <w:lang w:val="en-GB" w:eastAsia="en-GB"/>
        </w:rPr>
        <w:t xml:space="preserve">This model has several advantages. It substantially reduces </w:t>
      </w:r>
      <w:r w:rsidR="00C45283" w:rsidRPr="00F737AD">
        <w:rPr>
          <w:rFonts w:cs="Calibri"/>
          <w:szCs w:val="20"/>
          <w:lang w:val="en-GB" w:eastAsia="en-GB"/>
        </w:rPr>
        <w:t xml:space="preserve">the </w:t>
      </w:r>
      <w:r w:rsidRPr="00F737AD">
        <w:rPr>
          <w:rFonts w:cs="Calibri"/>
          <w:noProof/>
          <w:szCs w:val="20"/>
          <w:lang w:val="en-GB" w:eastAsia="en-GB"/>
        </w:rPr>
        <w:t>risk</w:t>
      </w:r>
      <w:r w:rsidRPr="00F737AD">
        <w:rPr>
          <w:rFonts w:cs="Calibri"/>
          <w:szCs w:val="20"/>
          <w:lang w:val="en-GB" w:eastAsia="en-GB"/>
        </w:rPr>
        <w:t xml:space="preserve"> for the end-client and does not require any upfront capital. It also shifts the credit assessment to the ESCO, instead of the end-client and allows the reduction of transaction costs by packaging multiple projects from</w:t>
      </w:r>
      <w:r w:rsidRPr="00666B27">
        <w:rPr>
          <w:lang w:val="en-GB" w:eastAsia="en-GB"/>
        </w:rPr>
        <w:t xml:space="preserve"> one ESCO into a single loan. The main disadvantage of this model is that it increases the complexity of the program management, as payments to be made to the ESCO depend on the monitoring and verification (M&amp;V) of the savings</w:t>
      </w:r>
      <w:r w:rsidR="00770C5C" w:rsidRPr="00666B27">
        <w:rPr>
          <w:lang w:val="en-GB" w:eastAsia="en-GB"/>
        </w:rPr>
        <w:t xml:space="preserve">. </w:t>
      </w:r>
      <w:r w:rsidRPr="00666B27">
        <w:rPr>
          <w:lang w:val="en-GB" w:eastAsia="en-GB"/>
        </w:rPr>
        <w:t>In less-developed markets, ESCOs may not offer this model due to the inherent risk for them and inexperience with actual project implementation and verification of savings</w:t>
      </w:r>
      <w:r w:rsidRPr="0057545E">
        <w:rPr>
          <w:rStyle w:val="FootnoteReference"/>
          <w:lang w:val="en-GB" w:eastAsia="en-GB"/>
        </w:rPr>
        <w:footnoteReference w:id="56"/>
      </w:r>
      <w:r w:rsidRPr="0057545E">
        <w:rPr>
          <w:lang w:val="en-GB" w:eastAsia="en-GB"/>
        </w:rPr>
        <w:t>.</w:t>
      </w:r>
      <w:r w:rsidRPr="00353542">
        <w:rPr>
          <w:lang w:val="en-GB"/>
        </w:rPr>
        <w:t xml:space="preserve"> </w:t>
      </w:r>
      <w:r w:rsidR="00770C5C" w:rsidRPr="003B7D62">
        <w:rPr>
          <w:lang w:val="en-GB"/>
        </w:rPr>
        <w:t>There are options to mitigate this complexity and potential delay in the paymen</w:t>
      </w:r>
      <w:r w:rsidR="00770C5C" w:rsidRPr="004722F0">
        <w:rPr>
          <w:lang w:val="en-GB"/>
        </w:rPr>
        <w:t xml:space="preserve">ts, such as the establishment of a fixed annual fee (aligned with the expected savings of the project) into </w:t>
      </w:r>
      <w:r w:rsidR="00770C5C" w:rsidRPr="00666B27">
        <w:rPr>
          <w:lang w:val="en-GB"/>
        </w:rPr>
        <w:t xml:space="preserve">an escrow account, or the addition of an energy service agreement, whereby the utility bills are </w:t>
      </w:r>
      <w:r w:rsidR="009404A8" w:rsidRPr="00666B27">
        <w:rPr>
          <w:noProof/>
          <w:lang w:val="en-GB"/>
        </w:rPr>
        <w:t>channelled</w:t>
      </w:r>
      <w:r w:rsidR="00770C5C" w:rsidRPr="00666B27">
        <w:rPr>
          <w:lang w:val="en-GB"/>
        </w:rPr>
        <w:t xml:space="preserve"> through the ESCO and the client pays a predetermined fee that takes into account the expected cost reductions. In both </w:t>
      </w:r>
      <w:r w:rsidR="00770C5C" w:rsidRPr="00666B27">
        <w:rPr>
          <w:noProof/>
          <w:lang w:val="en-GB"/>
        </w:rPr>
        <w:t>options</w:t>
      </w:r>
      <w:r w:rsidR="00C45283" w:rsidRPr="00666B27">
        <w:rPr>
          <w:noProof/>
          <w:lang w:val="en-GB"/>
        </w:rPr>
        <w:t>,</w:t>
      </w:r>
      <w:r w:rsidR="00770C5C" w:rsidRPr="00666B27">
        <w:rPr>
          <w:lang w:val="en-GB"/>
        </w:rPr>
        <w:t xml:space="preserve"> an annual settlement of the achieved savings is </w:t>
      </w:r>
      <w:r w:rsidR="00770C5C" w:rsidRPr="00666B27">
        <w:rPr>
          <w:noProof/>
          <w:lang w:val="en-GB"/>
        </w:rPr>
        <w:t>required,</w:t>
      </w:r>
      <w:r w:rsidR="00770C5C" w:rsidRPr="00666B27">
        <w:rPr>
          <w:lang w:val="en-GB"/>
        </w:rPr>
        <w:t xml:space="preserve"> unless a simplified M&amp;V option (e.g. IPMVP type </w:t>
      </w:r>
      <w:r w:rsidR="00770C5C" w:rsidRPr="00666B27">
        <w:rPr>
          <w:lang w:val="en-GB"/>
        </w:rPr>
        <w:lastRenderedPageBreak/>
        <w:t xml:space="preserve">A) is utilized. This M&amp;V option determines the energy savings at the beginning of the contract and payments are based on this initial performance assessment. </w:t>
      </w:r>
      <w:r w:rsidRPr="00666B27">
        <w:rPr>
          <w:lang w:val="en-GB" w:eastAsia="en-GB"/>
        </w:rPr>
        <w:t>A graphical summary of this model with the escrow account option is indicated below:</w:t>
      </w:r>
    </w:p>
    <w:p w:rsidR="00040B5A" w:rsidRPr="0057545E" w:rsidRDefault="003A2690" w:rsidP="00040B5A">
      <w:pPr>
        <w:spacing w:after="0"/>
        <w:rPr>
          <w:lang w:val="en-GB" w:eastAsia="en-GB"/>
        </w:rPr>
      </w:pPr>
      <w:r>
        <w:rPr>
          <w:noProof/>
        </w:rPr>
        <w:drawing>
          <wp:anchor distT="0" distB="0" distL="0" distR="0" simplePos="0" relativeHeight="251639808" behindDoc="0" locked="0" layoutInCell="1" allowOverlap="1">
            <wp:simplePos x="0" y="0"/>
            <wp:positionH relativeFrom="margin">
              <wp:align>left</wp:align>
            </wp:positionH>
            <wp:positionV relativeFrom="paragraph">
              <wp:posOffset>166370</wp:posOffset>
            </wp:positionV>
            <wp:extent cx="5333365" cy="1676400"/>
            <wp:effectExtent l="0" t="0" r="0" b="0"/>
            <wp:wrapTopAndBottom/>
            <wp:docPr id="226"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6.pn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5333365"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040B5A" w:rsidRPr="00353542" w:rsidRDefault="00040B5A" w:rsidP="00040B5A">
      <w:pPr>
        <w:spacing w:after="0"/>
        <w:rPr>
          <w:lang w:val="en-GB" w:eastAsia="en-GB"/>
        </w:rPr>
      </w:pPr>
    </w:p>
    <w:p w:rsidR="009404A8" w:rsidRPr="00666B27" w:rsidRDefault="00F42139" w:rsidP="009404A8">
      <w:pPr>
        <w:spacing w:after="0"/>
        <w:rPr>
          <w:lang w:val="en-GB" w:eastAsia="en-GB"/>
        </w:rPr>
      </w:pPr>
      <w:r w:rsidRPr="003B7D62">
        <w:rPr>
          <w:lang w:val="en-GB" w:eastAsia="en-GB"/>
        </w:rPr>
        <w:t xml:space="preserve">This model represents a </w:t>
      </w:r>
      <w:r w:rsidRPr="004722F0">
        <w:rPr>
          <w:noProof/>
          <w:lang w:val="en-GB" w:eastAsia="en-GB"/>
        </w:rPr>
        <w:t>valuable</w:t>
      </w:r>
      <w:r w:rsidRPr="00666B27">
        <w:rPr>
          <w:lang w:val="en-GB" w:eastAsia="en-GB"/>
        </w:rPr>
        <w:t xml:space="preserve"> proposition for South African municipalities with limited technical capabilities and low credit ratings. It allows the transfer of infrastructure development, performance risk and potentially maintenance costs to an external company</w:t>
      </w:r>
      <w:r w:rsidR="009404A8" w:rsidRPr="00666B27">
        <w:rPr>
          <w:lang w:val="en-GB" w:eastAsia="en-GB"/>
        </w:rPr>
        <w:t>, the ESCO</w:t>
      </w:r>
      <w:r w:rsidRPr="00666B27">
        <w:rPr>
          <w:lang w:val="en-GB" w:eastAsia="en-GB"/>
        </w:rPr>
        <w:t>. This model is also a valuable approach for industrial and commercial clients, as the small size of energy efficiency projects from these clients does not typically justify a credit assessment process. The main advantage for the metros is the possibility to finance these projects from an OPEX standpoint, which is more stable and with pre-allocated amounts, facilitating the decision-making process.</w:t>
      </w:r>
      <w:r w:rsidRPr="00666B27">
        <w:rPr>
          <w:lang w:val="en-GB"/>
        </w:rPr>
        <w:t xml:space="preserve"> Municipalities are v</w:t>
      </w:r>
      <w:r w:rsidRPr="00666B27">
        <w:rPr>
          <w:lang w:val="en-GB" w:eastAsia="en-GB"/>
        </w:rPr>
        <w:t xml:space="preserve">ery risk-averse with their finances and want to avoid over-indebtedness. Due to the nature of the municipal budget approval, CAPEX projects </w:t>
      </w:r>
      <w:proofErr w:type="gramStart"/>
      <w:r w:rsidRPr="00666B27">
        <w:rPr>
          <w:lang w:val="en-GB" w:eastAsia="en-GB"/>
        </w:rPr>
        <w:t>have to</w:t>
      </w:r>
      <w:proofErr w:type="gramEnd"/>
      <w:r w:rsidRPr="00666B27">
        <w:rPr>
          <w:lang w:val="en-GB" w:eastAsia="en-GB"/>
        </w:rPr>
        <w:t xml:space="preserve"> be approved by the city council (or funded through grants). </w:t>
      </w:r>
    </w:p>
    <w:p w:rsidR="009404A8" w:rsidRPr="00666B27" w:rsidRDefault="009404A8" w:rsidP="009404A8">
      <w:pPr>
        <w:spacing w:after="0"/>
        <w:rPr>
          <w:lang w:val="en-GB" w:eastAsia="en-GB"/>
        </w:rPr>
      </w:pPr>
    </w:p>
    <w:p w:rsidR="009404A8" w:rsidRPr="00666B27" w:rsidRDefault="00F42139" w:rsidP="009404A8">
      <w:pPr>
        <w:spacing w:after="0"/>
        <w:rPr>
          <w:lang w:val="en-GB" w:eastAsia="en-GB"/>
        </w:rPr>
      </w:pPr>
      <w:r w:rsidRPr="00666B27">
        <w:rPr>
          <w:lang w:val="en-GB" w:eastAsia="en-GB"/>
        </w:rPr>
        <w:t xml:space="preserve">However, </w:t>
      </w:r>
      <w:r w:rsidRPr="00666B27">
        <w:rPr>
          <w:noProof/>
          <w:lang w:val="en-GB" w:eastAsia="en-GB"/>
        </w:rPr>
        <w:t>currently</w:t>
      </w:r>
      <w:r w:rsidR="00C45283" w:rsidRPr="00666B27">
        <w:rPr>
          <w:noProof/>
          <w:lang w:val="en-GB" w:eastAsia="en-GB"/>
        </w:rPr>
        <w:t>,</w:t>
      </w:r>
      <w:r w:rsidRPr="00666B27">
        <w:rPr>
          <w:lang w:val="en-GB" w:eastAsia="en-GB"/>
        </w:rPr>
        <w:t xml:space="preserve"> there is unclarity in the accounting policies of municipalities’ treasury departments regarding the shared-savings model. These contracts frequently contain at the same time elements of a rental, a service, a purchase and a loan agreement, which makes its recording complex and potentially ambiguous.</w:t>
      </w:r>
      <w:r w:rsidRPr="00666B27">
        <w:rPr>
          <w:lang w:val="en-GB"/>
        </w:rPr>
        <w:t xml:space="preserve"> </w:t>
      </w:r>
      <w:r w:rsidRPr="00666B27">
        <w:rPr>
          <w:lang w:val="en-GB" w:eastAsia="en-GB"/>
        </w:rPr>
        <w:t xml:space="preserve">The underlying reason for the ambiguity is whether the equipment installed by the ESCO is in effect municipally-owned or not. If municipal-owned, </w:t>
      </w:r>
      <w:r w:rsidR="002C7ACA" w:rsidRPr="00666B27">
        <w:rPr>
          <w:lang w:val="en-GB" w:eastAsia="en-GB"/>
        </w:rPr>
        <w:t>the accounting should not be different than a contract for the procurement of assets combined with a service contract and a loan liability to the ESCO. This means that these projects are considered a capital expenditure with a corresponding debt increase in the balance sheet of the municipality.</w:t>
      </w:r>
      <w:r w:rsidR="002C7ACA" w:rsidRPr="00666B27">
        <w:rPr>
          <w:lang w:val="en-GB"/>
        </w:rPr>
        <w:t xml:space="preserve"> This accounting approach would </w:t>
      </w:r>
      <w:r w:rsidR="002C7ACA" w:rsidRPr="00666B27">
        <w:rPr>
          <w:lang w:val="en-GB" w:eastAsia="en-GB"/>
        </w:rPr>
        <w:t>void one of the main potential advantages of the shared-savings model, which is the off-balance sheet financing of this infrastructure upgrade (booking it as an operational expenditure, in a similar way as an operating lease).</w:t>
      </w:r>
      <w:r w:rsidR="009404A8" w:rsidRPr="00666B27">
        <w:rPr>
          <w:lang w:val="en-GB" w:eastAsia="en-GB"/>
        </w:rPr>
        <w:t xml:space="preserve"> Public sector ESCO procurement will benefit from a process being developed to allow municipalities to procure energy services for longer than three years. A </w:t>
      </w:r>
      <w:r w:rsidR="009404A8" w:rsidRPr="00666B27">
        <w:rPr>
          <w:noProof/>
          <w:lang w:val="en-GB" w:eastAsia="en-GB"/>
        </w:rPr>
        <w:t>standardised</w:t>
      </w:r>
      <w:r w:rsidR="009404A8" w:rsidRPr="00666B27">
        <w:rPr>
          <w:lang w:val="en-GB" w:eastAsia="en-GB"/>
        </w:rPr>
        <w:t xml:space="preserve"> Request for Proposals (RFP) format is being created, funded by the GIZ. The RFP seeks to overcome the hurdle for municipalities to enter into long-term service agreements by creating a template that all municipalities can easily adopt, adapt and follow in procuring services from ESCOs.</w:t>
      </w:r>
    </w:p>
    <w:p w:rsidR="00F42139" w:rsidRPr="00666B27" w:rsidRDefault="00F42139" w:rsidP="00F42139">
      <w:pPr>
        <w:spacing w:after="0"/>
        <w:rPr>
          <w:lang w:val="en-GB" w:eastAsia="en-GB"/>
        </w:rPr>
      </w:pPr>
    </w:p>
    <w:p w:rsidR="00D657B8" w:rsidRPr="00666B27" w:rsidRDefault="00D657B8" w:rsidP="00D657B8">
      <w:pPr>
        <w:spacing w:after="0"/>
        <w:rPr>
          <w:lang w:val="en-GB" w:eastAsia="en-GB"/>
        </w:rPr>
      </w:pPr>
      <w:r w:rsidRPr="00666B27">
        <w:rPr>
          <w:lang w:val="en-GB" w:eastAsia="en-GB"/>
        </w:rPr>
        <w:t xml:space="preserve">A variation of this model introduces the role of a </w:t>
      </w:r>
      <w:r w:rsidRPr="00666B27">
        <w:rPr>
          <w:i/>
          <w:lang w:val="en-GB" w:eastAsia="en-GB"/>
        </w:rPr>
        <w:t>Super-ESCO</w:t>
      </w:r>
      <w:r w:rsidRPr="00666B27">
        <w:rPr>
          <w:lang w:val="en-GB" w:eastAsia="en-GB"/>
        </w:rPr>
        <w:t>, which acts as an additional agent between the ESCO, the lender and the end-client. The Super-ESCO manages most aspects of the project, including the detailed technical design, sourcing funds, providing performance guarantees to the client, selecting smaller ESCOs for project implementation, aggregating projects and overall management and coordination of the implementation and performance guarantee phases.</w:t>
      </w:r>
    </w:p>
    <w:p w:rsidR="00D657B8" w:rsidRPr="00666B27" w:rsidRDefault="00D657B8" w:rsidP="00D657B8">
      <w:pPr>
        <w:spacing w:after="0"/>
        <w:rPr>
          <w:lang w:val="en-GB"/>
        </w:rPr>
      </w:pPr>
      <w:r w:rsidRPr="00666B27">
        <w:rPr>
          <w:lang w:val="en-GB" w:eastAsia="en-GB"/>
        </w:rPr>
        <w:t>This option greatly simplifies the program for the end-client, reduces transaction costs for the lender, and supports the development of internal competencies amongst local or more inexperienced ESCOs. It also achieves economies of scale thanks to mass procurement of energy efficiency equipment. The main disadvantage is that a Super-ESCO may grow to dominate the ESCO market, creating a monopolistic situation.</w:t>
      </w:r>
      <w:r w:rsidR="002075FC" w:rsidRPr="00666B27">
        <w:rPr>
          <w:lang w:val="en-GB"/>
        </w:rPr>
        <w:t xml:space="preserve"> </w:t>
      </w:r>
      <w:bookmarkEnd w:id="293"/>
    </w:p>
    <w:p w:rsidR="009404A8" w:rsidRPr="00666B27" w:rsidRDefault="009404A8" w:rsidP="00D657B8">
      <w:pPr>
        <w:spacing w:after="0"/>
        <w:rPr>
          <w:lang w:val="en-GB"/>
        </w:rPr>
      </w:pPr>
    </w:p>
    <w:p w:rsidR="002C7ACA" w:rsidRPr="00666B27" w:rsidRDefault="002C7ACA" w:rsidP="002C7ACA">
      <w:pPr>
        <w:spacing w:after="0"/>
        <w:rPr>
          <w:lang w:val="en-GB" w:eastAsia="en-GB"/>
        </w:rPr>
      </w:pPr>
      <w:r w:rsidRPr="00666B27">
        <w:rPr>
          <w:lang w:val="en-GB" w:eastAsia="en-GB"/>
        </w:rPr>
        <w:t xml:space="preserve">In India, the Super-ESCO model has been successfully applied and showcased in LED public lighting projects. Energy Efficiency Services Limited (EESL) is a super ESCO set up by the Ministry of Power.  EESL typically operates with a government guarantee scheme as risk mitigation in the case of performing ESCO services. EESL replaced about 92,000 HPS and TL street lights with LED lighting, resulting in 50% energy savings and improved road illumination levels in the city of Vizag, and is working with </w:t>
      </w:r>
      <w:r w:rsidR="003A2690">
        <w:rPr>
          <w:noProof/>
        </w:rPr>
        <w:lastRenderedPageBreak/>
        <mc:AlternateContent>
          <mc:Choice Requires="wps">
            <w:drawing>
              <wp:anchor distT="45720" distB="45720" distL="144145" distR="144145" simplePos="0" relativeHeight="251640832" behindDoc="1" locked="0" layoutInCell="1" allowOverlap="1">
                <wp:simplePos x="0" y="0"/>
                <wp:positionH relativeFrom="margin">
                  <wp:align>left</wp:align>
                </wp:positionH>
                <wp:positionV relativeFrom="page">
                  <wp:posOffset>946785</wp:posOffset>
                </wp:positionV>
                <wp:extent cx="6313805" cy="2922905"/>
                <wp:effectExtent l="0" t="0" r="0" b="0"/>
                <wp:wrapTight wrapText="bothSides">
                  <wp:wrapPolygon edited="0">
                    <wp:start x="0" y="0"/>
                    <wp:lineTo x="0" y="21398"/>
                    <wp:lineTo x="21507" y="21398"/>
                    <wp:lineTo x="21507" y="0"/>
                    <wp:lineTo x="0" y="0"/>
                  </wp:wrapPolygon>
                </wp:wrapTight>
                <wp:docPr id="225"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3805" cy="2922905"/>
                        </a:xfrm>
                        <a:prstGeom prst="rect">
                          <a:avLst/>
                        </a:prstGeom>
                        <a:solidFill>
                          <a:srgbClr val="ED7D31">
                            <a:lumMod val="20000"/>
                            <a:lumOff val="80000"/>
                          </a:srgbClr>
                        </a:solidFill>
                        <a:ln>
                          <a:noFill/>
                        </a:ln>
                      </wps:spPr>
                      <wps:txbx>
                        <w:txbxContent>
                          <w:p w:rsidR="00540FEA" w:rsidRDefault="00540FEA" w:rsidP="0097118F">
                            <w:pPr>
                              <w:pStyle w:val="Caption"/>
                              <w:rPr>
                                <w:rFonts w:ascii="Arial" w:hAnsi="Arial" w:cs="Arial"/>
                                <w:color w:val="2E74B5"/>
                                <w:sz w:val="18"/>
                              </w:rPr>
                            </w:pPr>
                            <w:bookmarkStart w:id="294" w:name="_Ref25541"/>
                            <w:bookmarkStart w:id="295" w:name="_Toc17985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35</w:t>
                            </w:r>
                            <w:r w:rsidRPr="00A21E05">
                              <w:rPr>
                                <w:rFonts w:ascii="Arial" w:hAnsi="Arial" w:cs="Arial"/>
                                <w:color w:val="2E74B5"/>
                                <w:sz w:val="18"/>
                              </w:rPr>
                              <w:fldChar w:fldCharType="end"/>
                            </w:r>
                            <w:bookmarkEnd w:id="294"/>
                            <w:r>
                              <w:rPr>
                                <w:rFonts w:ascii="Arial" w:hAnsi="Arial" w:cs="Arial"/>
                                <w:color w:val="2E74B5"/>
                                <w:sz w:val="18"/>
                              </w:rPr>
                              <w:tab/>
                            </w:r>
                            <w:r w:rsidRPr="0097118F">
                              <w:rPr>
                                <w:rFonts w:ascii="Arial" w:hAnsi="Arial" w:cs="Arial"/>
                                <w:color w:val="2E74B5"/>
                                <w:sz w:val="18"/>
                              </w:rPr>
                              <w:t>Energy Efficiency in Public Buildings and Infrastructure Programme (EEPBIP)</w:t>
                            </w:r>
                            <w:bookmarkEnd w:id="295"/>
                          </w:p>
                          <w:p w:rsidR="00540FEA" w:rsidRPr="00CC313E" w:rsidRDefault="00540FEA" w:rsidP="0097118F"/>
                          <w:p w:rsidR="00540FEA" w:rsidRPr="00F737AD" w:rsidRDefault="00540FEA" w:rsidP="0097118F">
                            <w:pPr>
                              <w:spacing w:after="0"/>
                              <w:rPr>
                                <w:rFonts w:cs="Calibri"/>
                                <w:sz w:val="19"/>
                                <w:szCs w:val="19"/>
                                <w:lang w:val="en-GB" w:eastAsia="en-GB"/>
                              </w:rPr>
                            </w:pPr>
                            <w:r w:rsidRPr="00F737AD">
                              <w:rPr>
                                <w:rFonts w:cs="Calibri"/>
                                <w:sz w:val="19"/>
                                <w:szCs w:val="19"/>
                                <w:lang w:val="en-GB" w:eastAsia="en-GB"/>
                              </w:rPr>
                              <w:t>The V-NAMA</w:t>
                            </w:r>
                            <w:r w:rsidRPr="0097118F">
                              <w:rPr>
                                <w:rFonts w:ascii="Arial" w:hAnsi="Arial"/>
                                <w:sz w:val="19"/>
                                <w:szCs w:val="19"/>
                                <w:lang w:val="en-GB" w:eastAsia="en-GB"/>
                              </w:rPr>
                              <w:t>*</w:t>
                            </w:r>
                            <w:r w:rsidRPr="00F737AD">
                              <w:rPr>
                                <w:rFonts w:cs="Calibri"/>
                                <w:sz w:val="19"/>
                                <w:szCs w:val="19"/>
                                <w:lang w:val="en-GB" w:eastAsia="en-GB"/>
                              </w:rPr>
                              <w:t xml:space="preserve"> </w:t>
                            </w:r>
                            <w:r w:rsidRPr="00F737AD">
                              <w:rPr>
                                <w:rFonts w:cs="Calibri"/>
                                <w:b/>
                                <w:sz w:val="19"/>
                                <w:szCs w:val="19"/>
                                <w:lang w:val="en-GB" w:eastAsia="en-GB"/>
                              </w:rPr>
                              <w:t>Energy Efficiency in Public Buildings and Infrastructure Programme (EEPBIP</w:t>
                            </w:r>
                            <w:r w:rsidRPr="00F737AD">
                              <w:rPr>
                                <w:rFonts w:cs="Calibri"/>
                                <w:sz w:val="19"/>
                                <w:szCs w:val="19"/>
                                <w:lang w:val="en-GB" w:eastAsia="en-GB"/>
                              </w:rPr>
                              <w:t>) uses the procurement potential of the public sector to strengthen the market for energy service companies (ESCOs) in order to establish a critical mass of projects in the market, and it incorporates already existing expertise in identifying energy efficiency potentials in public buildings into which ESCOs are invited. EEPBIP will be implemented with a EUR 20 million budget during 2019-2023. In its financial component (EUR 15 million), a Project Preparation Facility enables provinces and municipalities to develop bankable energy efficiency investment plans for their public buildings. About ZAR 12.3M may be dedicated to the partial guarantee for loans. The Guarantee Fund supports private ESCOs in raising the necessary finance for entering contracts with the public owners of these buildings to finance and implement these plans (based on the “shared-savings” ESCO model, without the Super-ESCO; see main text). The financial partner may be the Industrial Development Corporation (IDC). In its technical component (EUR 5 million), a Service Desk advises provinces and municipalities on energy efficiency opportunities in public buildings by helping to raise awareness, understand the potential for energy efficiency and associated profits and carbon savings, set baselines and targets and finally identify concrete energy saving opportunities. The desk supports the government in measuring the EEPBIP’s results and it supports further development of mechanisms that promote energy efficiency.</w:t>
                            </w:r>
                          </w:p>
                          <w:p w:rsidR="00540FEA" w:rsidRPr="0097118F" w:rsidRDefault="00540FEA" w:rsidP="0097118F">
                            <w:pPr>
                              <w:spacing w:after="0"/>
                              <w:rPr>
                                <w:noProof/>
                                <w:sz w:val="19"/>
                                <w:szCs w:val="19"/>
                                <w:lang w:val="en-GB"/>
                              </w:rPr>
                            </w:pPr>
                          </w:p>
                          <w:p w:rsidR="00540FEA" w:rsidRPr="0097118F" w:rsidRDefault="00540FEA" w:rsidP="0097118F">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0" type="#_x0000_t202" style="position:absolute;left:0;text-align:left;margin-left:0;margin-top:74.55pt;width:497.15pt;height:230.15pt;z-index:-251675648;visibility:visible;mso-wrap-style:square;mso-width-percent:0;mso-height-percent:0;mso-wrap-distance-left:11.35pt;mso-wrap-distance-top:3.6pt;mso-wrap-distance-right:11.35pt;mso-wrap-distance-bottom:3.6pt;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" fillcolor="#fbe5d6" stroked="f">
                <v:textbox>
                  <w:txbxContent>
                    <w:p w:rsidR="00540FEA" w:rsidRDefault="00540FEA" w:rsidP="0097118F">
                      <w:pPr>
                        <w:pStyle w:val="Caption"/>
                        <w:rPr>
                          <w:rFonts w:ascii="Arial" w:hAnsi="Arial" w:cs="Arial"/>
                          <w:color w:val="2E74B5"/>
                          <w:sz w:val="18"/>
                        </w:rPr>
                      </w:pPr>
                      <w:bookmarkStart w:id="344" w:name="_Ref25541"/>
                      <w:bookmarkStart w:id="345" w:name="_Toc179859"/>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35</w:t>
                      </w:r>
                      <w:r w:rsidRPr="00A21E05">
                        <w:rPr>
                          <w:rFonts w:ascii="Arial" w:hAnsi="Arial" w:cs="Arial"/>
                          <w:color w:val="2E74B5"/>
                          <w:sz w:val="18"/>
                        </w:rPr>
                        <w:fldChar w:fldCharType="end"/>
                      </w:r>
                      <w:bookmarkEnd w:id="344"/>
                      <w:r>
                        <w:rPr>
                          <w:rFonts w:ascii="Arial" w:hAnsi="Arial" w:cs="Arial"/>
                          <w:color w:val="2E74B5"/>
                          <w:sz w:val="18"/>
                        </w:rPr>
                        <w:tab/>
                      </w:r>
                      <w:r w:rsidRPr="0097118F">
                        <w:rPr>
                          <w:rFonts w:ascii="Arial" w:hAnsi="Arial" w:cs="Arial"/>
                          <w:color w:val="2E74B5"/>
                          <w:sz w:val="18"/>
                        </w:rPr>
                        <w:t>Energy Efficiency in Public Buildings and Infrastructure Programme (EEPBIP)</w:t>
                      </w:r>
                      <w:bookmarkEnd w:id="345"/>
                    </w:p>
                    <w:p w:rsidR="00540FEA" w:rsidRPr="00CC313E" w:rsidRDefault="00540FEA" w:rsidP="0097118F"/>
                    <w:p w:rsidR="00540FEA" w:rsidRPr="00F737AD" w:rsidRDefault="00540FEA" w:rsidP="0097118F">
                      <w:pPr>
                        <w:spacing w:after="0"/>
                        <w:rPr>
                          <w:rFonts w:cs="Calibri"/>
                          <w:sz w:val="19"/>
                          <w:szCs w:val="19"/>
                          <w:lang w:val="en-GB" w:eastAsia="en-GB"/>
                        </w:rPr>
                      </w:pPr>
                      <w:r w:rsidRPr="00F737AD">
                        <w:rPr>
                          <w:rFonts w:cs="Calibri"/>
                          <w:sz w:val="19"/>
                          <w:szCs w:val="19"/>
                          <w:lang w:val="en-GB" w:eastAsia="en-GB"/>
                        </w:rPr>
                        <w:t>The V-NAMA</w:t>
                      </w:r>
                      <w:r w:rsidRPr="0097118F">
                        <w:rPr>
                          <w:rFonts w:ascii="Arial" w:hAnsi="Arial"/>
                          <w:sz w:val="19"/>
                          <w:szCs w:val="19"/>
                          <w:lang w:val="en-GB" w:eastAsia="en-GB"/>
                        </w:rPr>
                        <w:t>*</w:t>
                      </w:r>
                      <w:r w:rsidRPr="00F737AD">
                        <w:rPr>
                          <w:rFonts w:cs="Calibri"/>
                          <w:sz w:val="19"/>
                          <w:szCs w:val="19"/>
                          <w:lang w:val="en-GB" w:eastAsia="en-GB"/>
                        </w:rPr>
                        <w:t xml:space="preserve"> </w:t>
                      </w:r>
                      <w:r w:rsidRPr="00F737AD">
                        <w:rPr>
                          <w:rFonts w:cs="Calibri"/>
                          <w:b/>
                          <w:sz w:val="19"/>
                          <w:szCs w:val="19"/>
                          <w:lang w:val="en-GB" w:eastAsia="en-GB"/>
                        </w:rPr>
                        <w:t>Energy Efficiency in Public Buildings and Infrastructure Programme (EEPBIP</w:t>
                      </w:r>
                      <w:r w:rsidRPr="00F737AD">
                        <w:rPr>
                          <w:rFonts w:cs="Calibri"/>
                          <w:sz w:val="19"/>
                          <w:szCs w:val="19"/>
                          <w:lang w:val="en-GB" w:eastAsia="en-GB"/>
                        </w:rPr>
                        <w:t>) uses the procurement potential of the public sector to strengthen the market for energy service companies (ESCOs) in order to establish a critical mass of projects in the market, and it incorporates already existing expertise in identifying energy efficiency potentials in public buildings into which ESCOs are invited. EEPBIP will be implemented with a EUR 20 million budget during 2019-2023. In its financial component (EUR 15 million), a Project Preparation Facility enables provinces and municipalities to develop bankable energy efficiency investment plans for their public buildings. About ZAR 12.3M may be dedicated to the partial guarantee for loans. The Guarantee Fund supports private ESCOs in raising the necessary finance for entering contracts with the public owners of these buildings to finance and implement these plans (based on the “shared-savings” ESCO model, without the Super-ESCO; see main text). The financial partner may be the Industrial Development Corporation (IDC). In its technical component (EUR 5 million), a Service Desk advises provinces and municipalities on energy efficiency opportunities in public buildings by helping to raise awareness, understand the potential for energy efficiency and associated profits and carbon savings, set baselines and targets and finally identify concrete energy saving opportunities. The desk supports the government in measuring the EEPBIP’s results and it supports further development of mechanisms that promote energy efficiency.</w:t>
                      </w:r>
                    </w:p>
                    <w:p w:rsidR="00540FEA" w:rsidRPr="0097118F" w:rsidRDefault="00540FEA" w:rsidP="0097118F">
                      <w:pPr>
                        <w:spacing w:after="0"/>
                        <w:rPr>
                          <w:noProof/>
                          <w:sz w:val="19"/>
                          <w:szCs w:val="19"/>
                          <w:lang w:val="en-GB"/>
                        </w:rPr>
                      </w:pPr>
                    </w:p>
                    <w:p w:rsidR="00540FEA" w:rsidRPr="0097118F" w:rsidRDefault="00540FEA" w:rsidP="0097118F">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ight" anchorx="margin" anchory="page"/>
              </v:shape>
            </w:pict>
          </mc:Fallback>
        </mc:AlternateContent>
      </w:r>
      <w:r w:rsidRPr="0057545E">
        <w:rPr>
          <w:lang w:val="en-GB" w:eastAsia="en-GB"/>
        </w:rPr>
        <w:t>the Indian Bureau of Efficiency in other municipalities</w:t>
      </w:r>
      <w:r w:rsidRPr="0057545E">
        <w:rPr>
          <w:vertAlign w:val="superscript"/>
          <w:lang w:val="en-GB" w:eastAsia="en-GB"/>
        </w:rPr>
        <w:footnoteReference w:id="57"/>
      </w:r>
      <w:r w:rsidRPr="0057545E">
        <w:rPr>
          <w:lang w:val="en-GB" w:eastAsia="en-GB"/>
        </w:rPr>
        <w:t>. EESL has performed a mass LED rollout program known as UJALA that as of November 2018 has distributed over 330 million LED la</w:t>
      </w:r>
      <w:r w:rsidRPr="00353542">
        <w:rPr>
          <w:lang w:val="en-GB" w:eastAsia="en-GB"/>
        </w:rPr>
        <w:t>mps. This program heavily relies on electricity distribution</w:t>
      </w:r>
      <w:r w:rsidRPr="003B7D62">
        <w:rPr>
          <w:lang w:val="en-GB" w:eastAsia="en-GB"/>
        </w:rPr>
        <w:t xml:space="preserve"> companies in India (DISCOMs) to distribute the lamps to the end-consumers. These lessons and the potential role of equipment supplier could be useful for the setup of a lighting rollout program i</w:t>
      </w:r>
      <w:r w:rsidRPr="004722F0">
        <w:rPr>
          <w:lang w:val="en-GB" w:eastAsia="en-GB"/>
        </w:rPr>
        <w:t>n collaboration with the municipalities in South Africa.</w:t>
      </w:r>
    </w:p>
    <w:p w:rsidR="00040B5A" w:rsidRPr="00666B27" w:rsidRDefault="00040B5A" w:rsidP="00040B5A">
      <w:pPr>
        <w:spacing w:after="0"/>
        <w:rPr>
          <w:lang w:val="en-GB" w:eastAsia="en-GB"/>
        </w:rPr>
      </w:pPr>
    </w:p>
    <w:p w:rsidR="00F42139" w:rsidRPr="00353542" w:rsidRDefault="003A2690" w:rsidP="00D657B8">
      <w:pPr>
        <w:spacing w:after="0"/>
        <w:rPr>
          <w:lang w:val="en-GB" w:eastAsia="en-GB"/>
        </w:rPr>
      </w:pPr>
      <w:r>
        <w:rPr>
          <w:noProof/>
        </w:rPr>
        <w:drawing>
          <wp:anchor distT="0" distB="0" distL="0" distR="0" simplePos="0" relativeHeight="251641856" behindDoc="0" locked="0" layoutInCell="1" allowOverlap="1">
            <wp:simplePos x="0" y="0"/>
            <wp:positionH relativeFrom="margin">
              <wp:align>left</wp:align>
            </wp:positionH>
            <wp:positionV relativeFrom="paragraph">
              <wp:posOffset>281305</wp:posOffset>
            </wp:positionV>
            <wp:extent cx="6000750" cy="2616835"/>
            <wp:effectExtent l="0" t="0" r="0" b="0"/>
            <wp:wrapTopAndBottom/>
            <wp:docPr id="224"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png"/>
                    <pic:cNvPicPr>
                      <a:picLocks noChangeAspect="1" noChangeArrowheads="1"/>
                    </pic:cNvPicPr>
                  </pic:nvPicPr>
                  <pic:blipFill>
                    <a:blip r:embed="rId119" cstate="print">
                      <a:extLst>
                        <a:ext uri="{28A0092B-C50C-407E-A947-70E740481C1C}">
                          <a14:useLocalDpi xmlns:a14="http://schemas.microsoft.com/office/drawing/2010/main" val="0"/>
                        </a:ext>
                      </a:extLst>
                    </a:blip>
                    <a:srcRect/>
                    <a:stretch>
                      <a:fillRect/>
                    </a:stretch>
                  </pic:blipFill>
                  <pic:spPr bwMode="auto">
                    <a:xfrm>
                      <a:off x="0" y="0"/>
                      <a:ext cx="6000750" cy="26168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C7ACA" w:rsidRPr="0057545E">
        <w:rPr>
          <w:lang w:val="en-GB" w:eastAsia="en-GB"/>
        </w:rPr>
        <w:t>A graphical presentation of the Super-ESCO model is given below:</w:t>
      </w:r>
    </w:p>
    <w:p w:rsidR="009756FE" w:rsidRPr="003B7D62" w:rsidRDefault="009756FE" w:rsidP="00297A17">
      <w:pPr>
        <w:spacing w:after="0"/>
        <w:rPr>
          <w:i/>
          <w:lang w:val="en-GB" w:eastAsia="en-GB"/>
        </w:rPr>
      </w:pPr>
    </w:p>
    <w:p w:rsidR="007B16FE" w:rsidRPr="00666B27" w:rsidRDefault="002C7ACA" w:rsidP="00297A17">
      <w:pPr>
        <w:spacing w:after="0"/>
        <w:rPr>
          <w:i/>
          <w:lang w:val="en-GB" w:eastAsia="en-GB"/>
        </w:rPr>
      </w:pPr>
      <w:r w:rsidRPr="004722F0">
        <w:rPr>
          <w:i/>
          <w:lang w:val="en-GB" w:eastAsia="en-GB"/>
        </w:rPr>
        <w:t xml:space="preserve">3) </w:t>
      </w:r>
      <w:r w:rsidR="00FB04D7" w:rsidRPr="00666B27">
        <w:rPr>
          <w:i/>
          <w:lang w:val="en-GB" w:eastAsia="en-GB"/>
        </w:rPr>
        <w:t>On-bill financing</w:t>
      </w:r>
    </w:p>
    <w:p w:rsidR="00FB04D7" w:rsidRPr="00666B27" w:rsidRDefault="00FB04D7" w:rsidP="00297A17">
      <w:pPr>
        <w:spacing w:after="0"/>
        <w:rPr>
          <w:i/>
          <w:lang w:val="en-GB" w:eastAsia="en-GB"/>
        </w:rPr>
      </w:pPr>
    </w:p>
    <w:p w:rsidR="00FB04D7" w:rsidRPr="00666B27" w:rsidRDefault="00FB04D7" w:rsidP="00FB04D7">
      <w:pPr>
        <w:spacing w:after="0"/>
        <w:rPr>
          <w:lang w:val="en-GB" w:eastAsia="en-GB"/>
        </w:rPr>
      </w:pPr>
      <w:r w:rsidRPr="00666B27">
        <w:rPr>
          <w:lang w:val="en-GB" w:eastAsia="en-GB"/>
        </w:rPr>
        <w:t xml:space="preserve">On-bill financing model allows end-clients to pay for energy efficiency investments through their utility bill. Typically, the range of investments is limited to a set of pre-approved technologies that the utility deems relevant for the program. </w:t>
      </w:r>
      <w:r w:rsidRPr="00666B27">
        <w:rPr>
          <w:lang w:val="en-GB" w:eastAsia="en-GB"/>
        </w:rPr>
        <w:lastRenderedPageBreak/>
        <w:t xml:space="preserve">Funding for the measures may be provided directly by the utility with their own funds, a revolving fund or by a third-party finance provider. As utilities already have a commercial relationship with the end-client and the projects are bundled in a credit facility, this model allows for a simplified process, reducing transaction costs for small energy efficiency investments. It also allows </w:t>
      </w:r>
      <w:r w:rsidRPr="00666B27">
        <w:rPr>
          <w:noProof/>
          <w:lang w:val="en-GB" w:eastAsia="en-GB"/>
        </w:rPr>
        <w:t>access</w:t>
      </w:r>
      <w:r w:rsidRPr="00666B27">
        <w:rPr>
          <w:lang w:val="en-GB" w:eastAsia="en-GB"/>
        </w:rPr>
        <w:t xml:space="preserve"> to energy use profiles of the client, which may be useful for the technical project design.</w:t>
      </w:r>
    </w:p>
    <w:p w:rsidR="00FB04D7" w:rsidRPr="00666B27" w:rsidRDefault="00FB04D7" w:rsidP="00FB04D7">
      <w:pPr>
        <w:spacing w:after="0"/>
        <w:rPr>
          <w:lang w:val="en-GB" w:eastAsia="en-GB"/>
        </w:rPr>
      </w:pPr>
    </w:p>
    <w:p w:rsidR="00FB04D7" w:rsidRPr="00666B27" w:rsidRDefault="00FB04D7" w:rsidP="00FB04D7">
      <w:pPr>
        <w:spacing w:after="0"/>
        <w:rPr>
          <w:lang w:val="en-GB" w:eastAsia="en-GB"/>
        </w:rPr>
      </w:pPr>
      <w:r w:rsidRPr="00666B27">
        <w:rPr>
          <w:lang w:val="en-GB" w:eastAsia="en-GB"/>
        </w:rPr>
        <w:t xml:space="preserve">This on-bill financing model reduces the risk of credit default as the contracts typically allow for disconnection of the service to customers who fail to make their loan payments. When correctly implemented this also results in a net cash-positive or at least cash-neutral financing system for the end-client, who sees in the utility bill an energy cost reduction equivalent to the loan repayment amount. </w:t>
      </w:r>
      <w:r w:rsidR="00770C5C" w:rsidRPr="00666B27">
        <w:rPr>
          <w:lang w:val="en-GB" w:eastAsia="en-GB"/>
        </w:rPr>
        <w:t xml:space="preserve">These characteristics make this model suitable for </w:t>
      </w:r>
      <w:r w:rsidR="00770C5C" w:rsidRPr="00666B27">
        <w:rPr>
          <w:noProof/>
          <w:lang w:val="en-GB" w:eastAsia="en-GB"/>
        </w:rPr>
        <w:t>large</w:t>
      </w:r>
      <w:r w:rsidR="00770C5C" w:rsidRPr="00666B27">
        <w:rPr>
          <w:lang w:val="en-GB" w:eastAsia="en-GB"/>
        </w:rPr>
        <w:t xml:space="preserve"> number of clients, where it</w:t>
      </w:r>
      <w:r w:rsidR="00C765A3" w:rsidRPr="00666B27">
        <w:rPr>
          <w:lang w:val="en-GB" w:eastAsia="en-GB"/>
        </w:rPr>
        <w:t xml:space="preserve"> </w:t>
      </w:r>
      <w:r w:rsidR="00D415F2" w:rsidRPr="00666B27">
        <w:rPr>
          <w:lang w:val="en-GB" w:eastAsia="en-GB"/>
        </w:rPr>
        <w:t>i</w:t>
      </w:r>
      <w:r w:rsidR="00770C5C" w:rsidRPr="00666B27">
        <w:rPr>
          <w:lang w:val="en-GB" w:eastAsia="en-GB"/>
        </w:rPr>
        <w:t xml:space="preserve">s not feasible to perform individual credit assessments and cases where the electricity consumption reduction will be noticeable in the bill by the end-clients, effectively limiting its scope to private end-clients. </w:t>
      </w:r>
      <w:r w:rsidRPr="00666B27">
        <w:rPr>
          <w:lang w:val="en-GB" w:eastAsia="en-GB"/>
        </w:rPr>
        <w:t>This model has the difficulty that it requires an update the billing system of the utility to incorporate these charges as well as an information exchange platform with the financing provider if this is a third party. A graphical summary of this model is indicated below.</w:t>
      </w:r>
    </w:p>
    <w:p w:rsidR="00FB04D7" w:rsidRPr="00666B27" w:rsidRDefault="00FB04D7" w:rsidP="00FB04D7">
      <w:pPr>
        <w:spacing w:after="0"/>
        <w:rPr>
          <w:lang w:val="en-GB" w:eastAsia="en-GB"/>
        </w:rPr>
      </w:pPr>
    </w:p>
    <w:p w:rsidR="00FB04D7" w:rsidRPr="0057545E" w:rsidRDefault="003A2690" w:rsidP="00FB04D7">
      <w:pPr>
        <w:spacing w:after="0"/>
        <w:rPr>
          <w:lang w:val="en-GB" w:eastAsia="en-GB"/>
        </w:rPr>
      </w:pPr>
      <w:r>
        <w:rPr>
          <w:noProof/>
        </w:rPr>
        <w:drawing>
          <wp:anchor distT="0" distB="0" distL="0" distR="0" simplePos="0" relativeHeight="251642880" behindDoc="0" locked="0" layoutInCell="1" allowOverlap="1">
            <wp:simplePos x="0" y="0"/>
            <wp:positionH relativeFrom="margin">
              <wp:align>center</wp:align>
            </wp:positionH>
            <wp:positionV relativeFrom="paragraph">
              <wp:posOffset>170815</wp:posOffset>
            </wp:positionV>
            <wp:extent cx="6235700" cy="1625600"/>
            <wp:effectExtent l="0" t="0" r="0" b="0"/>
            <wp:wrapTopAndBottom/>
            <wp:docPr id="24"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jpe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6235700" cy="16256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02887" w:rsidRPr="00353542" w:rsidRDefault="00202887" w:rsidP="00FB04D7">
      <w:pPr>
        <w:spacing w:after="0"/>
        <w:rPr>
          <w:lang w:val="en-GB" w:eastAsia="en-GB"/>
        </w:rPr>
      </w:pPr>
    </w:p>
    <w:p w:rsidR="00AB102C" w:rsidRPr="00666B27" w:rsidRDefault="00FB04D7" w:rsidP="00770C5C">
      <w:pPr>
        <w:spacing w:after="0"/>
        <w:rPr>
          <w:lang w:val="en-GB" w:eastAsia="en-GB"/>
        </w:rPr>
      </w:pPr>
      <w:bookmarkStart w:id="296" w:name="_Hlk4679509"/>
      <w:r w:rsidRPr="003B7D62">
        <w:rPr>
          <w:lang w:val="en-GB" w:eastAsia="en-GB"/>
        </w:rPr>
        <w:t>This model poses the challenge that municipalities obtain a substantia</w:t>
      </w:r>
      <w:r w:rsidRPr="004722F0">
        <w:rPr>
          <w:lang w:val="en-GB" w:eastAsia="en-GB"/>
        </w:rPr>
        <w:t>l portion of their revenue through the sale of electricity (which they buy at bulk prices from ESKOM and supply to end-clients adding their own margin); at first look, t</w:t>
      </w:r>
      <w:r w:rsidRPr="00666B27">
        <w:rPr>
          <w:lang w:val="en-GB" w:eastAsia="en-GB"/>
        </w:rPr>
        <w:t xml:space="preserve">hey would not be interested in cutting this revenue by encouraging their clients to consume less. However, other considerations, such as overall peak demand reduction play an important role. </w:t>
      </w:r>
      <w:r w:rsidR="00770C5C" w:rsidRPr="00666B27">
        <w:rPr>
          <w:lang w:val="en-GB" w:eastAsia="en-GB"/>
        </w:rPr>
        <w:t xml:space="preserve">For example, City Power states that peak demand </w:t>
      </w:r>
      <w:r w:rsidR="00C45283" w:rsidRPr="00666B27">
        <w:rPr>
          <w:lang w:val="en-GB" w:eastAsia="en-GB"/>
        </w:rPr>
        <w:t xml:space="preserve">reduction </w:t>
      </w:r>
      <w:r w:rsidR="00770C5C" w:rsidRPr="00666B27">
        <w:rPr>
          <w:lang w:val="en-GB" w:eastAsia="en-GB"/>
        </w:rPr>
        <w:t xml:space="preserve">is </w:t>
      </w:r>
      <w:r w:rsidR="00770C5C" w:rsidRPr="00666B27">
        <w:rPr>
          <w:noProof/>
          <w:lang w:val="en-GB" w:eastAsia="en-GB"/>
        </w:rPr>
        <w:t>the primary</w:t>
      </w:r>
      <w:r w:rsidR="00770C5C" w:rsidRPr="00666B27">
        <w:rPr>
          <w:lang w:val="en-GB" w:eastAsia="en-GB"/>
        </w:rPr>
        <w:t xml:space="preserve"> goal of their “energy management” efforts. The reason is that high peak demands are costly for the municipalities. Their bulk electricity purchases at peak times have the highest price per kWh and include a monthly peak demand charge. Municipalities are not able to directly pass these costs to residential users, which are instead included in a flat monthly fee based on the type of connection or blended with the unit price. High peak demands also result in high maintenance costs for municipalities as overloaded transformers fail at those times. </w:t>
      </w:r>
      <w:r w:rsidRPr="00666B27">
        <w:rPr>
          <w:lang w:val="en-GB" w:eastAsia="en-GB"/>
        </w:rPr>
        <w:t xml:space="preserve">Utilities pay a fixed price for peak capacity demanded from the network. This cost is not directly transferred to the </w:t>
      </w:r>
      <w:proofErr w:type="gramStart"/>
      <w:r w:rsidRPr="00666B27">
        <w:rPr>
          <w:lang w:val="en-GB" w:eastAsia="en-GB"/>
        </w:rPr>
        <w:t>consumers, but</w:t>
      </w:r>
      <w:proofErr w:type="gramEnd"/>
      <w:r w:rsidRPr="00666B27">
        <w:rPr>
          <w:lang w:val="en-GB" w:eastAsia="en-GB"/>
        </w:rPr>
        <w:t xml:space="preserve"> built into fixed charges or the kWh price. </w:t>
      </w:r>
    </w:p>
    <w:p w:rsidR="00AB102C" w:rsidRPr="00666B27" w:rsidRDefault="00AB102C" w:rsidP="00FB04D7">
      <w:pPr>
        <w:spacing w:after="0"/>
        <w:rPr>
          <w:lang w:val="en-GB" w:eastAsia="en-GB"/>
        </w:rPr>
      </w:pPr>
    </w:p>
    <w:p w:rsidR="00C45283" w:rsidRPr="00666B27" w:rsidRDefault="00E115F8" w:rsidP="00FB04D7">
      <w:pPr>
        <w:spacing w:after="0"/>
        <w:rPr>
          <w:lang w:val="en-GB" w:eastAsia="en-GB"/>
        </w:rPr>
      </w:pPr>
      <w:r w:rsidRPr="00666B27">
        <w:rPr>
          <w:lang w:val="en-GB" w:eastAsia="en-GB"/>
        </w:rPr>
        <w:t xml:space="preserve">A further LED penetration and price reduction may be achieved through </w:t>
      </w:r>
      <w:r w:rsidRPr="00666B27">
        <w:rPr>
          <w:u w:val="single"/>
          <w:lang w:val="en-GB" w:eastAsia="en-GB"/>
        </w:rPr>
        <w:t>a mass procurement program</w:t>
      </w:r>
      <w:r w:rsidRPr="00666B27">
        <w:rPr>
          <w:lang w:val="en-GB" w:eastAsia="en-GB"/>
        </w:rPr>
        <w:t xml:space="preserve"> that channels the lamps through an existing network of distributors. Synergies with other residential energy programs such as the </w:t>
      </w:r>
      <w:proofErr w:type="spellStart"/>
      <w:r w:rsidRPr="00666B27">
        <w:rPr>
          <w:lang w:val="en-GB" w:eastAsia="en-GB"/>
        </w:rPr>
        <w:t>Sh</w:t>
      </w:r>
      <w:r w:rsidR="003F7BF3">
        <w:rPr>
          <w:lang w:val="en-GB" w:eastAsia="en-GB"/>
        </w:rPr>
        <w:t>isa</w:t>
      </w:r>
      <w:proofErr w:type="spellEnd"/>
      <w:r w:rsidRPr="00666B27">
        <w:rPr>
          <w:lang w:val="en-GB" w:eastAsia="en-GB"/>
        </w:rPr>
        <w:t xml:space="preserve"> solar program in Durban, the smart-meter rollout in Johannesburg or the social housing programs that all municipalities manage would facilitate the deployment of this technology. This program could be deployed in collaboration with the utilities supplying electricity to these clients, which would open the possibility to include an on-bill financing program. Such </w:t>
      </w:r>
      <w:r w:rsidR="00C45283" w:rsidRPr="00666B27">
        <w:rPr>
          <w:lang w:val="en-GB" w:eastAsia="en-GB"/>
        </w:rPr>
        <w:t xml:space="preserve">a </w:t>
      </w:r>
      <w:r w:rsidRPr="00666B27">
        <w:rPr>
          <w:noProof/>
          <w:lang w:val="en-GB" w:eastAsia="en-GB"/>
        </w:rPr>
        <w:t>program</w:t>
      </w:r>
      <w:r w:rsidRPr="00666B27">
        <w:rPr>
          <w:lang w:val="en-GB" w:eastAsia="en-GB"/>
        </w:rPr>
        <w:t xml:space="preserve"> would enable a streamlined process for the project sourcing, implementation</w:t>
      </w:r>
      <w:r w:rsidR="00C45283" w:rsidRPr="00666B27">
        <w:rPr>
          <w:lang w:val="en-GB" w:eastAsia="en-GB"/>
        </w:rPr>
        <w:t>,</w:t>
      </w:r>
      <w:r w:rsidRPr="00666B27">
        <w:rPr>
          <w:lang w:val="en-GB" w:eastAsia="en-GB"/>
        </w:rPr>
        <w:t xml:space="preserve"> </w:t>
      </w:r>
      <w:r w:rsidRPr="00666B27">
        <w:rPr>
          <w:noProof/>
          <w:lang w:val="en-GB" w:eastAsia="en-GB"/>
        </w:rPr>
        <w:t>and</w:t>
      </w:r>
      <w:r w:rsidRPr="00666B27">
        <w:rPr>
          <w:lang w:val="en-GB" w:eastAsia="en-GB"/>
        </w:rPr>
        <w:t xml:space="preserve"> fund deployment.</w:t>
      </w:r>
      <w:r w:rsidR="00C45283" w:rsidRPr="00666B27">
        <w:rPr>
          <w:lang w:val="en-GB" w:eastAsia="en-GB"/>
        </w:rPr>
        <w:t xml:space="preserve"> </w:t>
      </w:r>
    </w:p>
    <w:p w:rsidR="00C45283" w:rsidRPr="00666B27" w:rsidRDefault="00C45283" w:rsidP="00FB04D7">
      <w:pPr>
        <w:spacing w:after="0"/>
        <w:rPr>
          <w:lang w:val="en-GB" w:eastAsia="en-GB"/>
        </w:rPr>
      </w:pPr>
    </w:p>
    <w:p w:rsidR="00AB102C" w:rsidRPr="00666B27" w:rsidRDefault="00AB102C" w:rsidP="00FB04D7">
      <w:pPr>
        <w:spacing w:after="0"/>
        <w:rPr>
          <w:lang w:val="en-GB" w:eastAsia="en-GB"/>
        </w:rPr>
      </w:pPr>
      <w:r w:rsidRPr="00666B27">
        <w:rPr>
          <w:lang w:val="en-GB" w:eastAsia="en-GB"/>
        </w:rPr>
        <w:t>Let us look at municipal efficient residential lighting programme, in which the users repay the cost of the LED through a small charge in their utility bill</w:t>
      </w:r>
      <w:r w:rsidR="002075FC" w:rsidRPr="00666B27">
        <w:rPr>
          <w:lang w:val="en-GB" w:eastAsia="en-GB"/>
        </w:rPr>
        <w:t xml:space="preserve"> </w:t>
      </w:r>
      <w:r w:rsidRPr="00666B27">
        <w:rPr>
          <w:lang w:val="en-GB" w:eastAsia="en-GB"/>
        </w:rPr>
        <w:t xml:space="preserve">(on-bill financing). </w:t>
      </w:r>
      <w:r w:rsidR="00FB04D7" w:rsidRPr="00666B27">
        <w:rPr>
          <w:lang w:val="en-GB" w:eastAsia="en-GB"/>
        </w:rPr>
        <w:t xml:space="preserve">The installation of </w:t>
      </w:r>
      <w:r w:rsidR="00FB04D7" w:rsidRPr="00666B27">
        <w:rPr>
          <w:noProof/>
          <w:lang w:val="en-GB" w:eastAsia="en-GB"/>
        </w:rPr>
        <w:t>efficient</w:t>
      </w:r>
      <w:r w:rsidR="00FB04D7" w:rsidRPr="00666B27">
        <w:rPr>
          <w:lang w:val="en-GB" w:eastAsia="en-GB"/>
        </w:rPr>
        <w:t xml:space="preserve"> technology, </w:t>
      </w:r>
      <w:r w:rsidRPr="00666B27">
        <w:rPr>
          <w:lang w:val="en-GB" w:eastAsia="en-GB"/>
        </w:rPr>
        <w:t>i.e.</w:t>
      </w:r>
      <w:r w:rsidR="00FB04D7" w:rsidRPr="00666B27">
        <w:rPr>
          <w:lang w:val="en-GB" w:eastAsia="en-GB"/>
        </w:rPr>
        <w:t xml:space="preserve"> LED lamps, results in a reduction of the connected load in the system, which in turns reduces the demand charges that the utilities face and that are not </w:t>
      </w:r>
      <w:r w:rsidR="00FB04D7" w:rsidRPr="00666B27">
        <w:rPr>
          <w:noProof/>
          <w:lang w:val="en-GB" w:eastAsia="en-GB"/>
        </w:rPr>
        <w:t>passed</w:t>
      </w:r>
      <w:r w:rsidR="00C45283" w:rsidRPr="00666B27">
        <w:rPr>
          <w:noProof/>
          <w:lang w:val="en-GB" w:eastAsia="en-GB"/>
        </w:rPr>
        <w:t xml:space="preserve"> </w:t>
      </w:r>
      <w:r w:rsidR="00FB04D7" w:rsidRPr="00666B27">
        <w:rPr>
          <w:noProof/>
          <w:lang w:val="en-GB" w:eastAsia="en-GB"/>
        </w:rPr>
        <w:t>on</w:t>
      </w:r>
      <w:r w:rsidR="00FB04D7" w:rsidRPr="00666B27">
        <w:rPr>
          <w:lang w:val="en-GB" w:eastAsia="en-GB"/>
        </w:rPr>
        <w:t xml:space="preserve"> to the residential users. This results in a positive impact in the </w:t>
      </w:r>
      <w:r w:rsidR="00E115F8" w:rsidRPr="00666B27">
        <w:rPr>
          <w:lang w:val="en-GB" w:eastAsia="en-GB"/>
        </w:rPr>
        <w:t>municipal utility</w:t>
      </w:r>
      <w:r w:rsidR="00FB04D7" w:rsidRPr="00666B27">
        <w:rPr>
          <w:lang w:val="en-GB" w:eastAsia="en-GB"/>
        </w:rPr>
        <w:t xml:space="preserve"> charges that balances the revenue sales loss.</w:t>
      </w:r>
      <w:r w:rsidR="002075FC" w:rsidRPr="00666B27">
        <w:rPr>
          <w:lang w:val="en-GB" w:eastAsia="en-GB"/>
        </w:rPr>
        <w:t xml:space="preserve"> </w:t>
      </w:r>
      <w:r w:rsidR="00FB04D7" w:rsidRPr="00666B27">
        <w:rPr>
          <w:lang w:val="en-GB" w:eastAsia="en-GB"/>
        </w:rPr>
        <w:t xml:space="preserve">It also generates a reduction in electricity consumption that may be allocated to industrial or commercial users </w:t>
      </w:r>
      <w:r w:rsidR="00FB04D7" w:rsidRPr="00666B27">
        <w:rPr>
          <w:lang w:val="en-GB" w:eastAsia="en-GB"/>
        </w:rPr>
        <w:lastRenderedPageBreak/>
        <w:t>with a higher tariff. Together, this could allow the municipal utility to ‘repay’ the LED lamp programme in a period of 3-10 years.</w:t>
      </w:r>
      <w:r w:rsidRPr="00666B27">
        <w:rPr>
          <w:lang w:val="en-GB" w:eastAsia="en-GB"/>
        </w:rPr>
        <w:t xml:space="preserve"> </w:t>
      </w:r>
    </w:p>
    <w:p w:rsidR="00AB102C" w:rsidRPr="00666B27" w:rsidRDefault="00AB102C" w:rsidP="00FB04D7">
      <w:pPr>
        <w:spacing w:after="0"/>
        <w:rPr>
          <w:lang w:val="en-GB" w:eastAsia="en-GB"/>
        </w:rPr>
      </w:pPr>
    </w:p>
    <w:p w:rsidR="00AB102C" w:rsidRPr="00666B27" w:rsidRDefault="00AB102C" w:rsidP="00AB102C">
      <w:pPr>
        <w:spacing w:after="0"/>
        <w:rPr>
          <w:lang w:val="en-GB" w:eastAsia="en-GB"/>
        </w:rPr>
      </w:pPr>
      <w:r w:rsidRPr="00666B27">
        <w:rPr>
          <w:lang w:val="en-GB" w:eastAsia="en-GB"/>
        </w:rPr>
        <w:t xml:space="preserve">Thus, </w:t>
      </w:r>
      <w:r w:rsidR="00FB04D7" w:rsidRPr="00666B27">
        <w:rPr>
          <w:lang w:val="en-GB" w:eastAsia="en-GB"/>
        </w:rPr>
        <w:t xml:space="preserve">several municipalities have supported the introduction of energy efficiency. </w:t>
      </w:r>
      <w:r w:rsidRPr="00666B27">
        <w:rPr>
          <w:lang w:val="en-GB" w:eastAsia="en-GB"/>
        </w:rPr>
        <w:t>The expected collaboration with municipalities on the development and financing of projects related to their own-consumption may be leveraged to introduce an on-bill financing mechanism for private commercial and industrial end-users once the Project is operational.</w:t>
      </w:r>
    </w:p>
    <w:bookmarkEnd w:id="296"/>
    <w:p w:rsidR="00FB04D7" w:rsidRPr="00666B27" w:rsidRDefault="00FB04D7" w:rsidP="00FB04D7">
      <w:pPr>
        <w:spacing w:after="0"/>
        <w:rPr>
          <w:lang w:val="en-GB" w:eastAsia="en-GB"/>
        </w:rPr>
      </w:pPr>
    </w:p>
    <w:p w:rsidR="002075FC" w:rsidRPr="00666B27" w:rsidRDefault="002C7ACA">
      <w:pPr>
        <w:spacing w:after="0"/>
        <w:jc w:val="left"/>
        <w:rPr>
          <w:i/>
          <w:lang w:val="en-GB" w:eastAsia="en-GB"/>
        </w:rPr>
      </w:pPr>
      <w:r w:rsidRPr="00666B27">
        <w:rPr>
          <w:i/>
          <w:lang w:val="en-GB" w:eastAsia="en-GB"/>
        </w:rPr>
        <w:t xml:space="preserve">4)  </w:t>
      </w:r>
      <w:r w:rsidR="002075FC" w:rsidRPr="00666B27">
        <w:rPr>
          <w:i/>
          <w:lang w:val="en-GB" w:eastAsia="en-GB"/>
        </w:rPr>
        <w:t>Public-private partnership model</w:t>
      </w:r>
    </w:p>
    <w:p w:rsidR="002075FC" w:rsidRPr="00666B27" w:rsidRDefault="002075FC">
      <w:pPr>
        <w:spacing w:after="0"/>
        <w:jc w:val="left"/>
        <w:rPr>
          <w:u w:val="single"/>
          <w:lang w:val="en-GB" w:eastAsia="en-GB"/>
        </w:rPr>
      </w:pPr>
    </w:p>
    <w:p w:rsidR="002075FC" w:rsidRPr="00666B27" w:rsidRDefault="002075FC" w:rsidP="002075FC">
      <w:pPr>
        <w:spacing w:after="0"/>
        <w:rPr>
          <w:lang w:val="en-GB" w:eastAsia="en-GB"/>
        </w:rPr>
      </w:pPr>
      <w:bookmarkStart w:id="297" w:name="_Hlk4679523"/>
      <w:r w:rsidRPr="00666B27">
        <w:rPr>
          <w:lang w:val="en-GB" w:eastAsia="en-GB"/>
        </w:rPr>
        <w:t>The</w:t>
      </w:r>
      <w:r w:rsidR="00D415F2" w:rsidRPr="00666B27">
        <w:rPr>
          <w:lang w:val="en-GB" w:eastAsia="en-GB"/>
        </w:rPr>
        <w:t xml:space="preserve"> p</w:t>
      </w:r>
      <w:r w:rsidRPr="00666B27">
        <w:rPr>
          <w:lang w:val="en-GB" w:eastAsia="en-GB"/>
        </w:rPr>
        <w:t>ublic-</w:t>
      </w:r>
      <w:r w:rsidR="00D415F2" w:rsidRPr="00666B27">
        <w:rPr>
          <w:lang w:val="en-GB" w:eastAsia="en-GB"/>
        </w:rPr>
        <w:t>p</w:t>
      </w:r>
      <w:r w:rsidRPr="00666B27">
        <w:rPr>
          <w:lang w:val="en-GB" w:eastAsia="en-GB"/>
        </w:rPr>
        <w:t xml:space="preserve">rivate partnership model consists of a long-term collaboration agreement (typically 20-30 years) between public and private entities. The contracts are typically used in large infrastructure projects, where the private sector installs and maintains the assets. The private entity also typically raises the required funding under a project-finance structure through a Special Purpose Vehicle (SPV). The public entity then pays an agreed-upon fee for the provision and utilization of the infrastructure. The aim of this model is to reduce life-cycle infrastructure costs, by gaining cost efficiencies in the design, installation and operation phases of the infrastructure, even if the financing costs are typically higher for the private sector than for the public sector. Experience has shown that this type of model is only suitable in certain situations, where </w:t>
      </w:r>
      <w:r w:rsidRPr="00666B27">
        <w:rPr>
          <w:noProof/>
          <w:lang w:val="en-GB" w:eastAsia="en-GB"/>
        </w:rPr>
        <w:t>a large</w:t>
      </w:r>
      <w:r w:rsidRPr="00666B27">
        <w:rPr>
          <w:lang w:val="en-GB" w:eastAsia="en-GB"/>
        </w:rPr>
        <w:t xml:space="preserve"> infrastructure investment is </w:t>
      </w:r>
      <w:proofErr w:type="gramStart"/>
      <w:r w:rsidRPr="00666B27">
        <w:rPr>
          <w:lang w:val="en-GB" w:eastAsia="en-GB"/>
        </w:rPr>
        <w:t>required</w:t>
      </w:r>
      <w:proofErr w:type="gramEnd"/>
      <w:r w:rsidRPr="00666B27">
        <w:rPr>
          <w:lang w:val="en-GB" w:eastAsia="en-GB"/>
        </w:rPr>
        <w:t xml:space="preserve"> and supportive policy environment exists in the country. </w:t>
      </w:r>
    </w:p>
    <w:p w:rsidR="002075FC" w:rsidRPr="00666B27" w:rsidRDefault="002075FC" w:rsidP="002075FC">
      <w:pPr>
        <w:spacing w:after="0"/>
        <w:rPr>
          <w:lang w:val="en-GB" w:eastAsia="en-GB"/>
        </w:rPr>
      </w:pPr>
    </w:p>
    <w:p w:rsidR="00FA03BC" w:rsidRPr="00666B27" w:rsidRDefault="002075FC" w:rsidP="002075FC">
      <w:pPr>
        <w:spacing w:after="0"/>
        <w:rPr>
          <w:u w:val="single"/>
          <w:lang w:val="en-GB" w:eastAsia="en-GB"/>
        </w:rPr>
      </w:pPr>
      <w:r w:rsidRPr="00666B27">
        <w:rPr>
          <w:lang w:val="en-GB" w:eastAsia="en-GB"/>
        </w:rPr>
        <w:t>Street lighting projects have been included in the scope of some PPP</w:t>
      </w:r>
      <w:r w:rsidR="00D415F2" w:rsidRPr="00666B27">
        <w:rPr>
          <w:lang w:val="en-GB" w:eastAsia="en-GB"/>
        </w:rPr>
        <w:t>s</w:t>
      </w:r>
      <w:r w:rsidRPr="00666B27">
        <w:rPr>
          <w:lang w:val="en-GB" w:eastAsia="en-GB"/>
        </w:rPr>
        <w:t xml:space="preserve"> within a municipality, but mostly </w:t>
      </w:r>
      <w:r w:rsidR="00D415F2" w:rsidRPr="00666B27">
        <w:rPr>
          <w:lang w:val="en-GB" w:eastAsia="en-GB"/>
        </w:rPr>
        <w:t>PPPs are in large</w:t>
      </w:r>
      <w:r w:rsidRPr="00666B27">
        <w:rPr>
          <w:lang w:val="en-GB" w:eastAsia="en-GB"/>
        </w:rPr>
        <w:t xml:space="preserve"> infrastructure development and maintenance projects such as roads, bridges, traffic signals, etc. Although South Africa has legislation that supports this type of contracts, the application to the municipal level is done through the MFMA framework with some additional requirements. The complexities of the PPP model and the tight control that the municipalities have over the electricity distribution and street lighting </w:t>
      </w:r>
      <w:r w:rsidRPr="00666B27">
        <w:rPr>
          <w:noProof/>
          <w:lang w:val="en-GB" w:eastAsia="en-GB"/>
        </w:rPr>
        <w:t>infrastructure</w:t>
      </w:r>
      <w:r w:rsidRPr="00666B27">
        <w:rPr>
          <w:lang w:val="en-GB" w:eastAsia="en-GB"/>
        </w:rPr>
        <w:t xml:space="preserve"> makes the viability of this model questionable for the deployment of street lighting and distribution transformers in South Africa.</w:t>
      </w:r>
      <w:r w:rsidRPr="00666B27">
        <w:rPr>
          <w:u w:val="single"/>
          <w:lang w:val="en-GB" w:eastAsia="en-GB"/>
        </w:rPr>
        <w:t xml:space="preserve"> </w:t>
      </w:r>
    </w:p>
    <w:bookmarkEnd w:id="297"/>
    <w:p w:rsidR="002C7ACA" w:rsidRPr="00666B27" w:rsidRDefault="002C7ACA" w:rsidP="002C7ACA">
      <w:pPr>
        <w:spacing w:after="0"/>
        <w:rPr>
          <w:lang w:val="en-GB" w:eastAsia="en-GB"/>
        </w:rPr>
      </w:pPr>
    </w:p>
    <w:p w:rsidR="002C7ACA" w:rsidRPr="00666B27" w:rsidRDefault="002C7ACA" w:rsidP="002C7ACA">
      <w:pPr>
        <w:spacing w:after="0"/>
        <w:rPr>
          <w:u w:val="single"/>
          <w:lang w:val="en-GB" w:eastAsia="en-GB"/>
        </w:rPr>
      </w:pPr>
      <w:r w:rsidRPr="00666B27">
        <w:rPr>
          <w:u w:val="single"/>
          <w:lang w:val="en-GB" w:eastAsia="en-GB"/>
        </w:rPr>
        <w:t>Procurement guidelines and energy efficiency</w:t>
      </w:r>
    </w:p>
    <w:p w:rsidR="002C7ACA" w:rsidRPr="00666B27" w:rsidRDefault="002C7ACA" w:rsidP="002C7ACA">
      <w:pPr>
        <w:spacing w:after="0"/>
        <w:rPr>
          <w:lang w:val="en-GB" w:eastAsia="en-GB"/>
        </w:rPr>
      </w:pPr>
    </w:p>
    <w:p w:rsidR="002C7ACA" w:rsidRPr="00666B27" w:rsidRDefault="00D415F2" w:rsidP="002C7ACA">
      <w:pPr>
        <w:spacing w:after="0"/>
        <w:rPr>
          <w:lang w:val="en-GB" w:eastAsia="en-GB"/>
        </w:rPr>
      </w:pPr>
      <w:bookmarkStart w:id="298" w:name="_Hlk4679542"/>
      <w:r w:rsidRPr="00666B27">
        <w:rPr>
          <w:lang w:val="en-GB" w:eastAsia="en-GB"/>
        </w:rPr>
        <w:t>Local government often struggle to digest procurement guidelines, environmental requirements, and new procurement funding approaches. Performance contracting does not fit easily with standard procurement procedures, raising issues around asset ownership (of installed equipment) and requiring financial arrangements very different from the ‘pay-on-delivery-of-a-specified-service’ model.</w:t>
      </w:r>
      <w:r w:rsidR="00340C25" w:rsidRPr="00666B27">
        <w:rPr>
          <w:lang w:val="en-GB" w:eastAsia="en-GB"/>
        </w:rPr>
        <w:t xml:space="preserve"> </w:t>
      </w:r>
      <w:r w:rsidRPr="00666B27">
        <w:rPr>
          <w:lang w:val="en-GB" w:eastAsia="en-GB"/>
        </w:rPr>
        <w:t xml:space="preserve">Local government finances tend to be tightly controlled by the national governments. In the case of South Africa, these are governed by the Municipal Financial Management Act (MFMA). The MFMA </w:t>
      </w:r>
      <w:r w:rsidR="002C7ACA" w:rsidRPr="00666B27">
        <w:rPr>
          <w:lang w:val="en-GB" w:eastAsia="en-GB"/>
        </w:rPr>
        <w:t xml:space="preserve">does not have any provision for the allocation of financial liabilities to ESCOs. It also includes a restriction to municipal finances that is key for energy efficiency project. It limits the municipalities to engage in financial obligations that span for more than three years (with some exclusions, such as long-term debt, which follows a specific procedure). Any municipality intending to enter into a service contract for </w:t>
      </w:r>
      <w:proofErr w:type="gramStart"/>
      <w:r w:rsidR="002C7ACA" w:rsidRPr="00666B27">
        <w:rPr>
          <w:lang w:val="en-GB" w:eastAsia="en-GB"/>
        </w:rPr>
        <w:t>a period of time</w:t>
      </w:r>
      <w:proofErr w:type="gramEnd"/>
      <w:r w:rsidR="002C7ACA" w:rsidRPr="00666B27">
        <w:rPr>
          <w:lang w:val="en-GB" w:eastAsia="en-GB"/>
        </w:rPr>
        <w:t xml:space="preserve"> longer than three years is required to follow a rather complex approval procedure. These aspects of the MFMA represent important barriers (not </w:t>
      </w:r>
      <w:r w:rsidR="00C45283" w:rsidRPr="00666B27">
        <w:rPr>
          <w:noProof/>
          <w:lang w:val="en-GB" w:eastAsia="en-GB"/>
        </w:rPr>
        <w:t>i</w:t>
      </w:r>
      <w:r w:rsidR="002C7ACA" w:rsidRPr="00666B27">
        <w:rPr>
          <w:noProof/>
          <w:lang w:val="en-GB" w:eastAsia="en-GB"/>
        </w:rPr>
        <w:t>nsurmountable</w:t>
      </w:r>
      <w:r w:rsidR="002C7ACA" w:rsidRPr="00666B27">
        <w:rPr>
          <w:lang w:val="en-GB" w:eastAsia="en-GB"/>
        </w:rPr>
        <w:t xml:space="preserve">, but barriers, nonetheless) to the implementation of an ESCO model where the financing for the equipment is provided to the ESCO. </w:t>
      </w:r>
    </w:p>
    <w:p w:rsidR="002C7ACA" w:rsidRPr="00666B27" w:rsidRDefault="002C7ACA" w:rsidP="002C7ACA">
      <w:pPr>
        <w:spacing w:after="0"/>
        <w:rPr>
          <w:lang w:val="en-GB" w:eastAsia="en-GB"/>
        </w:rPr>
      </w:pPr>
    </w:p>
    <w:p w:rsidR="00D415F2" w:rsidRPr="003B7D62" w:rsidRDefault="00D415F2" w:rsidP="00C45283">
      <w:pPr>
        <w:spacing w:after="0"/>
        <w:rPr>
          <w:lang w:val="en-GB" w:eastAsia="en-GB"/>
        </w:rPr>
      </w:pPr>
      <w:r w:rsidRPr="00666B27">
        <w:rPr>
          <w:lang w:val="en-GB" w:eastAsia="en-GB"/>
        </w:rPr>
        <w:t xml:space="preserve">In addition, electricity expenditure savings do not appear as budget line items, making the benefits of the ESCO project less apparent to the ‘system’. Further to these challenges, procurement systems traditionally resist purchasing goods, which have </w:t>
      </w:r>
      <w:r w:rsidRPr="00666B27">
        <w:rPr>
          <w:noProof/>
          <w:lang w:val="en-GB" w:eastAsia="en-GB"/>
        </w:rPr>
        <w:t>higher</w:t>
      </w:r>
      <w:r w:rsidRPr="00666B27">
        <w:rPr>
          <w:lang w:val="en-GB" w:eastAsia="en-GB"/>
        </w:rPr>
        <w:t xml:space="preserve"> capital cost, even if they have lower life-cycle costs. This is a constraint to implementing many EE options, </w:t>
      </w:r>
      <w:proofErr w:type="gramStart"/>
      <w:r w:rsidRPr="00666B27">
        <w:rPr>
          <w:lang w:val="en-GB" w:eastAsia="en-GB"/>
        </w:rPr>
        <w:t>and also</w:t>
      </w:r>
      <w:proofErr w:type="gramEnd"/>
      <w:r w:rsidRPr="00666B27">
        <w:rPr>
          <w:lang w:val="en-GB" w:eastAsia="en-GB"/>
        </w:rPr>
        <w:t xml:space="preserve"> has been a deterrent within individual departments as capital budgets and operating budgets are set and treated separately. Saving in operating costs through efficiency interventions does not automatically link to </w:t>
      </w:r>
      <w:r w:rsidRPr="00666B27">
        <w:rPr>
          <w:noProof/>
          <w:lang w:val="en-GB" w:eastAsia="en-GB"/>
        </w:rPr>
        <w:t>increased</w:t>
      </w:r>
      <w:r w:rsidRPr="00666B27">
        <w:rPr>
          <w:lang w:val="en-GB" w:eastAsia="en-GB"/>
        </w:rPr>
        <w:t xml:space="preserve"> capital budget</w:t>
      </w:r>
      <w:r w:rsidRPr="0057545E">
        <w:rPr>
          <w:vertAlign w:val="superscript"/>
          <w:lang w:val="en-GB" w:eastAsia="en-GB"/>
        </w:rPr>
        <w:footnoteReference w:id="58"/>
      </w:r>
      <w:r w:rsidRPr="0057545E">
        <w:rPr>
          <w:lang w:val="en-GB" w:eastAsia="en-GB"/>
        </w:rPr>
        <w:t>.</w:t>
      </w:r>
      <w:bookmarkEnd w:id="298"/>
      <w:r w:rsidRPr="00353542">
        <w:rPr>
          <w:lang w:val="en-GB" w:eastAsia="en-GB"/>
        </w:rPr>
        <w:br w:type="page"/>
      </w:r>
    </w:p>
    <w:p w:rsidR="00340C25" w:rsidRPr="00353542" w:rsidRDefault="003A2690">
      <w:pPr>
        <w:spacing w:after="0"/>
        <w:jc w:val="left"/>
        <w:rPr>
          <w:lang w:val="en-GB" w:eastAsia="en-GB"/>
        </w:rPr>
      </w:pPr>
      <w:r>
        <w:rPr>
          <w:noProof/>
        </w:rPr>
        <w:lastRenderedPageBreak/>
        <mc:AlternateContent>
          <mc:Choice Requires="wps">
            <w:drawing>
              <wp:anchor distT="45720" distB="45720" distL="144145" distR="144145" simplePos="0" relativeHeight="251701248" behindDoc="1" locked="0" layoutInCell="1" allowOverlap="1">
                <wp:simplePos x="0" y="0"/>
                <wp:positionH relativeFrom="margin">
                  <wp:align>center</wp:align>
                </wp:positionH>
                <wp:positionV relativeFrom="margin">
                  <wp:posOffset>-283210</wp:posOffset>
                </wp:positionV>
                <wp:extent cx="6735445" cy="8564245"/>
                <wp:effectExtent l="0" t="0" r="0" b="0"/>
                <wp:wrapTight wrapText="bothSides">
                  <wp:wrapPolygon edited="0">
                    <wp:start x="0" y="0"/>
                    <wp:lineTo x="0" y="21573"/>
                    <wp:lineTo x="21565" y="21573"/>
                    <wp:lineTo x="21565" y="0"/>
                    <wp:lineTo x="0" y="0"/>
                  </wp:wrapPolygon>
                </wp:wrapTight>
                <wp:docPr id="19"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5445" cy="8564245"/>
                        </a:xfrm>
                        <a:prstGeom prst="rect">
                          <a:avLst/>
                        </a:prstGeom>
                        <a:solidFill>
                          <a:srgbClr val="ED7D31">
                            <a:lumMod val="20000"/>
                            <a:lumOff val="80000"/>
                          </a:srgbClr>
                        </a:solidFill>
                        <a:ln>
                          <a:noFill/>
                        </a:ln>
                      </wps:spPr>
                      <wps:txbx>
                        <w:txbxContent>
                          <w:p w:rsidR="00540FEA" w:rsidRDefault="00540FEA" w:rsidP="00340C25">
                            <w:pPr>
                              <w:pStyle w:val="Caption"/>
                              <w:spacing w:after="60"/>
                              <w:rPr>
                                <w:rFonts w:ascii="Arial" w:hAnsi="Arial" w:cs="Arial"/>
                                <w:color w:val="2E74B5"/>
                                <w:sz w:val="18"/>
                              </w:rPr>
                            </w:pPr>
                            <w:bookmarkStart w:id="299" w:name="_Ref29832"/>
                            <w:bookmarkStart w:id="300" w:name="_Toc17986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36</w:t>
                            </w:r>
                            <w:r w:rsidRPr="00A21E05">
                              <w:rPr>
                                <w:rFonts w:ascii="Arial" w:hAnsi="Arial" w:cs="Arial"/>
                                <w:color w:val="2E74B5"/>
                                <w:sz w:val="18"/>
                              </w:rPr>
                              <w:fldChar w:fldCharType="end"/>
                            </w:r>
                            <w:bookmarkEnd w:id="299"/>
                            <w:r>
                              <w:rPr>
                                <w:rFonts w:ascii="Arial" w:hAnsi="Arial" w:cs="Arial"/>
                                <w:color w:val="2E74B5"/>
                                <w:sz w:val="18"/>
                              </w:rPr>
                              <w:tab/>
                              <w:t>Advantages and disadvantages of various financing models</w:t>
                            </w:r>
                            <w:bookmarkEnd w:id="300"/>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4"/>
                              <w:gridCol w:w="2807"/>
                              <w:gridCol w:w="4477"/>
                              <w:gridCol w:w="1370"/>
                            </w:tblGrid>
                            <w:tr w:rsidR="00540FEA" w:rsidRPr="002C7ACA" w:rsidTr="00F737AD">
                              <w:tc>
                                <w:tcPr>
                                  <w:tcW w:w="1694" w:type="dxa"/>
                                  <w:shd w:val="clear" w:color="auto" w:fill="92CDDC"/>
                                  <w:vAlign w:val="center"/>
                                </w:tcPr>
                                <w:p w:rsidR="00540FEA" w:rsidRPr="00F737AD" w:rsidRDefault="00540FEA" w:rsidP="00F737AD">
                                  <w:pPr>
                                    <w:widowControl w:val="0"/>
                                    <w:autoSpaceDE w:val="0"/>
                                    <w:autoSpaceDN w:val="0"/>
                                    <w:spacing w:after="0"/>
                                    <w:ind w:right="147"/>
                                    <w:jc w:val="center"/>
                                    <w:rPr>
                                      <w:rFonts w:eastAsia="Arial" w:cs="Calibri"/>
                                      <w:b/>
                                      <w:sz w:val="18"/>
                                      <w:szCs w:val="18"/>
                                      <w:lang w:val="en-GB"/>
                                    </w:rPr>
                                  </w:pPr>
                                  <w:r w:rsidRPr="00F737AD">
                                    <w:rPr>
                                      <w:rFonts w:eastAsia="Arial" w:cs="Calibri"/>
                                      <w:b/>
                                      <w:color w:val="000000"/>
                                      <w:sz w:val="18"/>
                                      <w:szCs w:val="18"/>
                                    </w:rPr>
                                    <w:t>Model</w:t>
                                  </w:r>
                                </w:p>
                              </w:tc>
                              <w:tc>
                                <w:tcPr>
                                  <w:tcW w:w="2807" w:type="dxa"/>
                                  <w:shd w:val="clear" w:color="auto" w:fill="92CDDC"/>
                                  <w:vAlign w:val="center"/>
                                </w:tcPr>
                                <w:p w:rsidR="00540FEA" w:rsidRPr="00F737AD" w:rsidRDefault="00540FEA" w:rsidP="00F737AD">
                                  <w:pPr>
                                    <w:widowControl w:val="0"/>
                                    <w:autoSpaceDE w:val="0"/>
                                    <w:autoSpaceDN w:val="0"/>
                                    <w:spacing w:after="0"/>
                                    <w:ind w:right="81"/>
                                    <w:jc w:val="center"/>
                                    <w:rPr>
                                      <w:rFonts w:eastAsia="Arial" w:cs="Calibri"/>
                                      <w:b/>
                                      <w:sz w:val="18"/>
                                      <w:szCs w:val="18"/>
                                      <w:lang w:val="en-GB"/>
                                    </w:rPr>
                                  </w:pPr>
                                  <w:r w:rsidRPr="00F737AD">
                                    <w:rPr>
                                      <w:rFonts w:eastAsia="Arial" w:cs="Calibri"/>
                                      <w:b/>
                                      <w:color w:val="000000"/>
                                      <w:sz w:val="18"/>
                                      <w:szCs w:val="18"/>
                                    </w:rPr>
                                    <w:t>Advantages</w:t>
                                  </w:r>
                                </w:p>
                              </w:tc>
                              <w:tc>
                                <w:tcPr>
                                  <w:tcW w:w="4477" w:type="dxa"/>
                                  <w:shd w:val="clear" w:color="auto" w:fill="92CDDC"/>
                                  <w:vAlign w:val="center"/>
                                </w:tcPr>
                                <w:p w:rsidR="00540FEA" w:rsidRPr="00F737AD" w:rsidRDefault="00540FEA" w:rsidP="00F737AD">
                                  <w:pPr>
                                    <w:widowControl w:val="0"/>
                                    <w:autoSpaceDE w:val="0"/>
                                    <w:autoSpaceDN w:val="0"/>
                                    <w:spacing w:after="0"/>
                                    <w:ind w:right="-7"/>
                                    <w:jc w:val="center"/>
                                    <w:rPr>
                                      <w:rFonts w:eastAsia="Arial" w:cs="Calibri"/>
                                      <w:b/>
                                      <w:sz w:val="18"/>
                                      <w:szCs w:val="18"/>
                                      <w:lang w:val="en-GB"/>
                                    </w:rPr>
                                  </w:pPr>
                                  <w:r w:rsidRPr="00F737AD">
                                    <w:rPr>
                                      <w:rFonts w:eastAsia="Arial" w:cs="Calibri"/>
                                      <w:b/>
                                      <w:color w:val="000000"/>
                                      <w:sz w:val="18"/>
                                      <w:szCs w:val="18"/>
                                    </w:rPr>
                                    <w:t>Disadvantages</w:t>
                                  </w:r>
                                </w:p>
                              </w:tc>
                              <w:tc>
                                <w:tcPr>
                                  <w:tcW w:w="1370" w:type="dxa"/>
                                  <w:shd w:val="clear" w:color="auto" w:fill="92CDDC"/>
                                </w:tcPr>
                                <w:p w:rsidR="00540FEA" w:rsidRPr="00F737AD" w:rsidRDefault="00540FEA" w:rsidP="00F737AD">
                                  <w:pPr>
                                    <w:widowControl w:val="0"/>
                                    <w:autoSpaceDE w:val="0"/>
                                    <w:autoSpaceDN w:val="0"/>
                                    <w:spacing w:after="0"/>
                                    <w:jc w:val="center"/>
                                    <w:rPr>
                                      <w:rFonts w:eastAsia="Arial" w:cs="Calibri"/>
                                      <w:b/>
                                      <w:color w:val="000000"/>
                                      <w:sz w:val="18"/>
                                      <w:szCs w:val="18"/>
                                    </w:rPr>
                                  </w:pPr>
                                  <w:r w:rsidRPr="00F737AD">
                                    <w:rPr>
                                      <w:rFonts w:eastAsia="Arial" w:cs="Calibri"/>
                                      <w:b/>
                                      <w:color w:val="000000"/>
                                      <w:sz w:val="18"/>
                                      <w:szCs w:val="18"/>
                                    </w:rPr>
                                    <w:t>Assessment for South African Market</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Grant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Acceptance by end-clients.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Applicable to all clients.</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 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constant replenishment of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stays with the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Uncertain end-client "ownership" of the project.</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 requires 3</w:t>
                                  </w:r>
                                  <w:r w:rsidRPr="00F737AD">
                                    <w:rPr>
                                      <w:rFonts w:eastAsia="Arial" w:cs="Calibri"/>
                                      <w:sz w:val="18"/>
                                      <w:szCs w:val="18"/>
                                      <w:vertAlign w:val="superscript"/>
                                      <w:lang w:val="en-GB"/>
                                    </w:rPr>
                                    <w:t>rd</w:t>
                                  </w:r>
                                  <w:r w:rsidRPr="00F737AD">
                                    <w:rPr>
                                      <w:rFonts w:eastAsia="Arial" w:cs="Calibri"/>
                                      <w:sz w:val="18"/>
                                      <w:szCs w:val="18"/>
                                      <w:lang w:val="en-GB"/>
                                    </w:rPr>
                                    <w:t xml:space="preserve"> party co-financing to achieve scale.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Debt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Keeps end-client in control of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stays with the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 xml:space="preserve">Funding cycles from municipalities are defined. </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Costly administration.</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to credit-worthy municipalities.</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Concessional Debt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Lowers overall cost of funding.</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Allows co-financing structure, leveraging public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Allows co-existence with other financial mechanisms.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Keeps end-client in control of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May be 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 if external co-financing is needed.</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repayment of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 xml:space="preserve">Funding cycles from municipalities are defined. </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Costly administration.</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performance guarantee - Financing the end-client.</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Less limited by the technical capability of end-clients.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transferred to ESCO.</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Limited additional benefit for end-clients that understand the technologies.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benefit.</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performance guarantee - Lease-purchase agreement.</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Does not require technically-competent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transferred to ESCO.</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Bundles projects into a single funding recipient.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Potential OPEX funding for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leasing companies that understand the ESCO model.</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financially-competent clients or project preparation &amp; post implementation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Public clients must be willing to transfer the operation of critical infrastructure to private company.</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Unclarity on municipal financial accounting in SA.</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Not feasible.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shared savings - Financing the ESCO.</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Does not require technically-competent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rPr>
                                    <w:t>Performance risk transferred to ESCO</w:t>
                                  </w:r>
                                  <w:r w:rsidRPr="00F737AD">
                                    <w:rPr>
                                      <w:rFonts w:eastAsia="Arial" w:cs="Calibri"/>
                                      <w:sz w:val="18"/>
                                      <w:szCs w:val="18"/>
                                      <w:lang w:val="en-GB"/>
                                    </w:rPr>
                                    <w:t>.</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lang w:val="en-GB"/>
                                    </w:rPr>
                                    <w:t>P</w:t>
                                  </w:r>
                                  <w:r w:rsidRPr="00F737AD">
                                    <w:rPr>
                                      <w:rFonts w:eastAsia="Arial" w:cs="Calibri"/>
                                      <w:sz w:val="18"/>
                                      <w:szCs w:val="18"/>
                                    </w:rPr>
                                    <w:t>otential OPEX funding for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Bundles projects into a single funding recipient.</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sophisticated financial companies that understand the ESCO model.</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financially-competent clients or project preparation &amp; post implementation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Public clients: requires acceptance to transfer the operation of critical infrastructure to private company.</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Unclarity on municipal financial accounting in SA.</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Perception that this model is associated with a whole-facility M&amp;V model (requires main-utility bills)</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 existing programs untested.</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On-bill financing.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Suitable for small investments in the private sector</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Self-sustainable</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Potential for off-balance sheet financing through SPV</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Complex administration.</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adequate billing system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May be perceived as a “commercial” activity by municipalities.</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Not feasible for municipalities. Feasible but complex administration for private end-users.</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Public-Private Partnership (PPP) model.</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Suitable for long term infrastructure investments</w:t>
                                  </w:r>
                                </w:p>
                                <w:p w:rsidR="00540FEA" w:rsidRPr="00F737AD" w:rsidRDefault="00540FEA" w:rsidP="00F737AD">
                                  <w:pPr>
                                    <w:widowControl w:val="0"/>
                                    <w:autoSpaceDE w:val="0"/>
                                    <w:autoSpaceDN w:val="0"/>
                                    <w:spacing w:after="0"/>
                                    <w:ind w:right="81"/>
                                    <w:jc w:val="left"/>
                                    <w:rPr>
                                      <w:rFonts w:eastAsia="Arial" w:cs="Calibri"/>
                                      <w:sz w:val="18"/>
                                      <w:szCs w:val="18"/>
                                    </w:rPr>
                                  </w:pP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Complex mechanism, not suitable for unsophisticated municipalities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Limited benefit for typical EE project durations.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MFMA still the governing structure for municipalities.</w:t>
                                  </w:r>
                                  <w:r w:rsidRPr="00F737AD">
                                    <w:rPr>
                                      <w:rFonts w:eastAsia="Arial" w:cs="Calibri"/>
                                      <w:sz w:val="18"/>
                                      <w:szCs w:val="18"/>
                                      <w:lang w:val="en-GB"/>
                                    </w:rPr>
                                    <w:tab/>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added benefit.</w:t>
                                  </w:r>
                                </w:p>
                              </w:tc>
                            </w:tr>
                          </w:tbl>
                          <w:p w:rsidR="00540FEA" w:rsidRPr="00CC313E" w:rsidRDefault="00540FEA" w:rsidP="00340C25"/>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1" type="#_x0000_t202" style="position:absolute;margin-left:0;margin-top:-22.3pt;width:530.35pt;height:674.35pt;z-index:-251615232;visibility:visible;mso-wrap-style:square;mso-width-percent:0;mso-height-percent:0;mso-wrap-distance-left:11.35pt;mso-wrap-distance-top:3.6pt;mso-wrap-distance-right:11.35pt;mso-wrap-distance-bottom:3.6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" fillcolor="#fbe5d6" stroked="f">
                <v:textbox>
                  <w:txbxContent>
                    <w:p w:rsidR="00540FEA" w:rsidRDefault="00540FEA" w:rsidP="00340C25">
                      <w:pPr>
                        <w:pStyle w:val="Caption"/>
                        <w:spacing w:after="60"/>
                        <w:rPr>
                          <w:rFonts w:ascii="Arial" w:hAnsi="Arial" w:cs="Arial"/>
                          <w:color w:val="2E74B5"/>
                          <w:sz w:val="18"/>
                        </w:rPr>
                      </w:pPr>
                      <w:bookmarkStart w:id="301" w:name="_Ref29832"/>
                      <w:bookmarkStart w:id="302" w:name="_Toc179860"/>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36</w:t>
                      </w:r>
                      <w:r w:rsidRPr="00A21E05">
                        <w:rPr>
                          <w:rFonts w:ascii="Arial" w:hAnsi="Arial" w:cs="Arial"/>
                          <w:color w:val="2E74B5"/>
                          <w:sz w:val="18"/>
                        </w:rPr>
                        <w:fldChar w:fldCharType="end"/>
                      </w:r>
                      <w:bookmarkEnd w:id="301"/>
                      <w:r>
                        <w:rPr>
                          <w:rFonts w:ascii="Arial" w:hAnsi="Arial" w:cs="Arial"/>
                          <w:color w:val="2E74B5"/>
                          <w:sz w:val="18"/>
                        </w:rPr>
                        <w:tab/>
                        <w:t>Advantages and disadvantages of various financing models</w:t>
                      </w:r>
                      <w:bookmarkEnd w:id="302"/>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4"/>
                        <w:gridCol w:w="2807"/>
                        <w:gridCol w:w="4477"/>
                        <w:gridCol w:w="1370"/>
                      </w:tblGrid>
                      <w:tr w:rsidR="00540FEA" w:rsidRPr="002C7ACA" w:rsidTr="00F737AD">
                        <w:tc>
                          <w:tcPr>
                            <w:tcW w:w="1694" w:type="dxa"/>
                            <w:shd w:val="clear" w:color="auto" w:fill="92CDDC"/>
                            <w:vAlign w:val="center"/>
                          </w:tcPr>
                          <w:p w:rsidR="00540FEA" w:rsidRPr="00F737AD" w:rsidRDefault="00540FEA" w:rsidP="00F737AD">
                            <w:pPr>
                              <w:widowControl w:val="0"/>
                              <w:autoSpaceDE w:val="0"/>
                              <w:autoSpaceDN w:val="0"/>
                              <w:spacing w:after="0"/>
                              <w:ind w:right="147"/>
                              <w:jc w:val="center"/>
                              <w:rPr>
                                <w:rFonts w:eastAsia="Arial" w:cs="Calibri"/>
                                <w:b/>
                                <w:sz w:val="18"/>
                                <w:szCs w:val="18"/>
                                <w:lang w:val="en-GB"/>
                              </w:rPr>
                            </w:pPr>
                            <w:r w:rsidRPr="00F737AD">
                              <w:rPr>
                                <w:rFonts w:eastAsia="Arial" w:cs="Calibri"/>
                                <w:b/>
                                <w:color w:val="000000"/>
                                <w:sz w:val="18"/>
                                <w:szCs w:val="18"/>
                              </w:rPr>
                              <w:t>Model</w:t>
                            </w:r>
                          </w:p>
                        </w:tc>
                        <w:tc>
                          <w:tcPr>
                            <w:tcW w:w="2807" w:type="dxa"/>
                            <w:shd w:val="clear" w:color="auto" w:fill="92CDDC"/>
                            <w:vAlign w:val="center"/>
                          </w:tcPr>
                          <w:p w:rsidR="00540FEA" w:rsidRPr="00F737AD" w:rsidRDefault="00540FEA" w:rsidP="00F737AD">
                            <w:pPr>
                              <w:widowControl w:val="0"/>
                              <w:autoSpaceDE w:val="0"/>
                              <w:autoSpaceDN w:val="0"/>
                              <w:spacing w:after="0"/>
                              <w:ind w:right="81"/>
                              <w:jc w:val="center"/>
                              <w:rPr>
                                <w:rFonts w:eastAsia="Arial" w:cs="Calibri"/>
                                <w:b/>
                                <w:sz w:val="18"/>
                                <w:szCs w:val="18"/>
                                <w:lang w:val="en-GB"/>
                              </w:rPr>
                            </w:pPr>
                            <w:r w:rsidRPr="00F737AD">
                              <w:rPr>
                                <w:rFonts w:eastAsia="Arial" w:cs="Calibri"/>
                                <w:b/>
                                <w:color w:val="000000"/>
                                <w:sz w:val="18"/>
                                <w:szCs w:val="18"/>
                              </w:rPr>
                              <w:t>Advantages</w:t>
                            </w:r>
                          </w:p>
                        </w:tc>
                        <w:tc>
                          <w:tcPr>
                            <w:tcW w:w="4477" w:type="dxa"/>
                            <w:shd w:val="clear" w:color="auto" w:fill="92CDDC"/>
                            <w:vAlign w:val="center"/>
                          </w:tcPr>
                          <w:p w:rsidR="00540FEA" w:rsidRPr="00F737AD" w:rsidRDefault="00540FEA" w:rsidP="00F737AD">
                            <w:pPr>
                              <w:widowControl w:val="0"/>
                              <w:autoSpaceDE w:val="0"/>
                              <w:autoSpaceDN w:val="0"/>
                              <w:spacing w:after="0"/>
                              <w:ind w:right="-7"/>
                              <w:jc w:val="center"/>
                              <w:rPr>
                                <w:rFonts w:eastAsia="Arial" w:cs="Calibri"/>
                                <w:b/>
                                <w:sz w:val="18"/>
                                <w:szCs w:val="18"/>
                                <w:lang w:val="en-GB"/>
                              </w:rPr>
                            </w:pPr>
                            <w:r w:rsidRPr="00F737AD">
                              <w:rPr>
                                <w:rFonts w:eastAsia="Arial" w:cs="Calibri"/>
                                <w:b/>
                                <w:color w:val="000000"/>
                                <w:sz w:val="18"/>
                                <w:szCs w:val="18"/>
                              </w:rPr>
                              <w:t>Disadvantages</w:t>
                            </w:r>
                          </w:p>
                        </w:tc>
                        <w:tc>
                          <w:tcPr>
                            <w:tcW w:w="1370" w:type="dxa"/>
                            <w:shd w:val="clear" w:color="auto" w:fill="92CDDC"/>
                          </w:tcPr>
                          <w:p w:rsidR="00540FEA" w:rsidRPr="00F737AD" w:rsidRDefault="00540FEA" w:rsidP="00F737AD">
                            <w:pPr>
                              <w:widowControl w:val="0"/>
                              <w:autoSpaceDE w:val="0"/>
                              <w:autoSpaceDN w:val="0"/>
                              <w:spacing w:after="0"/>
                              <w:jc w:val="center"/>
                              <w:rPr>
                                <w:rFonts w:eastAsia="Arial" w:cs="Calibri"/>
                                <w:b/>
                                <w:color w:val="000000"/>
                                <w:sz w:val="18"/>
                                <w:szCs w:val="18"/>
                              </w:rPr>
                            </w:pPr>
                            <w:r w:rsidRPr="00F737AD">
                              <w:rPr>
                                <w:rFonts w:eastAsia="Arial" w:cs="Calibri"/>
                                <w:b/>
                                <w:color w:val="000000"/>
                                <w:sz w:val="18"/>
                                <w:szCs w:val="18"/>
                              </w:rPr>
                              <w:t>Assessment for South African Market</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Grant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Acceptance by end-clients.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Applicable to all clients.</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 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constant replenishment of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stays with the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Uncertain end-client "ownership" of the project.</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 requires 3</w:t>
                            </w:r>
                            <w:r w:rsidRPr="00F737AD">
                              <w:rPr>
                                <w:rFonts w:eastAsia="Arial" w:cs="Calibri"/>
                                <w:sz w:val="18"/>
                                <w:szCs w:val="18"/>
                                <w:vertAlign w:val="superscript"/>
                                <w:lang w:val="en-GB"/>
                              </w:rPr>
                              <w:t>rd</w:t>
                            </w:r>
                            <w:r w:rsidRPr="00F737AD">
                              <w:rPr>
                                <w:rFonts w:eastAsia="Arial" w:cs="Calibri"/>
                                <w:sz w:val="18"/>
                                <w:szCs w:val="18"/>
                                <w:lang w:val="en-GB"/>
                              </w:rPr>
                              <w:t xml:space="preserve"> party co-financing to achieve scale.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Debt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Keeps end-client in control of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stays with the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 xml:space="preserve">Funding cycles from municipalities are defined. </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Costly administration.</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to credit-worthy municipalities.</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Standard project development - Concessional Debt funding.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Lowers overall cost of funding.</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Allows co-financing structure, leveraging public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Allows co-existence with other financial mechanisms.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Keeps end-client in control of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May be 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technically competent-clients or project preparation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 if external co-financing is needed.</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repayment of funds.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 xml:space="preserve">Funding cycles from municipalities are defined. </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Costly administration.</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performance guarantee - Financing the end-client.</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Less limited by the technical capability of end-clients.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transferred to ESCO.</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Limited additional benefit for end-clients that understand the technologies.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credit-worthy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benefit.</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performance guarantee - Lease-purchase agreement.</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Does not require technically-competent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Performance risk transferred to ESCO.</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Bundles projects into a single funding recipient.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Potential OPEX funding for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leasing companies that understand the ESCO model.</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financially-competent clients or project preparation &amp; post implementation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Public clients must be willing to transfer the operation of critical infrastructure to private company.</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Unclarity on municipal financial accounting in SA.</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Not feasible.</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ESCO model, shared savings - Financing the ESCO.</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Does not require technically-competent clients.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rPr>
                              <w:t>Performance risk transferred to ESCO</w:t>
                            </w:r>
                            <w:r w:rsidRPr="00F737AD">
                              <w:rPr>
                                <w:rFonts w:eastAsia="Arial" w:cs="Calibri"/>
                                <w:sz w:val="18"/>
                                <w:szCs w:val="18"/>
                                <w:lang w:val="en-GB"/>
                              </w:rPr>
                              <w:t>.</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lang w:val="en-GB"/>
                              </w:rPr>
                              <w:t>P</w:t>
                            </w:r>
                            <w:r w:rsidRPr="00F737AD">
                              <w:rPr>
                                <w:rFonts w:eastAsia="Arial" w:cs="Calibri"/>
                                <w:sz w:val="18"/>
                                <w:szCs w:val="18"/>
                              </w:rPr>
                              <w:t>otential OPEX funding for end-client.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Bundles projects into a single funding recipient.</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lang w:val="en-GB"/>
                              </w:rPr>
                              <w:t>Self-sustainable.</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sophisticated financial companies that understand the ESCO model.</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the presence of ESCOs in the market.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financially-competent clients or project preparation &amp; post implementation support.</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Public clients: requires acceptance to transfer the operation of critical infrastructure to private company.</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Unclarity on municipal financial accounting in SA.</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Perception that this model is associated with a whole-facility M&amp;V model (requires main-utility bills)</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Feasible, existing programs untested.</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On-bill financing.</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Suitable for small investments in the private sector</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Self-sustainable</w:t>
                            </w:r>
                          </w:p>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Potential for off-balance sheet financing through SPV</w:t>
                            </w: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Complex administration.</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Requires adequate billing system infrastructure.</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May be perceived as a “commercial” activity by municipalities.</w:t>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Not feasible for municipalities. Feasible but complex administration for private end-users.</w:t>
                            </w:r>
                          </w:p>
                        </w:tc>
                      </w:tr>
                      <w:tr w:rsidR="00540FEA" w:rsidRPr="002C7ACA" w:rsidTr="00F737AD">
                        <w:tc>
                          <w:tcPr>
                            <w:tcW w:w="1694" w:type="dxa"/>
                            <w:shd w:val="clear" w:color="auto" w:fill="auto"/>
                            <w:vAlign w:val="center"/>
                          </w:tcPr>
                          <w:p w:rsidR="00540FEA" w:rsidRPr="00F737AD" w:rsidRDefault="00540FEA" w:rsidP="00F737AD">
                            <w:pPr>
                              <w:widowControl w:val="0"/>
                              <w:autoSpaceDE w:val="0"/>
                              <w:autoSpaceDN w:val="0"/>
                              <w:spacing w:after="0"/>
                              <w:ind w:right="147"/>
                              <w:jc w:val="left"/>
                              <w:rPr>
                                <w:rFonts w:eastAsia="Arial" w:cs="Calibri"/>
                                <w:sz w:val="18"/>
                                <w:szCs w:val="18"/>
                                <w:lang w:val="en-GB"/>
                              </w:rPr>
                            </w:pPr>
                            <w:r w:rsidRPr="00F737AD">
                              <w:rPr>
                                <w:rFonts w:eastAsia="Arial" w:cs="Calibri"/>
                                <w:color w:val="000000"/>
                                <w:sz w:val="18"/>
                                <w:szCs w:val="18"/>
                              </w:rPr>
                              <w:t>Public-Private Partnership (PPP) model.</w:t>
                            </w:r>
                          </w:p>
                        </w:tc>
                        <w:tc>
                          <w:tcPr>
                            <w:tcW w:w="280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rPr>
                            </w:pPr>
                            <w:r w:rsidRPr="00F737AD">
                              <w:rPr>
                                <w:rFonts w:eastAsia="Arial" w:cs="Calibri"/>
                                <w:sz w:val="18"/>
                                <w:szCs w:val="18"/>
                              </w:rPr>
                              <w:t>Suitable for long term infrastructure investments</w:t>
                            </w:r>
                          </w:p>
                          <w:p w:rsidR="00540FEA" w:rsidRPr="00F737AD" w:rsidRDefault="00540FEA" w:rsidP="00F737AD">
                            <w:pPr>
                              <w:widowControl w:val="0"/>
                              <w:autoSpaceDE w:val="0"/>
                              <w:autoSpaceDN w:val="0"/>
                              <w:spacing w:after="0"/>
                              <w:ind w:right="81"/>
                              <w:jc w:val="left"/>
                              <w:rPr>
                                <w:rFonts w:eastAsia="Arial" w:cs="Calibri"/>
                                <w:sz w:val="18"/>
                                <w:szCs w:val="18"/>
                              </w:rPr>
                            </w:pPr>
                          </w:p>
                        </w:tc>
                        <w:tc>
                          <w:tcPr>
                            <w:tcW w:w="4477" w:type="dxa"/>
                            <w:shd w:val="clear" w:color="auto" w:fill="auto"/>
                            <w:vAlign w:val="center"/>
                          </w:tcPr>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Complex mechanism, not suitable for unsophisticated municipalities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Limited benefit for typical EE project durations.</w:t>
                            </w:r>
                          </w:p>
                          <w:p w:rsidR="00540FEA" w:rsidRPr="00F737AD" w:rsidRDefault="00540FEA" w:rsidP="00F737AD">
                            <w:pPr>
                              <w:widowControl w:val="0"/>
                              <w:autoSpaceDE w:val="0"/>
                              <w:autoSpaceDN w:val="0"/>
                              <w:spacing w:after="0"/>
                              <w:ind w:right="81"/>
                              <w:jc w:val="left"/>
                              <w:rPr>
                                <w:rFonts w:eastAsia="Arial" w:cs="Calibri"/>
                                <w:sz w:val="18"/>
                                <w:szCs w:val="18"/>
                                <w:lang w:val="en-GB"/>
                              </w:rPr>
                            </w:pPr>
                            <w:r w:rsidRPr="00F737AD">
                              <w:rPr>
                                <w:rFonts w:eastAsia="Arial" w:cs="Calibri"/>
                                <w:sz w:val="18"/>
                                <w:szCs w:val="18"/>
                                <w:lang w:val="en-GB"/>
                              </w:rPr>
                              <w:t>MFMA still the governing structure for municipalities.</w:t>
                            </w:r>
                            <w:r w:rsidRPr="00F737AD">
                              <w:rPr>
                                <w:rFonts w:eastAsia="Arial" w:cs="Calibri"/>
                                <w:sz w:val="18"/>
                                <w:szCs w:val="18"/>
                                <w:lang w:val="en-GB"/>
                              </w:rPr>
                              <w:tab/>
                            </w:r>
                          </w:p>
                        </w:tc>
                        <w:tc>
                          <w:tcPr>
                            <w:tcW w:w="1370" w:type="dxa"/>
                            <w:shd w:val="clear" w:color="auto" w:fill="auto"/>
                            <w:vAlign w:val="center"/>
                          </w:tcPr>
                          <w:p w:rsidR="00540FEA" w:rsidRPr="00F737AD" w:rsidRDefault="00540FEA" w:rsidP="00F737AD">
                            <w:pPr>
                              <w:widowControl w:val="0"/>
                              <w:autoSpaceDE w:val="0"/>
                              <w:autoSpaceDN w:val="0"/>
                              <w:spacing w:after="0"/>
                              <w:ind w:right="81"/>
                              <w:jc w:val="center"/>
                              <w:rPr>
                                <w:rFonts w:eastAsia="Arial" w:cs="Calibri"/>
                                <w:sz w:val="18"/>
                                <w:szCs w:val="18"/>
                                <w:lang w:val="en-GB"/>
                              </w:rPr>
                            </w:pPr>
                            <w:r w:rsidRPr="00F737AD">
                              <w:rPr>
                                <w:rFonts w:eastAsia="Arial" w:cs="Calibri"/>
                                <w:sz w:val="18"/>
                                <w:szCs w:val="18"/>
                                <w:lang w:val="en-GB"/>
                              </w:rPr>
                              <w:t>Limited added benefit.</w:t>
                            </w:r>
                          </w:p>
                        </w:tc>
                      </w:tr>
                    </w:tbl>
                    <w:p w:rsidR="00540FEA" w:rsidRPr="00CC313E" w:rsidRDefault="00540FEA" w:rsidP="00340C25"/>
                  </w:txbxContent>
                </v:textbox>
                <w10:wrap type="tight" anchorx="margin" anchory="margin"/>
              </v:shape>
            </w:pict>
          </mc:Fallback>
        </mc:AlternateContent>
      </w:r>
      <w:r w:rsidR="00340C25" w:rsidRPr="0057545E">
        <w:rPr>
          <w:lang w:val="en-GB" w:eastAsia="en-GB"/>
        </w:rPr>
        <w:br w:type="page"/>
      </w:r>
    </w:p>
    <w:p w:rsidR="00D415F2" w:rsidRPr="00353542" w:rsidRDefault="00D415F2" w:rsidP="00D415F2">
      <w:pPr>
        <w:spacing w:after="0"/>
        <w:rPr>
          <w:lang w:val="en-GB" w:eastAsia="en-GB"/>
        </w:rPr>
      </w:pPr>
    </w:p>
    <w:p w:rsidR="005E0335" w:rsidRPr="004722F0" w:rsidRDefault="005E0335" w:rsidP="005E0335">
      <w:pPr>
        <w:spacing w:after="0"/>
        <w:rPr>
          <w:u w:val="single"/>
          <w:lang w:val="en-GB" w:eastAsia="en-GB"/>
        </w:rPr>
      </w:pPr>
      <w:r w:rsidRPr="003B7D62">
        <w:rPr>
          <w:u w:val="single"/>
          <w:lang w:val="en-GB" w:eastAsia="en-GB"/>
        </w:rPr>
        <w:t>Summary, financing models</w:t>
      </w:r>
    </w:p>
    <w:p w:rsidR="005E0335" w:rsidRPr="00666B27" w:rsidRDefault="005E0335" w:rsidP="005E0335">
      <w:pPr>
        <w:spacing w:after="0"/>
        <w:rPr>
          <w:u w:val="single"/>
          <w:lang w:val="en-GB" w:eastAsia="en-GB"/>
        </w:rPr>
      </w:pPr>
    </w:p>
    <w:p w:rsidR="005E0335" w:rsidRPr="00666B27" w:rsidRDefault="005E0335" w:rsidP="005E0335">
      <w:pPr>
        <w:spacing w:after="0"/>
        <w:rPr>
          <w:lang w:val="en-GB" w:eastAsia="en-GB"/>
        </w:rPr>
      </w:pPr>
      <w:r w:rsidRPr="00666B27">
        <w:rPr>
          <w:lang w:val="en-GB" w:eastAsia="en-GB"/>
        </w:rPr>
        <w:t xml:space="preserve">A brief summary table of the advantages and disadvantages of each model is indicated in </w:t>
      </w:r>
      <w:r w:rsidR="00AE0751" w:rsidRPr="00353542">
        <w:rPr>
          <w:lang w:val="en-GB" w:eastAsia="en-GB"/>
        </w:rPr>
        <w:fldChar w:fldCharType="begin"/>
      </w:r>
      <w:r w:rsidR="00AE0751" w:rsidRPr="00666B27">
        <w:rPr>
          <w:lang w:val="en-GB" w:eastAsia="en-GB"/>
        </w:rPr>
        <w:instrText xml:space="preserve"> REF _Ref29832 \h </w:instrText>
      </w:r>
      <w:r w:rsidR="00AE0751" w:rsidRPr="00353542">
        <w:rPr>
          <w:lang w:val="en-GB" w:eastAsia="en-GB"/>
        </w:rPr>
      </w:r>
      <w:r w:rsidR="00AE0751"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36</w:t>
      </w:r>
      <w:r w:rsidR="00AE0751" w:rsidRPr="00353542">
        <w:rPr>
          <w:lang w:val="en-GB" w:eastAsia="en-GB"/>
        </w:rPr>
        <w:fldChar w:fldCharType="end"/>
      </w:r>
      <w:r w:rsidRPr="0057545E">
        <w:rPr>
          <w:lang w:val="en-GB" w:eastAsia="en-GB"/>
        </w:rPr>
        <w:t xml:space="preserve">. The result of the analysis is that there are two feasible models for implementation of energy efficiency projects in the municipal space: standard project development (with a varying degree of </w:t>
      </w:r>
      <w:r w:rsidRPr="00353542">
        <w:rPr>
          <w:noProof/>
          <w:lang w:val="en-GB" w:eastAsia="en-GB"/>
        </w:rPr>
        <w:t>c</w:t>
      </w:r>
      <w:r w:rsidRPr="003B7D62">
        <w:rPr>
          <w:noProof/>
          <w:lang w:val="en-GB" w:eastAsia="en-GB"/>
        </w:rPr>
        <w:t>oncessional</w:t>
      </w:r>
      <w:r w:rsidR="00D415F2" w:rsidRPr="004722F0">
        <w:rPr>
          <w:noProof/>
          <w:lang w:val="en-GB" w:eastAsia="en-GB"/>
        </w:rPr>
        <w:t>ity</w:t>
      </w:r>
      <w:r w:rsidRPr="00666B27">
        <w:rPr>
          <w:lang w:val="en-GB" w:eastAsia="en-GB"/>
        </w:rPr>
        <w:t xml:space="preserve"> in the funding), and the shared-savings ESCO model (which still has some important barriers for deployment).</w:t>
      </w:r>
    </w:p>
    <w:p w:rsidR="002C7ACA" w:rsidRPr="00666B27" w:rsidRDefault="002C7ACA" w:rsidP="002075FC">
      <w:pPr>
        <w:spacing w:after="0"/>
        <w:rPr>
          <w:lang w:val="en-GB" w:eastAsia="en-GB"/>
        </w:rPr>
      </w:pPr>
    </w:p>
    <w:p w:rsidR="00333FCA" w:rsidRPr="00666B27" w:rsidRDefault="00333FCA" w:rsidP="00333FCA">
      <w:pPr>
        <w:spacing w:after="0"/>
        <w:jc w:val="left"/>
        <w:rPr>
          <w:u w:val="single"/>
          <w:lang w:val="en-GB" w:eastAsia="en-GB"/>
        </w:rPr>
      </w:pPr>
    </w:p>
    <w:p w:rsidR="00333FCA" w:rsidRPr="00666B27" w:rsidRDefault="00333FCA" w:rsidP="00333FCA">
      <w:pPr>
        <w:pStyle w:val="HeadingA2"/>
      </w:pPr>
      <w:bookmarkStart w:id="303" w:name="_Toc340788"/>
      <w:r w:rsidRPr="00666B27">
        <w:rPr>
          <w:noProof/>
        </w:rPr>
        <w:t>Key</w:t>
      </w:r>
      <w:r w:rsidRPr="00666B27">
        <w:t xml:space="preserve"> consideration for the Project-supported Energy Efficiency Financial Instrument </w:t>
      </w:r>
      <w:r w:rsidR="00F164BF" w:rsidRPr="00666B27">
        <w:t>(EEFI)</w:t>
      </w:r>
      <w:bookmarkEnd w:id="303"/>
    </w:p>
    <w:p w:rsidR="00333FCA" w:rsidRPr="00666B27" w:rsidRDefault="00333FCA" w:rsidP="00333FCA">
      <w:pPr>
        <w:spacing w:after="0"/>
        <w:rPr>
          <w:lang w:val="en-GB" w:eastAsia="en-GB"/>
        </w:rPr>
      </w:pPr>
    </w:p>
    <w:p w:rsidR="002C7ACA" w:rsidRPr="00666B27" w:rsidRDefault="00863767" w:rsidP="002075FC">
      <w:pPr>
        <w:spacing w:after="0"/>
        <w:rPr>
          <w:u w:val="single"/>
          <w:lang w:val="en-GB" w:eastAsia="en-GB"/>
        </w:rPr>
      </w:pPr>
      <w:bookmarkStart w:id="304" w:name="_Hlk4679583"/>
      <w:r w:rsidRPr="00666B27">
        <w:rPr>
          <w:u w:val="single"/>
          <w:lang w:val="en-GB" w:eastAsia="en-GB"/>
        </w:rPr>
        <w:t>Target groups</w:t>
      </w:r>
    </w:p>
    <w:p w:rsidR="00863767" w:rsidRPr="00666B27" w:rsidRDefault="00863767" w:rsidP="002075FC">
      <w:pPr>
        <w:spacing w:after="0"/>
        <w:rPr>
          <w:lang w:val="en-GB" w:eastAsia="en-GB"/>
        </w:rPr>
      </w:pPr>
    </w:p>
    <w:p w:rsidR="00863767" w:rsidRPr="00666B27" w:rsidRDefault="00863767" w:rsidP="00863767">
      <w:pPr>
        <w:spacing w:after="0"/>
        <w:rPr>
          <w:lang w:val="en-GB" w:eastAsia="en-GB"/>
        </w:rPr>
      </w:pPr>
      <w:r w:rsidRPr="00666B27">
        <w:rPr>
          <w:lang w:val="en-GB" w:eastAsia="en-GB"/>
        </w:rPr>
        <w:t xml:space="preserve">Three key target groups have been identified as potential funding recipients. These groups are </w:t>
      </w:r>
      <w:r w:rsidR="00AE7880" w:rsidRPr="00666B27">
        <w:rPr>
          <w:lang w:val="en-GB" w:eastAsia="en-GB"/>
        </w:rPr>
        <w:t xml:space="preserve">private energy users (households and commercial/industrial users), </w:t>
      </w:r>
      <w:r w:rsidRPr="00666B27">
        <w:rPr>
          <w:lang w:val="en-GB" w:eastAsia="en-GB"/>
        </w:rPr>
        <w:t xml:space="preserve">municipalities, </w:t>
      </w:r>
      <w:r w:rsidR="00AE7880" w:rsidRPr="00666B27">
        <w:rPr>
          <w:lang w:val="en-GB" w:eastAsia="en-GB"/>
        </w:rPr>
        <w:t xml:space="preserve">and </w:t>
      </w:r>
      <w:r w:rsidRPr="00666B27">
        <w:rPr>
          <w:lang w:val="en-GB" w:eastAsia="en-GB"/>
        </w:rPr>
        <w:t>local equipment manufacturers</w:t>
      </w:r>
      <w:r w:rsidR="00AE7880" w:rsidRPr="00666B27">
        <w:rPr>
          <w:lang w:val="en-GB" w:eastAsia="en-GB"/>
        </w:rPr>
        <w:t>.</w:t>
      </w:r>
    </w:p>
    <w:p w:rsidR="00C922B7" w:rsidRPr="00666B27" w:rsidRDefault="00C922B7" w:rsidP="00C922B7">
      <w:pPr>
        <w:spacing w:after="0"/>
        <w:rPr>
          <w:i/>
          <w:lang w:val="en-GB" w:eastAsia="en-GB"/>
        </w:rPr>
      </w:pPr>
    </w:p>
    <w:p w:rsidR="00C922B7" w:rsidRPr="00666B27" w:rsidRDefault="00C922B7" w:rsidP="00C922B7">
      <w:pPr>
        <w:spacing w:after="0"/>
        <w:rPr>
          <w:i/>
          <w:lang w:val="en-GB" w:eastAsia="en-GB"/>
        </w:rPr>
      </w:pPr>
      <w:r w:rsidRPr="00666B27">
        <w:rPr>
          <w:i/>
          <w:lang w:val="en-GB" w:eastAsia="en-GB"/>
        </w:rPr>
        <w:t>Households</w:t>
      </w:r>
    </w:p>
    <w:p w:rsidR="00AE7880" w:rsidRPr="00666B27" w:rsidRDefault="00C922B7" w:rsidP="00AE7880">
      <w:pPr>
        <w:spacing w:after="0"/>
        <w:rPr>
          <w:lang w:val="en-GB" w:eastAsia="en-GB"/>
        </w:rPr>
      </w:pPr>
      <w:r w:rsidRPr="00666B27">
        <w:rPr>
          <w:lang w:val="en-GB" w:eastAsia="en-GB"/>
        </w:rPr>
        <w:t>The ESKOM lighting exchange program launched in 2005 addressed precisely this market segment, providing subsidized lamp replacements (with CFLs) for households.</w:t>
      </w:r>
      <w:r w:rsidRPr="00666B27">
        <w:rPr>
          <w:lang w:val="en-GB"/>
        </w:rPr>
        <w:t xml:space="preserve"> </w:t>
      </w:r>
      <w:r w:rsidRPr="00666B27">
        <w:rPr>
          <w:lang w:val="en-GB" w:eastAsia="en-GB"/>
        </w:rPr>
        <w:t>The low-income households were the main target group of the Eskom lighting programme</w:t>
      </w:r>
      <w:r w:rsidR="00AE7880" w:rsidRPr="00666B27">
        <w:rPr>
          <w:lang w:val="en-GB" w:eastAsia="en-GB"/>
        </w:rPr>
        <w:t xml:space="preserve">. Now the CFL replacement programme has ended, once CFL lamps reach their end-of-life, residential users purchase the replacements. LED yield relatively attractive returns on the investment at current prices, as LED prices in the market have fallen substantially and have reached levels comparable to CFL (but with the </w:t>
      </w:r>
      <w:r w:rsidR="00AE7880" w:rsidRPr="00666B27">
        <w:rPr>
          <w:noProof/>
          <w:lang w:val="en-GB" w:eastAsia="en-GB"/>
        </w:rPr>
        <w:t>add</w:t>
      </w:r>
      <w:r w:rsidR="00FB2439" w:rsidRPr="00666B27">
        <w:rPr>
          <w:noProof/>
          <w:lang w:val="en-GB" w:eastAsia="en-GB"/>
        </w:rPr>
        <w:t>ed</w:t>
      </w:r>
      <w:r w:rsidR="00AE7880" w:rsidRPr="00666B27">
        <w:rPr>
          <w:lang w:val="en-GB" w:eastAsia="en-GB"/>
        </w:rPr>
        <w:t xml:space="preserve"> benefit that their lifetime is longer). The mid/</w:t>
      </w:r>
      <w:r w:rsidR="00AE7880" w:rsidRPr="00666B27">
        <w:rPr>
          <w:noProof/>
          <w:lang w:val="en-GB" w:eastAsia="en-GB"/>
        </w:rPr>
        <w:t>high income</w:t>
      </w:r>
      <w:r w:rsidR="00AE7880" w:rsidRPr="00666B27">
        <w:rPr>
          <w:lang w:val="en-GB" w:eastAsia="en-GB"/>
        </w:rPr>
        <w:t xml:space="preserve"> households were a much smaller part of the ESKOM lighting exchange program. A large part of the lighting installed in these households consists of halogen spotlights. This technology is extremely well</w:t>
      </w:r>
      <w:r w:rsidR="00FF3A31" w:rsidRPr="00666B27">
        <w:rPr>
          <w:lang w:val="en-GB" w:eastAsia="en-GB"/>
        </w:rPr>
        <w:t>-</w:t>
      </w:r>
      <w:r w:rsidR="00AE7880" w:rsidRPr="00666B27">
        <w:rPr>
          <w:lang w:val="en-GB" w:eastAsia="en-GB"/>
        </w:rPr>
        <w:t>suited for a replacement for LED lamps, and thanks to recent price drops of LED, they are more economical to install (and operate) than the halogen lamps.</w:t>
      </w:r>
      <w:r w:rsidR="00AE7880" w:rsidRPr="00666B27">
        <w:rPr>
          <w:lang w:val="en-GB"/>
        </w:rPr>
        <w:t xml:space="preserve"> </w:t>
      </w:r>
      <w:r w:rsidR="00AE7880" w:rsidRPr="00666B27">
        <w:rPr>
          <w:lang w:val="en-GB" w:eastAsia="en-GB"/>
        </w:rPr>
        <w:t xml:space="preserve"> However, the current lack of minimum standards leads to </w:t>
      </w:r>
      <w:r w:rsidR="00AE7880" w:rsidRPr="00666B27">
        <w:rPr>
          <w:noProof/>
          <w:lang w:val="en-GB" w:eastAsia="en-GB"/>
        </w:rPr>
        <w:t>dumping</w:t>
      </w:r>
      <w:r w:rsidR="00AE7880" w:rsidRPr="00666B27">
        <w:rPr>
          <w:lang w:val="en-GB" w:eastAsia="en-GB"/>
        </w:rPr>
        <w:t xml:space="preserve"> of these lower-cost, low quality LED on the market. </w:t>
      </w:r>
      <w:r w:rsidR="00F164BF" w:rsidRPr="00666B27">
        <w:rPr>
          <w:lang w:val="en-GB" w:eastAsia="en-GB"/>
        </w:rPr>
        <w:t xml:space="preserve">This </w:t>
      </w:r>
      <w:r w:rsidR="00F164BF" w:rsidRPr="00666B27">
        <w:rPr>
          <w:noProof/>
          <w:lang w:val="en-GB" w:eastAsia="en-GB"/>
        </w:rPr>
        <w:t>give</w:t>
      </w:r>
      <w:r w:rsidR="00FB2439" w:rsidRPr="00666B27">
        <w:rPr>
          <w:noProof/>
          <w:lang w:val="en-GB" w:eastAsia="en-GB"/>
        </w:rPr>
        <w:t>s</w:t>
      </w:r>
      <w:r w:rsidR="00F164BF" w:rsidRPr="00666B27">
        <w:rPr>
          <w:lang w:val="en-GB" w:eastAsia="en-GB"/>
        </w:rPr>
        <w:t xml:space="preserve"> the product a bad name, and households (lower and m</w:t>
      </w:r>
      <w:r w:rsidR="00AE7880" w:rsidRPr="00666B27">
        <w:rPr>
          <w:lang w:val="en-GB" w:eastAsia="en-GB"/>
        </w:rPr>
        <w:t xml:space="preserve">iddle/higher income households </w:t>
      </w:r>
      <w:r w:rsidR="00F164BF" w:rsidRPr="00666B27">
        <w:rPr>
          <w:lang w:val="en-GB" w:eastAsia="en-GB"/>
        </w:rPr>
        <w:t xml:space="preserve">alike) </w:t>
      </w:r>
      <w:r w:rsidR="00AE7880" w:rsidRPr="00666B27">
        <w:rPr>
          <w:lang w:val="en-GB" w:eastAsia="en-GB"/>
        </w:rPr>
        <w:t>may</w:t>
      </w:r>
      <w:r w:rsidR="00FB2439" w:rsidRPr="00666B27">
        <w:rPr>
          <w:lang w:val="en-GB" w:eastAsia="en-GB"/>
        </w:rPr>
        <w:t>,</w:t>
      </w:r>
      <w:r w:rsidR="00AE7880" w:rsidRPr="00666B27">
        <w:rPr>
          <w:lang w:val="en-GB" w:eastAsia="en-GB"/>
        </w:rPr>
        <w:t xml:space="preserve"> </w:t>
      </w:r>
      <w:r w:rsidR="00AE7880" w:rsidRPr="00666B27">
        <w:rPr>
          <w:noProof/>
          <w:lang w:val="en-GB" w:eastAsia="en-GB"/>
        </w:rPr>
        <w:t>therefore</w:t>
      </w:r>
      <w:r w:rsidR="00FB2439" w:rsidRPr="00666B27">
        <w:rPr>
          <w:noProof/>
          <w:lang w:val="en-GB" w:eastAsia="en-GB"/>
        </w:rPr>
        <w:t>,</w:t>
      </w:r>
      <w:r w:rsidR="00AE7880" w:rsidRPr="00666B27">
        <w:rPr>
          <w:lang w:val="en-GB" w:eastAsia="en-GB"/>
        </w:rPr>
        <w:t xml:space="preserve"> stick</w:t>
      </w:r>
      <w:r w:rsidR="00F164BF" w:rsidRPr="00666B27">
        <w:rPr>
          <w:lang w:val="en-GB" w:eastAsia="en-GB"/>
        </w:rPr>
        <w:t xml:space="preserve"> to the technology they know.</w:t>
      </w:r>
    </w:p>
    <w:p w:rsidR="00F164BF" w:rsidRPr="00666B27" w:rsidRDefault="00F164BF" w:rsidP="00AE7880">
      <w:pPr>
        <w:spacing w:after="0"/>
        <w:rPr>
          <w:lang w:val="en-GB" w:eastAsia="en-GB"/>
        </w:rPr>
      </w:pPr>
    </w:p>
    <w:p w:rsidR="00F164BF" w:rsidRPr="00666B27" w:rsidRDefault="00F164BF" w:rsidP="00AE7880">
      <w:pPr>
        <w:spacing w:after="0"/>
        <w:rPr>
          <w:lang w:val="en-GB" w:eastAsia="en-GB"/>
        </w:rPr>
      </w:pPr>
      <w:r w:rsidRPr="00666B27">
        <w:rPr>
          <w:lang w:val="en-GB" w:eastAsia="en-GB"/>
        </w:rPr>
        <w:t>To accelerate the transition towards LED lamps, the main levers of the proposed Financial Instrument (EEFI) consist of a reduction on the cost of these lamps</w:t>
      </w:r>
      <w:r w:rsidR="00DD2702" w:rsidRPr="00666B27">
        <w:rPr>
          <w:lang w:val="en-GB" w:eastAsia="en-GB"/>
        </w:rPr>
        <w:t xml:space="preserve">. This can be encouraged by means of </w:t>
      </w:r>
      <w:r w:rsidR="00DD2702" w:rsidRPr="00666B27">
        <w:rPr>
          <w:i/>
          <w:lang w:val="en-GB" w:eastAsia="en-GB"/>
        </w:rPr>
        <w:t xml:space="preserve">the implementation of a mass-procurement program </w:t>
      </w:r>
      <w:r w:rsidR="00DD2702" w:rsidRPr="00666B27">
        <w:rPr>
          <w:lang w:val="en-GB" w:eastAsia="en-GB"/>
        </w:rPr>
        <w:t xml:space="preserve">that further reduces the price of LED lights and pushes the market to adapt to these prices. </w:t>
      </w:r>
      <w:r w:rsidRPr="00666B27">
        <w:rPr>
          <w:lang w:val="en-GB" w:eastAsia="en-GB"/>
        </w:rPr>
        <w:t xml:space="preserve">This will go together with increased awareness of the benefits of this technology, through a communication campaign for end users (Output 2.1) and the implement of </w:t>
      </w:r>
      <w:r w:rsidRPr="00666B27">
        <w:rPr>
          <w:noProof/>
          <w:lang w:val="en-GB" w:eastAsia="en-GB"/>
        </w:rPr>
        <w:t>labelling</w:t>
      </w:r>
      <w:r w:rsidRPr="00666B27">
        <w:rPr>
          <w:lang w:val="en-GB" w:eastAsia="en-GB"/>
        </w:rPr>
        <w:t xml:space="preserve"> schemes and enforcement mechanisms to ensure that low quality LED lamps are removed from the market (Output 1.2). </w:t>
      </w:r>
    </w:p>
    <w:p w:rsidR="00F164BF" w:rsidRPr="00666B27" w:rsidRDefault="00F164BF" w:rsidP="00AE7880">
      <w:pPr>
        <w:spacing w:after="0"/>
        <w:rPr>
          <w:lang w:val="en-GB" w:eastAsia="en-GB"/>
        </w:rPr>
      </w:pPr>
    </w:p>
    <w:p w:rsidR="00F164BF" w:rsidRPr="00666B27" w:rsidRDefault="00F164BF" w:rsidP="00AE7880">
      <w:pPr>
        <w:spacing w:after="0"/>
        <w:rPr>
          <w:i/>
          <w:lang w:val="en-GB" w:eastAsia="en-GB"/>
        </w:rPr>
      </w:pPr>
      <w:r w:rsidRPr="00666B27">
        <w:rPr>
          <w:i/>
          <w:lang w:val="en-GB" w:eastAsia="en-GB"/>
        </w:rPr>
        <w:t>Commercial and industrial buildings</w:t>
      </w:r>
    </w:p>
    <w:p w:rsidR="00F164BF" w:rsidRPr="00666B27" w:rsidRDefault="00F164BF" w:rsidP="00AE7880">
      <w:pPr>
        <w:spacing w:after="0"/>
        <w:rPr>
          <w:lang w:val="en-GB" w:eastAsia="en-GB"/>
        </w:rPr>
      </w:pPr>
      <w:r w:rsidRPr="00666B27">
        <w:rPr>
          <w:lang w:val="en-GB" w:eastAsia="en-GB"/>
        </w:rPr>
        <w:t xml:space="preserve">In the case of commercial and industrial buildings, several financial institutions have dedicated funding available for energy efficiency programs. Deployment of funds has been nonetheless slow due to the high transaction costs associated with the small size of these investments. Many of these clients are still credit-worthy, and the key to </w:t>
      </w:r>
      <w:r w:rsidRPr="00666B27">
        <w:rPr>
          <w:noProof/>
          <w:lang w:val="en-GB" w:eastAsia="en-GB"/>
        </w:rPr>
        <w:t>provid</w:t>
      </w:r>
      <w:r w:rsidR="00FB2439" w:rsidRPr="00666B27">
        <w:rPr>
          <w:noProof/>
          <w:lang w:val="en-GB" w:eastAsia="en-GB"/>
        </w:rPr>
        <w:t xml:space="preserve">ing </w:t>
      </w:r>
      <w:r w:rsidRPr="00666B27">
        <w:rPr>
          <w:lang w:val="en-GB" w:eastAsia="en-GB"/>
        </w:rPr>
        <w:t xml:space="preserve">funding lies in reducing those transaction costs (for example, aggregating projects through ESCOs, or financing through a lower default instrument such as on-bill financing). </w:t>
      </w:r>
    </w:p>
    <w:p w:rsidR="00DD2702" w:rsidRPr="00666B27" w:rsidRDefault="00DD2702" w:rsidP="00AE7880">
      <w:pPr>
        <w:spacing w:after="0"/>
        <w:rPr>
          <w:lang w:val="en-GB" w:eastAsia="en-GB"/>
        </w:rPr>
      </w:pPr>
    </w:p>
    <w:p w:rsidR="00DD2702" w:rsidRPr="00666B27" w:rsidRDefault="00DD2702" w:rsidP="00AE7880">
      <w:pPr>
        <w:spacing w:after="0"/>
        <w:rPr>
          <w:i/>
          <w:lang w:val="en-GB" w:eastAsia="en-GB"/>
        </w:rPr>
      </w:pPr>
      <w:r w:rsidRPr="00666B27">
        <w:rPr>
          <w:i/>
          <w:lang w:val="en-GB" w:eastAsia="en-GB"/>
        </w:rPr>
        <w:t>Local equipment providers</w:t>
      </w:r>
    </w:p>
    <w:p w:rsidR="00DD2702" w:rsidRPr="00666B27" w:rsidRDefault="00DD2702" w:rsidP="00AE7880">
      <w:pPr>
        <w:spacing w:after="0"/>
        <w:rPr>
          <w:lang w:val="en-GB" w:eastAsia="en-GB"/>
        </w:rPr>
      </w:pPr>
      <w:r w:rsidRPr="00666B27">
        <w:rPr>
          <w:lang w:val="en-GB" w:eastAsia="en-GB"/>
        </w:rPr>
        <w:t>Thanks to the combination of the GEF-supported activities that supplement the existing programmes of DoE and ESKOM, local equipment manufacturers and suppliers will see a substantial increase in demand for LED products</w:t>
      </w:r>
      <w:r w:rsidR="00FF3A31" w:rsidRPr="00666B27">
        <w:rPr>
          <w:lang w:val="en-GB" w:eastAsia="en-GB"/>
        </w:rPr>
        <w:t xml:space="preserve"> </w:t>
      </w:r>
      <w:r w:rsidRPr="00666B27">
        <w:rPr>
          <w:lang w:val="en-GB" w:eastAsia="en-GB"/>
        </w:rPr>
        <w:t>and high-efficiency transformers. It is expected that they will also see the need to invest in new or upgraded manufacturing facilities</w:t>
      </w:r>
      <w:r w:rsidR="00FF3A31" w:rsidRPr="00666B27">
        <w:rPr>
          <w:lang w:val="en-GB" w:eastAsia="en-GB"/>
        </w:rPr>
        <w:t xml:space="preserve"> to meet the demand</w:t>
      </w:r>
      <w:r w:rsidRPr="00666B27">
        <w:rPr>
          <w:lang w:val="en-GB" w:eastAsia="en-GB"/>
        </w:rPr>
        <w:t>. To finance this, local equipment manufacturers</w:t>
      </w:r>
      <w:r w:rsidR="00FF3A31" w:rsidRPr="00666B27">
        <w:rPr>
          <w:lang w:val="en-GB" w:eastAsia="en-GB"/>
        </w:rPr>
        <w:t xml:space="preserve"> can access existing </w:t>
      </w:r>
      <w:r w:rsidRPr="00666B27">
        <w:rPr>
          <w:lang w:val="en-GB" w:eastAsia="en-GB"/>
        </w:rPr>
        <w:t>funding sources from commercial banks and private sector programmes of development financial institutions, such as</w:t>
      </w:r>
      <w:r w:rsidR="00FF3A31" w:rsidRPr="00666B27">
        <w:rPr>
          <w:lang w:val="en-GB" w:eastAsia="en-GB"/>
        </w:rPr>
        <w:t xml:space="preserve"> the Industrial Development Corporation</w:t>
      </w:r>
      <w:r w:rsidRPr="00666B27">
        <w:rPr>
          <w:lang w:val="en-GB" w:eastAsia="en-GB"/>
        </w:rPr>
        <w:t>.</w:t>
      </w:r>
    </w:p>
    <w:p w:rsidR="00DD2702" w:rsidRPr="00666B27" w:rsidRDefault="00DD2702" w:rsidP="00DD2702">
      <w:pPr>
        <w:spacing w:after="0"/>
        <w:rPr>
          <w:i/>
          <w:lang w:val="en-GB" w:eastAsia="en-GB"/>
        </w:rPr>
      </w:pPr>
    </w:p>
    <w:p w:rsidR="00DD2702" w:rsidRPr="00666B27" w:rsidRDefault="00DD2702" w:rsidP="00DD2702">
      <w:pPr>
        <w:spacing w:after="0"/>
        <w:rPr>
          <w:lang w:val="en-GB" w:eastAsia="en-GB"/>
        </w:rPr>
      </w:pPr>
      <w:r w:rsidRPr="00666B27">
        <w:rPr>
          <w:i/>
          <w:lang w:val="en-GB" w:eastAsia="en-GB"/>
        </w:rPr>
        <w:lastRenderedPageBreak/>
        <w:t>Municipalities</w:t>
      </w:r>
    </w:p>
    <w:p w:rsidR="009756FE" w:rsidRPr="00353542" w:rsidRDefault="00DD2702" w:rsidP="00DD2702">
      <w:pPr>
        <w:spacing w:after="0"/>
        <w:rPr>
          <w:lang w:val="en-GB" w:eastAsia="en-GB"/>
        </w:rPr>
      </w:pPr>
      <w:r w:rsidRPr="00666B27">
        <w:rPr>
          <w:noProof/>
          <w:lang w:val="en-GB" w:eastAsia="en-GB"/>
        </w:rPr>
        <w:t>Currently</w:t>
      </w:r>
      <w:r w:rsidR="00FB2439" w:rsidRPr="00666B27">
        <w:rPr>
          <w:noProof/>
          <w:lang w:val="en-GB" w:eastAsia="en-GB"/>
        </w:rPr>
        <w:t>,</w:t>
      </w:r>
      <w:r w:rsidRPr="00666B27">
        <w:rPr>
          <w:lang w:val="en-GB" w:eastAsia="en-GB"/>
        </w:rPr>
        <w:t xml:space="preserve"> the municipalities have available grant programs for the financing of infrastructure that may include energy </w:t>
      </w:r>
      <w:r w:rsidRPr="00666B27">
        <w:rPr>
          <w:noProof/>
          <w:lang w:val="en-GB" w:eastAsia="en-GB"/>
        </w:rPr>
        <w:t>efficien</w:t>
      </w:r>
      <w:r w:rsidR="00FB2439" w:rsidRPr="00666B27">
        <w:rPr>
          <w:noProof/>
          <w:lang w:val="en-GB" w:eastAsia="en-GB"/>
        </w:rPr>
        <w:t>t</w:t>
      </w:r>
      <w:r w:rsidRPr="00666B27">
        <w:rPr>
          <w:lang w:val="en-GB" w:eastAsia="en-GB"/>
        </w:rPr>
        <w:t xml:space="preserve"> lighting projects and electricity distribution (as described in the previous Section E.5 and in </w:t>
      </w:r>
      <w:r w:rsidRPr="00353542">
        <w:rPr>
          <w:lang w:val="en-GB" w:eastAsia="en-GB"/>
        </w:rPr>
        <w:fldChar w:fldCharType="begin"/>
      </w:r>
      <w:r w:rsidRPr="00666B27">
        <w:rPr>
          <w:lang w:val="en-GB" w:eastAsia="en-GB"/>
        </w:rPr>
        <w:instrText xml:space="preserve"> REF _Ref535776767 \h </w:instrText>
      </w:r>
      <w:r w:rsidRPr="00353542">
        <w:rPr>
          <w:lang w:val="en-GB" w:eastAsia="en-GB"/>
        </w:rPr>
      </w:r>
      <w:r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34</w:t>
      </w:r>
      <w:r w:rsidRPr="00353542">
        <w:rPr>
          <w:lang w:val="en-GB" w:eastAsia="en-GB"/>
        </w:rPr>
        <w:fldChar w:fldCharType="end"/>
      </w:r>
      <w:r w:rsidRPr="0057545E">
        <w:rPr>
          <w:lang w:val="en-GB" w:eastAsia="en-GB"/>
        </w:rPr>
        <w:t xml:space="preserve">). These programs, in their current form, have been proven </w:t>
      </w:r>
      <w:proofErr w:type="gramStart"/>
      <w:r w:rsidRPr="0057545E">
        <w:rPr>
          <w:lang w:val="en-GB" w:eastAsia="en-GB"/>
        </w:rPr>
        <w:t>sufficient</w:t>
      </w:r>
      <w:proofErr w:type="gramEnd"/>
      <w:r w:rsidRPr="0057545E">
        <w:rPr>
          <w:lang w:val="en-GB" w:eastAsia="en-GB"/>
        </w:rPr>
        <w:t xml:space="preserve"> to address </w:t>
      </w:r>
      <w:r w:rsidR="00FF3A31" w:rsidRPr="00353542">
        <w:rPr>
          <w:lang w:val="en-GB" w:eastAsia="en-GB"/>
        </w:rPr>
        <w:t xml:space="preserve">a full </w:t>
      </w:r>
      <w:r w:rsidRPr="003B7D62">
        <w:rPr>
          <w:lang w:val="en-GB" w:eastAsia="en-GB"/>
        </w:rPr>
        <w:t>transition tow</w:t>
      </w:r>
      <w:r w:rsidRPr="004722F0">
        <w:rPr>
          <w:lang w:val="en-GB" w:eastAsia="en-GB"/>
        </w:rPr>
        <w:t>ards higher efficiency LED lighting and distribution transformers, and fundin</w:t>
      </w:r>
      <w:r w:rsidRPr="00666B27">
        <w:rPr>
          <w:lang w:val="en-GB" w:eastAsia="en-GB"/>
        </w:rPr>
        <w:t xml:space="preserve">g is often used to reduce the backlog of issues in the infrastructure. Despite the insufficient grant funding available from the central government, </w:t>
      </w:r>
      <w:proofErr w:type="gramStart"/>
      <w:r w:rsidRPr="00666B27">
        <w:rPr>
          <w:lang w:val="en-GB" w:eastAsia="en-GB"/>
        </w:rPr>
        <w:t xml:space="preserve">municipalities, in </w:t>
      </w:r>
      <w:r w:rsidRPr="00666B27">
        <w:rPr>
          <w:noProof/>
          <w:lang w:val="en-GB" w:eastAsia="en-GB"/>
        </w:rPr>
        <w:t>particular</w:t>
      </w:r>
      <w:proofErr w:type="gramEnd"/>
      <w:r w:rsidR="00FB2439" w:rsidRPr="00666B27">
        <w:rPr>
          <w:noProof/>
          <w:shd w:val="clear" w:color="auto" w:fill="FFFFFF"/>
          <w:lang w:val="en-GB" w:eastAsia="en-GB"/>
        </w:rPr>
        <w:t>.</w:t>
      </w:r>
      <w:r w:rsidRPr="00666B27">
        <w:rPr>
          <w:lang w:val="en-GB" w:eastAsia="en-GB"/>
        </w:rPr>
        <w:t xml:space="preserve"> those from rural areas, are accustomed to sourcing a substantial part of their revenue from grants, and it is an integral part of their expectations to receive grant funding for energy efficiency projects. At the same time, many municipalities still have the capacity to raise debt, </w:t>
      </w:r>
      <w:r w:rsidR="00FB2439" w:rsidRPr="00666B27">
        <w:rPr>
          <w:noProof/>
          <w:lang w:val="en-GB" w:eastAsia="en-GB"/>
        </w:rPr>
        <w:t>e</w:t>
      </w:r>
      <w:r w:rsidRPr="00666B27">
        <w:rPr>
          <w:noProof/>
          <w:lang w:val="en-GB" w:eastAsia="en-GB"/>
        </w:rPr>
        <w:t>specially</w:t>
      </w:r>
      <w:r w:rsidRPr="00666B27">
        <w:rPr>
          <w:lang w:val="en-GB" w:eastAsia="en-GB"/>
        </w:rPr>
        <w:t xml:space="preserve"> the metropolitan municipalities. This debt funding takes place as part of an integrated budget planning, i.e. in general, financing is obtained by the municipality </w:t>
      </w:r>
      <w:proofErr w:type="gramStart"/>
      <w:r w:rsidRPr="00666B27">
        <w:rPr>
          <w:lang w:val="en-GB" w:eastAsia="en-GB"/>
        </w:rPr>
        <w:t>as a whole for</w:t>
      </w:r>
      <w:proofErr w:type="gramEnd"/>
      <w:r w:rsidRPr="00666B27">
        <w:rPr>
          <w:lang w:val="en-GB" w:eastAsia="en-GB"/>
        </w:rPr>
        <w:t xml:space="preserve"> the balance of their funding needs, and not for a specific project</w:t>
      </w:r>
      <w:r w:rsidR="00B16241" w:rsidRPr="0057545E">
        <w:rPr>
          <w:rStyle w:val="FootnoteReference"/>
          <w:lang w:val="en-GB" w:eastAsia="en-GB"/>
        </w:rPr>
        <w:footnoteReference w:id="59"/>
      </w:r>
      <w:r w:rsidRPr="0057545E">
        <w:rPr>
          <w:lang w:val="en-GB" w:eastAsia="en-GB"/>
        </w:rPr>
        <w:t xml:space="preserve">. </w:t>
      </w:r>
    </w:p>
    <w:p w:rsidR="00B16241" w:rsidRPr="003B7D62" w:rsidRDefault="00B16241" w:rsidP="00DD2702">
      <w:pPr>
        <w:spacing w:after="0"/>
        <w:rPr>
          <w:lang w:val="en-GB" w:eastAsia="en-GB"/>
        </w:rPr>
      </w:pPr>
    </w:p>
    <w:p w:rsidR="00DD2702" w:rsidRPr="003B7D62" w:rsidRDefault="009756FE" w:rsidP="009756FE">
      <w:pPr>
        <w:spacing w:after="0"/>
        <w:rPr>
          <w:lang w:val="en-GB" w:eastAsia="en-GB"/>
        </w:rPr>
      </w:pPr>
      <w:r w:rsidRPr="004722F0">
        <w:rPr>
          <w:lang w:val="en-GB" w:eastAsia="en-GB"/>
        </w:rPr>
        <w:t xml:space="preserve">DBSA already performs lending activities to </w:t>
      </w:r>
      <w:r w:rsidRPr="00666B27">
        <w:rPr>
          <w:lang w:val="en-GB" w:eastAsia="en-GB"/>
        </w:rPr>
        <w:t xml:space="preserve">the about 107 municipalities and has several credit lines open from which the municipalities can draw funds. Integration of EEFI into existing credit analysis processes of DBSA would be a basic element to reduce transaction costs if the funding recipients are the municipalities. Another important measure to minimize transaction costs is the standardization of processes, including the project development templates, procurement documents, contractual arrangements between the various parties, etc. The utilization of such standardized processes is key to ensure a smooth deployment of funds, and it is therefore suggested to utilize available grant funding to develop such </w:t>
      </w:r>
      <w:r w:rsidRPr="00666B27">
        <w:rPr>
          <w:noProof/>
          <w:lang w:val="en-GB" w:eastAsia="en-GB"/>
        </w:rPr>
        <w:t>set</w:t>
      </w:r>
      <w:r w:rsidRPr="00666B27">
        <w:rPr>
          <w:lang w:val="en-GB" w:eastAsia="en-GB"/>
        </w:rPr>
        <w:t xml:space="preserve"> of processes and documents. If the municipality does not have access to debt funding, the utilization of an ESCO company may be valuable to reduce the transaction costs of a potential new facility </w:t>
      </w:r>
      <w:proofErr w:type="gramStart"/>
      <w:r w:rsidRPr="00666B27">
        <w:rPr>
          <w:lang w:val="en-GB" w:eastAsia="en-GB"/>
        </w:rPr>
        <w:t>and also</w:t>
      </w:r>
      <w:proofErr w:type="gramEnd"/>
      <w:r w:rsidRPr="00666B27">
        <w:rPr>
          <w:lang w:val="en-GB" w:eastAsia="en-GB"/>
        </w:rPr>
        <w:t xml:space="preserve"> to reduce the project preparation costs. This would be typically the case for smaller municipalities, which are associated </w:t>
      </w:r>
      <w:r w:rsidR="00FB2439" w:rsidRPr="00666B27">
        <w:rPr>
          <w:noProof/>
          <w:lang w:val="en-GB" w:eastAsia="en-GB"/>
        </w:rPr>
        <w:t>with</w:t>
      </w:r>
      <w:r w:rsidRPr="00666B27">
        <w:rPr>
          <w:lang w:val="en-GB" w:eastAsia="en-GB"/>
        </w:rPr>
        <w:t xml:space="preserve"> smaller projects and lower internal capacities to develop such projects. These municipalities would, however, require specific training on the procurement and accounting procedures for such </w:t>
      </w:r>
      <w:r w:rsidR="00FF3A31" w:rsidRPr="00666B27">
        <w:rPr>
          <w:lang w:val="en-GB" w:eastAsia="en-GB"/>
        </w:rPr>
        <w:t>ESCO-based p</w:t>
      </w:r>
      <w:r w:rsidRPr="00666B27">
        <w:rPr>
          <w:lang w:val="en-GB" w:eastAsia="en-GB"/>
        </w:rPr>
        <w:t>rograms</w:t>
      </w:r>
      <w:r w:rsidR="00FF3A31" w:rsidRPr="00666B27">
        <w:rPr>
          <w:lang w:val="en-GB" w:eastAsia="en-GB"/>
        </w:rPr>
        <w:t xml:space="preserve">. The capacity building can be provided by the Project and in </w:t>
      </w:r>
      <w:r w:rsidRPr="00666B27">
        <w:rPr>
          <w:lang w:val="en-GB" w:eastAsia="en-GB"/>
        </w:rPr>
        <w:t xml:space="preserve">collaboration with the V-NAMA program (see </w:t>
      </w:r>
      <w:r w:rsidRPr="00353542">
        <w:rPr>
          <w:lang w:val="en-GB" w:eastAsia="en-GB"/>
        </w:rPr>
        <w:fldChar w:fldCharType="begin"/>
      </w:r>
      <w:r w:rsidRPr="00666B27">
        <w:rPr>
          <w:lang w:val="en-GB" w:eastAsia="en-GB"/>
        </w:rPr>
        <w:instrText xml:space="preserve"> REF _Ref25541 \h </w:instrText>
      </w:r>
      <w:r w:rsidRPr="00353542">
        <w:rPr>
          <w:lang w:val="en-GB" w:eastAsia="en-GB"/>
        </w:rPr>
      </w:r>
      <w:r w:rsidRPr="00353542">
        <w:rPr>
          <w:lang w:val="en-GB" w:eastAsia="en-GB"/>
        </w:rPr>
        <w:fldChar w:fldCharType="separate"/>
      </w:r>
      <w:r w:rsidRPr="00353542">
        <w:rPr>
          <w:rFonts w:ascii="Arial" w:hAnsi="Arial" w:cs="Arial"/>
          <w:color w:val="2E74B5"/>
          <w:sz w:val="18"/>
          <w:lang w:val="en-GB"/>
        </w:rPr>
        <w:t xml:space="preserve">Box </w:t>
      </w:r>
      <w:r w:rsidRPr="003B7D62">
        <w:rPr>
          <w:rFonts w:ascii="Arial" w:hAnsi="Arial" w:cs="Arial"/>
          <w:noProof/>
          <w:color w:val="2E74B5"/>
          <w:sz w:val="18"/>
          <w:lang w:val="en-GB"/>
        </w:rPr>
        <w:t>35</w:t>
      </w:r>
      <w:r w:rsidRPr="00353542">
        <w:rPr>
          <w:lang w:val="en-GB" w:eastAsia="en-GB"/>
        </w:rPr>
        <w:fldChar w:fldCharType="end"/>
      </w:r>
      <w:r w:rsidRPr="0057545E">
        <w:rPr>
          <w:lang w:val="en-GB" w:eastAsia="en-GB"/>
        </w:rPr>
        <w:t>)</w:t>
      </w:r>
      <w:r w:rsidR="00FF3A31" w:rsidRPr="00353542">
        <w:rPr>
          <w:lang w:val="en-GB" w:eastAsia="en-GB"/>
        </w:rPr>
        <w:t>.</w:t>
      </w:r>
    </w:p>
    <w:bookmarkEnd w:id="304"/>
    <w:p w:rsidR="00F164BF" w:rsidRPr="004722F0" w:rsidRDefault="00F164BF" w:rsidP="00AE7880">
      <w:pPr>
        <w:spacing w:after="0"/>
        <w:rPr>
          <w:lang w:val="en-GB" w:eastAsia="en-GB"/>
        </w:rPr>
      </w:pPr>
    </w:p>
    <w:p w:rsidR="00F164BF" w:rsidRPr="00666B27" w:rsidRDefault="00DD1E86" w:rsidP="00AE7880">
      <w:pPr>
        <w:spacing w:after="0"/>
        <w:rPr>
          <w:u w:val="single"/>
          <w:lang w:val="en-GB" w:eastAsia="en-GB"/>
        </w:rPr>
      </w:pPr>
      <w:r w:rsidRPr="00666B27">
        <w:rPr>
          <w:u w:val="single"/>
          <w:lang w:val="en-GB" w:eastAsia="en-GB"/>
        </w:rPr>
        <w:t>Description of financing options – grants funding and debt funding</w:t>
      </w:r>
    </w:p>
    <w:p w:rsidR="00F164BF" w:rsidRPr="00666B27" w:rsidRDefault="00F164BF" w:rsidP="00AE7880">
      <w:pPr>
        <w:spacing w:after="0"/>
        <w:rPr>
          <w:u w:val="single"/>
          <w:lang w:val="en-GB" w:eastAsia="en-GB"/>
        </w:rPr>
      </w:pPr>
    </w:p>
    <w:p w:rsidR="00F164BF" w:rsidRPr="00666B27" w:rsidRDefault="00DD2702" w:rsidP="00AE7880">
      <w:pPr>
        <w:spacing w:after="0"/>
        <w:rPr>
          <w:lang w:val="en-GB" w:eastAsia="en-GB"/>
        </w:rPr>
      </w:pPr>
      <w:bookmarkStart w:id="305" w:name="_Hlk4679604"/>
      <w:r w:rsidRPr="00666B27">
        <w:rPr>
          <w:lang w:val="en-GB" w:eastAsia="en-GB"/>
        </w:rPr>
        <w:t xml:space="preserve">One element of EEFI is the provision of attractive funding costs. The simplest and most accepted option for end-users would be to provide </w:t>
      </w:r>
      <w:r w:rsidRPr="00666B27">
        <w:rPr>
          <w:b/>
          <w:lang w:val="en-GB" w:eastAsia="en-GB"/>
        </w:rPr>
        <w:t xml:space="preserve">grant funding </w:t>
      </w:r>
      <w:r w:rsidRPr="00666B27">
        <w:rPr>
          <w:lang w:val="en-GB" w:eastAsia="en-GB"/>
        </w:rPr>
        <w:t>for the project implementation. The simplicity of this option reduces transaction costs</w:t>
      </w:r>
      <w:r w:rsidR="00DB334A" w:rsidRPr="00666B27">
        <w:rPr>
          <w:lang w:val="en-GB" w:eastAsia="en-GB"/>
        </w:rPr>
        <w:t>;</w:t>
      </w:r>
      <w:r w:rsidRPr="00666B27">
        <w:rPr>
          <w:lang w:val="en-GB" w:eastAsia="en-GB"/>
        </w:rPr>
        <w:t xml:space="preserve"> however, it limits the scale of the program and its sustainability. On the other hand, the </w:t>
      </w:r>
      <w:r w:rsidRPr="00666B27">
        <w:rPr>
          <w:b/>
          <w:lang w:val="en-GB" w:eastAsia="en-GB"/>
        </w:rPr>
        <w:t>provision of debt funding</w:t>
      </w:r>
      <w:r w:rsidRPr="00666B27">
        <w:rPr>
          <w:lang w:val="en-GB" w:eastAsia="en-GB"/>
        </w:rPr>
        <w:t xml:space="preserve"> allows the </w:t>
      </w:r>
      <w:r w:rsidRPr="00666B27">
        <w:rPr>
          <w:noProof/>
          <w:lang w:val="en-GB" w:eastAsia="en-GB"/>
        </w:rPr>
        <w:t>re</w:t>
      </w:r>
      <w:r w:rsidR="00FB2439" w:rsidRPr="00666B27">
        <w:rPr>
          <w:noProof/>
          <w:lang w:val="en-GB" w:eastAsia="en-GB"/>
        </w:rPr>
        <w:t>-</w:t>
      </w:r>
      <w:r w:rsidRPr="00666B27">
        <w:rPr>
          <w:noProof/>
          <w:lang w:val="en-GB" w:eastAsia="en-GB"/>
        </w:rPr>
        <w:t>utilization</w:t>
      </w:r>
      <w:r w:rsidRPr="00666B27">
        <w:rPr>
          <w:lang w:val="en-GB" w:eastAsia="en-GB"/>
        </w:rPr>
        <w:t xml:space="preserve"> of the available funds, a priori enhancing the sustainability of funding. This improvement may be offset with the higher cost of operation of a debt facility, which requires a credit analysis, legal and other back-office costs</w:t>
      </w:r>
      <w:r w:rsidR="00417A6E" w:rsidRPr="00666B27">
        <w:rPr>
          <w:lang w:val="en-GB" w:eastAsia="en-GB"/>
        </w:rPr>
        <w:t>.</w:t>
      </w:r>
    </w:p>
    <w:p w:rsidR="00417A6E" w:rsidRPr="00666B27" w:rsidRDefault="00417A6E" w:rsidP="00AE7880">
      <w:pPr>
        <w:spacing w:after="0"/>
        <w:rPr>
          <w:lang w:val="en-GB" w:eastAsia="en-GB"/>
        </w:rPr>
      </w:pPr>
    </w:p>
    <w:p w:rsidR="00417A6E" w:rsidRPr="00353542" w:rsidRDefault="003F7BF3" w:rsidP="00AE7880">
      <w:pPr>
        <w:spacing w:after="0"/>
        <w:rPr>
          <w:lang w:val="en-GB" w:eastAsia="en-GB"/>
        </w:rPr>
      </w:pPr>
      <w:r w:rsidRPr="003F7BF3">
        <w:rPr>
          <w:lang w:val="en-GB" w:eastAsia="en-GB"/>
        </w:rPr>
        <w:t>An assessment of the setup and operational costs of the facility has been performed, allowing the cost-benefit comparison of this debt-funding structure (with zero % interest) to a grant funding scheme with a partial credit guarantee component for projects developed through ESCOs.</w:t>
      </w:r>
      <w:r w:rsidR="009756FE" w:rsidRPr="00666B27">
        <w:rPr>
          <w:lang w:val="en-GB" w:eastAsia="en-GB"/>
        </w:rPr>
        <w:t xml:space="preserve"> </w:t>
      </w:r>
      <w:r w:rsidR="00417A6E" w:rsidRPr="00666B27">
        <w:rPr>
          <w:lang w:val="en-GB" w:eastAsia="en-GB"/>
        </w:rPr>
        <w:t xml:space="preserve">The </w:t>
      </w:r>
      <w:r w:rsidR="009756FE" w:rsidRPr="00666B27">
        <w:rPr>
          <w:lang w:val="en-GB" w:eastAsia="en-GB"/>
        </w:rPr>
        <w:t xml:space="preserve">setup costs of the two options </w:t>
      </w:r>
      <w:r w:rsidR="009756FE" w:rsidRPr="00666B27">
        <w:rPr>
          <w:noProof/>
          <w:lang w:val="en-GB" w:eastAsia="en-GB"/>
        </w:rPr>
        <w:t>is</w:t>
      </w:r>
      <w:r w:rsidR="009756FE" w:rsidRPr="00666B27">
        <w:rPr>
          <w:lang w:val="en-GB" w:eastAsia="en-GB"/>
        </w:rPr>
        <w:t xml:space="preserve"> given in the tables of </w:t>
      </w:r>
      <w:r w:rsidR="00CB49B5" w:rsidRPr="00353542">
        <w:rPr>
          <w:lang w:val="en-GB" w:eastAsia="en-GB"/>
        </w:rPr>
        <w:fldChar w:fldCharType="begin"/>
      </w:r>
      <w:r w:rsidR="00CB49B5" w:rsidRPr="00666B27">
        <w:rPr>
          <w:lang w:val="en-GB" w:eastAsia="en-GB"/>
        </w:rPr>
        <w:instrText xml:space="preserve"> REF _Ref101747 \h </w:instrText>
      </w:r>
      <w:r w:rsidR="00CB49B5" w:rsidRPr="00353542">
        <w:rPr>
          <w:lang w:val="en-GB" w:eastAsia="en-GB"/>
        </w:rPr>
      </w:r>
      <w:r w:rsidR="00CB49B5"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37</w:t>
      </w:r>
      <w:r w:rsidR="00CB49B5" w:rsidRPr="00353542">
        <w:rPr>
          <w:lang w:val="en-GB" w:eastAsia="en-GB"/>
        </w:rPr>
        <w:fldChar w:fldCharType="end"/>
      </w:r>
      <w:r w:rsidR="00CB49B5" w:rsidRPr="0057545E">
        <w:rPr>
          <w:lang w:val="en-GB" w:eastAsia="en-GB"/>
        </w:rPr>
        <w:t>. As expected, the setup costs of the grant facility are lower than those of the debt fund, due to the additional legal and compliance requirements of a debt facility.</w:t>
      </w:r>
    </w:p>
    <w:p w:rsidR="00CB49B5" w:rsidRPr="003B7D62" w:rsidRDefault="00CB49B5" w:rsidP="00AE7880">
      <w:pPr>
        <w:spacing w:after="0"/>
        <w:rPr>
          <w:lang w:val="en-GB" w:eastAsia="en-GB"/>
        </w:rPr>
      </w:pPr>
    </w:p>
    <w:p w:rsidR="00CB49B5" w:rsidRPr="00353542" w:rsidRDefault="00CB49B5" w:rsidP="00AE7880">
      <w:pPr>
        <w:spacing w:after="0"/>
        <w:rPr>
          <w:lang w:val="en-GB" w:eastAsia="en-GB"/>
        </w:rPr>
      </w:pPr>
      <w:r w:rsidRPr="004722F0">
        <w:rPr>
          <w:lang w:val="en-GB" w:eastAsia="en-GB"/>
        </w:rPr>
        <w:t xml:space="preserve">For a debt financing fund </w:t>
      </w:r>
      <w:r w:rsidRPr="00666B27">
        <w:rPr>
          <w:lang w:val="en-GB" w:eastAsia="en-GB"/>
        </w:rPr>
        <w:t>of just USD 4 million initia</w:t>
      </w:r>
      <w:r w:rsidR="00FB2439" w:rsidRPr="00666B27">
        <w:rPr>
          <w:lang w:val="en-GB" w:eastAsia="en-GB"/>
        </w:rPr>
        <w:t>lly</w:t>
      </w:r>
      <w:r w:rsidRPr="00666B27">
        <w:rPr>
          <w:lang w:val="en-GB" w:eastAsia="en-GB"/>
        </w:rPr>
        <w:t>, with highly integrated lending and reporting processes, an expense ratio of 5% of the Net Asset Value has been estimated</w:t>
      </w:r>
      <w:r w:rsidR="00F861E7" w:rsidRPr="00666B27">
        <w:rPr>
          <w:lang w:val="en-GB" w:eastAsia="en-GB"/>
        </w:rPr>
        <w:t xml:space="preserve"> (general fund management cost of 5% of USD 4 million = USD 200,000)</w:t>
      </w:r>
      <w:r w:rsidRPr="00666B27">
        <w:rPr>
          <w:lang w:val="en-GB" w:eastAsia="en-GB"/>
        </w:rPr>
        <w:t xml:space="preserve">. </w:t>
      </w:r>
      <w:r w:rsidR="00F861E7" w:rsidRPr="00666B27">
        <w:rPr>
          <w:lang w:val="en-GB" w:eastAsia="en-GB"/>
        </w:rPr>
        <w:lastRenderedPageBreak/>
        <w:t xml:space="preserve">In addition, there are transaction-related expenses. </w:t>
      </w:r>
      <w:r w:rsidRPr="00666B27">
        <w:rPr>
          <w:lang w:val="en-GB" w:eastAsia="en-GB"/>
        </w:rPr>
        <w:t xml:space="preserve">The minimum annual reporting costs for the strictly necessary back-office loan management and reporting activities has been estimated in USD 87,500. In addition to the general management expenses, each loan disbursed by the fund requires an additional effort from the </w:t>
      </w:r>
      <w:r w:rsidRPr="0057545E">
        <w:rPr>
          <w:lang w:val="en-GB" w:eastAsia="en-GB"/>
        </w:rPr>
        <w:t xml:space="preserve">commercial, legal, credit assessment and </w:t>
      </w:r>
      <w:r w:rsidR="003A2690">
        <w:rPr>
          <w:noProof/>
        </w:rPr>
        <mc:AlternateContent>
          <mc:Choice Requires="wps">
            <w:drawing>
              <wp:anchor distT="107950" distB="107950" distL="144145" distR="144145" simplePos="0" relativeHeight="251700224" behindDoc="1" locked="0" layoutInCell="1" allowOverlap="1">
                <wp:simplePos x="0" y="0"/>
                <wp:positionH relativeFrom="margin">
                  <wp:align>center</wp:align>
                </wp:positionH>
                <wp:positionV relativeFrom="margin">
                  <wp:posOffset>840740</wp:posOffset>
                </wp:positionV>
                <wp:extent cx="6852285" cy="3251200"/>
                <wp:effectExtent l="0" t="0" r="5715" b="6350"/>
                <wp:wrapTopAndBottom/>
                <wp:docPr id="13"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2285" cy="3251200"/>
                        </a:xfrm>
                        <a:prstGeom prst="rect">
                          <a:avLst/>
                        </a:prstGeom>
                        <a:noFill/>
                        <a:ln w="19050">
                          <a:solidFill>
                            <a:sysClr val="window" lastClr="FFFFFF">
                              <a:lumMod val="75000"/>
                            </a:sysClr>
                          </a:solidFill>
                        </a:ln>
                      </wps:spPr>
                      <wps:txbx>
                        <w:txbxContent>
                          <w:p w:rsidR="00540FEA" w:rsidRDefault="00540FEA" w:rsidP="00FF3A31">
                            <w:pPr>
                              <w:pStyle w:val="Caption"/>
                              <w:rPr>
                                <w:rFonts w:ascii="Arial" w:hAnsi="Arial" w:cs="Arial"/>
                                <w:color w:val="2E74B5"/>
                                <w:sz w:val="18"/>
                              </w:rPr>
                            </w:pPr>
                            <w:bookmarkStart w:id="306" w:name="_Ref101747"/>
                            <w:bookmarkStart w:id="307" w:name="_Toc17986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37</w:t>
                            </w:r>
                            <w:r w:rsidRPr="00A21E05">
                              <w:rPr>
                                <w:rFonts w:ascii="Arial" w:hAnsi="Arial" w:cs="Arial"/>
                                <w:color w:val="2E74B5"/>
                                <w:sz w:val="18"/>
                              </w:rPr>
                              <w:fldChar w:fldCharType="end"/>
                            </w:r>
                            <w:bookmarkEnd w:id="306"/>
                            <w:r>
                              <w:rPr>
                                <w:rFonts w:ascii="Arial" w:hAnsi="Arial" w:cs="Arial"/>
                                <w:color w:val="2E74B5"/>
                                <w:sz w:val="18"/>
                              </w:rPr>
                              <w:tab/>
                              <w:t>Transaction cost of grant-based vs. debt financing by EEFI</w:t>
                            </w:r>
                            <w:bookmarkEnd w:id="307"/>
                          </w:p>
                          <w:p w:rsidR="00540FEA" w:rsidRPr="00CC313E" w:rsidRDefault="00540FEA" w:rsidP="00FF3A31"/>
                          <w:p w:rsidR="00540FEA" w:rsidRDefault="00540FEA" w:rsidP="00FF3A31">
                            <w:pPr>
                              <w:spacing w:after="0"/>
                              <w:rPr>
                                <w:noProof/>
                                <w:sz w:val="19"/>
                                <w:szCs w:val="19"/>
                                <w:lang w:val="en-GB"/>
                              </w:rPr>
                            </w:pPr>
                            <w:r w:rsidRPr="00676649">
                              <w:rPr>
                                <w:noProof/>
                              </w:rPr>
                              <w:drawing>
                                <wp:inline distT="0" distB="0" distL="0" distR="0">
                                  <wp:extent cx="3332480" cy="1290320"/>
                                  <wp:effectExtent l="0" t="0" r="0" b="0"/>
                                  <wp:docPr id="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3332480" cy="129032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068320" cy="1270000"/>
                                  <wp:effectExtent l="0" t="0" r="0" b="0"/>
                                  <wp:docPr id="3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3068320" cy="1270000"/>
                                          </a:xfrm>
                                          <a:prstGeom prst="rect">
                                            <a:avLst/>
                                          </a:prstGeom>
                                          <a:noFill/>
                                          <a:ln>
                                            <a:noFill/>
                                          </a:ln>
                                        </pic:spPr>
                                      </pic:pic>
                                    </a:graphicData>
                                  </a:graphic>
                                </wp:inline>
                              </w:drawing>
                            </w:r>
                          </w:p>
                          <w:p w:rsidR="00540FEA" w:rsidRDefault="00540FEA" w:rsidP="00FF3A31">
                            <w:pPr>
                              <w:spacing w:after="0"/>
                              <w:rPr>
                                <w:noProof/>
                                <w:sz w:val="19"/>
                                <w:szCs w:val="19"/>
                                <w:lang w:val="en-GB"/>
                              </w:rPr>
                            </w:pPr>
                          </w:p>
                          <w:p w:rsidR="00540FEA" w:rsidRPr="0097118F" w:rsidRDefault="00540FEA" w:rsidP="00FF3A31">
                            <w:pPr>
                              <w:spacing w:after="0"/>
                              <w:rPr>
                                <w:noProof/>
                                <w:sz w:val="19"/>
                                <w:szCs w:val="19"/>
                                <w:lang w:val="en-GB"/>
                              </w:rPr>
                            </w:pPr>
                            <w:r w:rsidRPr="00676649">
                              <w:rPr>
                                <w:noProof/>
                              </w:rPr>
                              <w:drawing>
                                <wp:inline distT="0" distB="0" distL="0" distR="0">
                                  <wp:extent cx="3261360" cy="1026160"/>
                                  <wp:effectExtent l="0" t="0" r="0" b="0"/>
                                  <wp:docPr id="32"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3261360" cy="102616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251200" cy="1158240"/>
                                  <wp:effectExtent l="0" t="0" r="0" b="0"/>
                                  <wp:docPr id="33"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3251200" cy="1158240"/>
                                          </a:xfrm>
                                          <a:prstGeom prst="rect">
                                            <a:avLst/>
                                          </a:prstGeom>
                                          <a:noFill/>
                                          <a:ln>
                                            <a:noFill/>
                                          </a:ln>
                                        </pic:spPr>
                                      </pic:pic>
                                    </a:graphicData>
                                  </a:graphic>
                                </wp:inline>
                              </w:drawing>
                            </w: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Pr="0097118F" w:rsidRDefault="00540FEA" w:rsidP="00FF3A31">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2" type="#_x0000_t202" style="position:absolute;left:0;text-align:left;margin-left:0;margin-top:66.2pt;width:539.55pt;height:256pt;z-index:-251616256;visibility:visible;mso-wrap-style:square;mso-width-percent:0;mso-height-percent:0;mso-wrap-distance-left:11.35pt;mso-wrap-distance-top:8.5pt;mso-wrap-distance-right:11.35pt;mso-wrap-distance-bottom:8.5pt;mso-position-horizontal:center;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" filled="f" strokecolor="#bfbfbf" strokeweight="1.5pt">
                <v:textbox>
                  <w:txbxContent>
                    <w:p w:rsidR="00540FEA" w:rsidRDefault="00540FEA" w:rsidP="00FF3A31">
                      <w:pPr>
                        <w:pStyle w:val="Caption"/>
                        <w:rPr>
                          <w:rFonts w:ascii="Arial" w:hAnsi="Arial" w:cs="Arial"/>
                          <w:color w:val="2E74B5"/>
                          <w:sz w:val="18"/>
                        </w:rPr>
                      </w:pPr>
                      <w:bookmarkStart w:id="358" w:name="_Ref101747"/>
                      <w:bookmarkStart w:id="359" w:name="_Toc17986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37</w:t>
                      </w:r>
                      <w:r w:rsidRPr="00A21E05">
                        <w:rPr>
                          <w:rFonts w:ascii="Arial" w:hAnsi="Arial" w:cs="Arial"/>
                          <w:color w:val="2E74B5"/>
                          <w:sz w:val="18"/>
                        </w:rPr>
                        <w:fldChar w:fldCharType="end"/>
                      </w:r>
                      <w:bookmarkEnd w:id="358"/>
                      <w:r>
                        <w:rPr>
                          <w:rFonts w:ascii="Arial" w:hAnsi="Arial" w:cs="Arial"/>
                          <w:color w:val="2E74B5"/>
                          <w:sz w:val="18"/>
                        </w:rPr>
                        <w:tab/>
                        <w:t>Transaction cost of grant-based vs. debt financing by EEFI</w:t>
                      </w:r>
                      <w:bookmarkEnd w:id="359"/>
                    </w:p>
                    <w:p w:rsidR="00540FEA" w:rsidRPr="00CC313E" w:rsidRDefault="00540FEA" w:rsidP="00FF3A31"/>
                    <w:p w:rsidR="00540FEA" w:rsidRDefault="00540FEA" w:rsidP="00FF3A31">
                      <w:pPr>
                        <w:spacing w:after="0"/>
                        <w:rPr>
                          <w:noProof/>
                          <w:sz w:val="19"/>
                          <w:szCs w:val="19"/>
                          <w:lang w:val="en-GB"/>
                        </w:rPr>
                      </w:pPr>
                      <w:r w:rsidRPr="00676649">
                        <w:rPr>
                          <w:noProof/>
                        </w:rPr>
                        <w:drawing>
                          <wp:inline distT="0" distB="0" distL="0" distR="0">
                            <wp:extent cx="3332480" cy="1290320"/>
                            <wp:effectExtent l="0" t="0" r="0" b="0"/>
                            <wp:docPr id="3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3332480" cy="129032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068320" cy="1270000"/>
                            <wp:effectExtent l="0" t="0" r="0" b="0"/>
                            <wp:docPr id="31"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3068320" cy="1270000"/>
                                    </a:xfrm>
                                    <a:prstGeom prst="rect">
                                      <a:avLst/>
                                    </a:prstGeom>
                                    <a:noFill/>
                                    <a:ln>
                                      <a:noFill/>
                                    </a:ln>
                                  </pic:spPr>
                                </pic:pic>
                              </a:graphicData>
                            </a:graphic>
                          </wp:inline>
                        </w:drawing>
                      </w:r>
                    </w:p>
                    <w:p w:rsidR="00540FEA" w:rsidRDefault="00540FEA" w:rsidP="00FF3A31">
                      <w:pPr>
                        <w:spacing w:after="0"/>
                        <w:rPr>
                          <w:noProof/>
                          <w:sz w:val="19"/>
                          <w:szCs w:val="19"/>
                          <w:lang w:val="en-GB"/>
                        </w:rPr>
                      </w:pPr>
                    </w:p>
                    <w:p w:rsidR="00540FEA" w:rsidRPr="0097118F" w:rsidRDefault="00540FEA" w:rsidP="00FF3A31">
                      <w:pPr>
                        <w:spacing w:after="0"/>
                        <w:rPr>
                          <w:noProof/>
                          <w:sz w:val="19"/>
                          <w:szCs w:val="19"/>
                          <w:lang w:val="en-GB"/>
                        </w:rPr>
                      </w:pPr>
                      <w:r w:rsidRPr="00676649">
                        <w:rPr>
                          <w:noProof/>
                        </w:rPr>
                        <w:drawing>
                          <wp:inline distT="0" distB="0" distL="0" distR="0">
                            <wp:extent cx="3261360" cy="1026160"/>
                            <wp:effectExtent l="0" t="0" r="0" b="0"/>
                            <wp:docPr id="32"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3261360" cy="102616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251200" cy="1158240"/>
                            <wp:effectExtent l="0" t="0" r="0" b="0"/>
                            <wp:docPr id="33" name="Picture 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251200" cy="1158240"/>
                                    </a:xfrm>
                                    <a:prstGeom prst="rect">
                                      <a:avLst/>
                                    </a:prstGeom>
                                    <a:noFill/>
                                    <a:ln>
                                      <a:noFill/>
                                    </a:ln>
                                  </pic:spPr>
                                </pic:pic>
                              </a:graphicData>
                            </a:graphic>
                          </wp:inline>
                        </w:drawing>
                      </w: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Default="00540FEA" w:rsidP="00FF3A31">
                      <w:pPr>
                        <w:rPr>
                          <w:i/>
                          <w:noProof/>
                          <w:sz w:val="18"/>
                        </w:rPr>
                      </w:pPr>
                    </w:p>
                    <w:p w:rsidR="00540FEA" w:rsidRPr="0097118F" w:rsidRDefault="00540FEA" w:rsidP="00FF3A31">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opAndBottom" anchorx="margin" anchory="margin"/>
              </v:shape>
            </w:pict>
          </mc:Fallback>
        </mc:AlternateContent>
      </w:r>
      <w:r w:rsidRPr="0057545E">
        <w:rPr>
          <w:lang w:val="en-GB" w:eastAsia="en-GB"/>
        </w:rPr>
        <w:t>administration teams, as indicated in the tables of the Box.</w:t>
      </w:r>
    </w:p>
    <w:bookmarkEnd w:id="305"/>
    <w:p w:rsidR="00CB49B5" w:rsidRPr="003B7D62" w:rsidRDefault="00CB49B5" w:rsidP="00902870">
      <w:pPr>
        <w:spacing w:after="0"/>
        <w:rPr>
          <w:lang w:val="en-GB" w:eastAsia="en-GB"/>
        </w:rPr>
      </w:pPr>
    </w:p>
    <w:p w:rsidR="00EF2770" w:rsidRPr="00F737AD" w:rsidRDefault="00EF2770" w:rsidP="00EF2770">
      <w:pPr>
        <w:spacing w:after="0"/>
        <w:rPr>
          <w:rFonts w:cs="Calibri"/>
          <w:lang w:val="en-GB" w:eastAsia="en-GB"/>
        </w:rPr>
      </w:pPr>
      <w:r w:rsidRPr="00D856AB">
        <w:rPr>
          <w:lang w:val="en-GB" w:eastAsia="en-GB"/>
        </w:rPr>
        <w:t xml:space="preserve">These basic conditions and parameters (management and transaction of </w:t>
      </w:r>
      <w:r w:rsidRPr="00D856AB">
        <w:rPr>
          <w:lang w:val="en-GB" w:eastAsia="en-GB"/>
        </w:rPr>
        <w:fldChar w:fldCharType="begin"/>
      </w:r>
      <w:r w:rsidRPr="00D856AB">
        <w:rPr>
          <w:lang w:val="en-GB" w:eastAsia="en-GB"/>
        </w:rPr>
        <w:instrText xml:space="preserve"> REF _Ref101747 \h </w:instrText>
      </w:r>
      <w:r w:rsidRPr="00D856AB">
        <w:rPr>
          <w:lang w:val="en-GB" w:eastAsia="en-GB"/>
        </w:rPr>
      </w:r>
      <w:r w:rsidRPr="00D856AB">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37</w:t>
      </w:r>
      <w:r w:rsidRPr="00D856AB">
        <w:rPr>
          <w:lang w:val="en-GB" w:eastAsia="en-GB"/>
        </w:rPr>
        <w:fldChar w:fldCharType="end"/>
      </w:r>
      <w:r w:rsidRPr="00D856AB">
        <w:rPr>
          <w:lang w:val="en-GB" w:eastAsia="en-GB"/>
        </w:rPr>
        <w:t>) together with other parameters (expected loan volume, loan impairment ratio, municipality financing cost</w:t>
      </w:r>
      <w:r w:rsidRPr="00D856AB">
        <w:rPr>
          <w:rStyle w:val="FootnoteReference"/>
          <w:lang w:val="en-GB" w:eastAsia="en-GB"/>
        </w:rPr>
        <w:footnoteReference w:id="60"/>
      </w:r>
      <w:r w:rsidRPr="00D856AB">
        <w:rPr>
          <w:lang w:val="en-GB" w:eastAsia="en-GB"/>
        </w:rPr>
        <w:t xml:space="preserve">) are given in </w:t>
      </w:r>
      <w:bookmarkStart w:id="308" w:name="_Hlk111424"/>
      <w:r w:rsidRPr="00D856AB">
        <w:rPr>
          <w:lang w:val="en-GB" w:eastAsia="en-GB"/>
        </w:rPr>
        <w:fldChar w:fldCharType="begin"/>
      </w:r>
      <w:r w:rsidRPr="00D856AB">
        <w:rPr>
          <w:lang w:val="en-GB" w:eastAsia="en-GB"/>
        </w:rPr>
        <w:instrText xml:space="preserve"> REF _Ref105397 \h </w:instrText>
      </w:r>
      <w:r w:rsidRPr="00D856AB">
        <w:rPr>
          <w:lang w:val="en-GB" w:eastAsia="en-GB"/>
        </w:rPr>
      </w:r>
      <w:r w:rsidRPr="00D856AB">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38</w:t>
      </w:r>
      <w:r w:rsidRPr="00D856AB">
        <w:rPr>
          <w:lang w:val="en-GB" w:eastAsia="en-GB"/>
        </w:rPr>
        <w:fldChar w:fldCharType="end"/>
      </w:r>
      <w:r w:rsidRPr="00D856AB">
        <w:rPr>
          <w:lang w:val="en-GB" w:eastAsia="en-GB"/>
        </w:rPr>
        <w:t xml:space="preserve"> </w:t>
      </w:r>
      <w:bookmarkEnd w:id="308"/>
      <w:r w:rsidRPr="00D856AB">
        <w:rPr>
          <w:lang w:val="en-GB" w:eastAsia="en-GB"/>
        </w:rPr>
        <w:t>for both modalities in which EEFI could operate</w:t>
      </w:r>
      <w:r>
        <w:rPr>
          <w:lang w:val="en-GB" w:eastAsia="en-GB"/>
        </w:rPr>
        <w:t xml:space="preserve"> (</w:t>
      </w:r>
      <w:r w:rsidRPr="00D856AB">
        <w:rPr>
          <w:lang w:val="en-GB" w:eastAsia="en-GB"/>
        </w:rPr>
        <w:t>i.e</w:t>
      </w:r>
      <w:r w:rsidRPr="00F737AD">
        <w:rPr>
          <w:rFonts w:cs="Calibri"/>
          <w:lang w:val="en-GB" w:eastAsia="en-GB"/>
        </w:rPr>
        <w:t>. providing grant funding or as a debt financing facility).</w:t>
      </w:r>
      <w:r w:rsidRPr="00F737AD">
        <w:rPr>
          <w:rFonts w:cs="Calibri"/>
          <w:lang w:val="en-GB"/>
        </w:rPr>
        <w:t xml:space="preserve"> Regarding the latter, t</w:t>
      </w:r>
      <w:r w:rsidRPr="00F737AD">
        <w:rPr>
          <w:rFonts w:cs="Calibri"/>
          <w:lang w:val="en-GB" w:eastAsia="en-GB"/>
        </w:rPr>
        <w:t>he loan amount for each project has been limited in the first year by the expected project size, while the amount of funding available is the main limiting factor following the depletion of the initial funds. For operational reasons an alternative approach may be utilized, consisting of the accumulation of loan repayments across several years to accumulate cash and be able to provide a larger loan size.</w:t>
      </w:r>
    </w:p>
    <w:p w:rsidR="00EF2770" w:rsidRDefault="00EF2770" w:rsidP="00EF2770">
      <w:pPr>
        <w:widowControl w:val="0"/>
        <w:autoSpaceDE w:val="0"/>
        <w:autoSpaceDN w:val="0"/>
        <w:spacing w:after="0"/>
        <w:ind w:right="550"/>
        <w:rPr>
          <w:rFonts w:eastAsia="Arial" w:cs="Calibri"/>
          <w:szCs w:val="20"/>
          <w:lang w:val="en-GB"/>
        </w:rPr>
      </w:pPr>
    </w:p>
    <w:p w:rsidR="00EF2770" w:rsidRPr="00D856AB" w:rsidRDefault="00EF2770" w:rsidP="00EF2770">
      <w:pPr>
        <w:spacing w:after="0"/>
        <w:rPr>
          <w:rFonts w:eastAsia="Arial" w:cs="Calibri"/>
          <w:szCs w:val="20"/>
          <w:lang w:val="en-GB"/>
        </w:rPr>
      </w:pPr>
      <w:r w:rsidRPr="00F737AD">
        <w:rPr>
          <w:rFonts w:cs="Calibri"/>
          <w:lang w:val="en-GB" w:eastAsia="en-GB"/>
        </w:rPr>
        <w:t xml:space="preserve">The loan impairment ratio has been determined using data from DBSA’s current municipal portfolio. </w:t>
      </w:r>
      <w:r w:rsidRPr="00D856AB">
        <w:rPr>
          <w:rFonts w:eastAsia="Arial" w:cs="Calibri"/>
          <w:szCs w:val="20"/>
          <w:lang w:val="en-GB"/>
        </w:rPr>
        <w:t xml:space="preserve">The key performance indicators of the fund have been summarized in the tables of </w:t>
      </w:r>
      <w:r w:rsidRPr="00D856AB">
        <w:rPr>
          <w:rFonts w:cs="Calibri"/>
          <w:szCs w:val="20"/>
          <w:lang w:val="en-GB" w:eastAsia="en-GB"/>
        </w:rPr>
        <w:fldChar w:fldCharType="begin"/>
      </w:r>
      <w:r w:rsidRPr="00D856AB">
        <w:rPr>
          <w:rFonts w:cs="Calibri"/>
          <w:szCs w:val="20"/>
          <w:lang w:val="en-GB" w:eastAsia="en-GB"/>
        </w:rPr>
        <w:instrText xml:space="preserve"> REF _Ref105397 \h  \* MERGEFORMAT </w:instrText>
      </w:r>
      <w:r w:rsidRPr="00D856AB">
        <w:rPr>
          <w:rFonts w:cs="Calibri"/>
          <w:szCs w:val="20"/>
          <w:lang w:val="en-GB" w:eastAsia="en-GB"/>
        </w:rPr>
      </w:r>
      <w:r w:rsidRPr="00D856AB">
        <w:rPr>
          <w:rFonts w:cs="Calibri"/>
          <w:szCs w:val="20"/>
          <w:lang w:val="en-GB" w:eastAsia="en-GB"/>
        </w:rPr>
        <w:fldChar w:fldCharType="separate"/>
      </w:r>
      <w:r w:rsidR="00BB1E93" w:rsidRPr="00BB1E93">
        <w:rPr>
          <w:rFonts w:cs="Calibri"/>
          <w:color w:val="2E74B5"/>
          <w:szCs w:val="20"/>
          <w:lang w:val="en-GB"/>
        </w:rPr>
        <w:t xml:space="preserve">Box </w:t>
      </w:r>
      <w:r w:rsidR="00BB1E93" w:rsidRPr="00BB1E93">
        <w:rPr>
          <w:rFonts w:cs="Calibri"/>
          <w:noProof/>
          <w:color w:val="2E74B5"/>
          <w:szCs w:val="20"/>
          <w:lang w:val="en-GB"/>
        </w:rPr>
        <w:t>38</w:t>
      </w:r>
      <w:r w:rsidRPr="00D856AB">
        <w:rPr>
          <w:rFonts w:cs="Calibri"/>
          <w:szCs w:val="20"/>
          <w:lang w:val="en-GB" w:eastAsia="en-GB"/>
        </w:rPr>
        <w:fldChar w:fldCharType="end"/>
      </w:r>
      <w:r w:rsidRPr="00D856AB">
        <w:rPr>
          <w:rFonts w:cs="Calibri"/>
          <w:szCs w:val="20"/>
          <w:lang w:val="en-GB" w:eastAsia="en-GB"/>
        </w:rPr>
        <w:t xml:space="preserve"> for the two envisaged function of EEFI as</w:t>
      </w:r>
      <w:r>
        <w:rPr>
          <w:rFonts w:cs="Calibri"/>
          <w:szCs w:val="20"/>
          <w:lang w:val="en-GB" w:eastAsia="en-GB"/>
        </w:rPr>
        <w:t xml:space="preserve"> a</w:t>
      </w:r>
      <w:r w:rsidRPr="00D856AB">
        <w:rPr>
          <w:rFonts w:cs="Calibri"/>
          <w:szCs w:val="20"/>
          <w:lang w:val="en-GB" w:eastAsia="en-GB"/>
        </w:rPr>
        <w:t xml:space="preserve"> </w:t>
      </w:r>
      <w:r w:rsidRPr="00FB2439">
        <w:rPr>
          <w:rFonts w:cs="Calibri"/>
          <w:noProof/>
          <w:szCs w:val="20"/>
          <w:lang w:val="en-GB" w:eastAsia="en-GB"/>
        </w:rPr>
        <w:t>grant</w:t>
      </w:r>
      <w:r w:rsidRPr="00D856AB">
        <w:rPr>
          <w:rFonts w:cs="Calibri"/>
          <w:szCs w:val="20"/>
          <w:lang w:val="en-GB" w:eastAsia="en-GB"/>
        </w:rPr>
        <w:t xml:space="preserve"> or as debt facility.  The grant fund utilizes larger co-financing requirement</w:t>
      </w:r>
      <w:r>
        <w:rPr>
          <w:rFonts w:cs="Calibri"/>
          <w:szCs w:val="20"/>
          <w:lang w:val="en-GB" w:eastAsia="en-GB"/>
        </w:rPr>
        <w:t>s</w:t>
      </w:r>
      <w:r w:rsidRPr="00D856AB">
        <w:rPr>
          <w:rFonts w:cs="Calibri"/>
          <w:szCs w:val="20"/>
          <w:lang w:val="en-GB" w:eastAsia="en-GB"/>
        </w:rPr>
        <w:t xml:space="preserve"> </w:t>
      </w:r>
      <w:r w:rsidRPr="00FB2439">
        <w:rPr>
          <w:rFonts w:cs="Calibri"/>
          <w:noProof/>
          <w:szCs w:val="20"/>
          <w:lang w:val="en-GB" w:eastAsia="en-GB"/>
        </w:rPr>
        <w:t>than</w:t>
      </w:r>
      <w:r w:rsidRPr="00D856AB">
        <w:rPr>
          <w:rFonts w:cs="Calibri"/>
          <w:szCs w:val="20"/>
          <w:lang w:val="en-GB" w:eastAsia="en-GB"/>
        </w:rPr>
        <w:t xml:space="preserve"> the debt facility. The limited operational costs of the grant funding mechanism and the higher co-funding requirement result in that this mechanism achieves lower co-financing results as the revolving fund.</w:t>
      </w:r>
      <w:r w:rsidRPr="00D856AB">
        <w:rPr>
          <w:rFonts w:cs="Calibri"/>
          <w:szCs w:val="20"/>
          <w:lang w:val="en-GB"/>
        </w:rPr>
        <w:t xml:space="preserve"> </w:t>
      </w:r>
      <w:r w:rsidRPr="00D856AB">
        <w:rPr>
          <w:rFonts w:cs="Calibri"/>
          <w:szCs w:val="20"/>
          <w:lang w:val="en-GB" w:eastAsia="en-GB"/>
        </w:rPr>
        <w:t>However, the biggest difference is in funding cost for the municipalities, which is 40% better than in the revolving fund thanks to the grant nature of this funding. Another advantage is the expected lower fund setup costs, which allow the utilization of further resources to project development support mechanisms</w:t>
      </w:r>
      <w:r w:rsidRPr="00D856AB">
        <w:rPr>
          <w:lang w:val="en-GB" w:eastAsia="en-GB"/>
        </w:rPr>
        <w:t>.</w:t>
      </w:r>
    </w:p>
    <w:p w:rsidR="00EF2770" w:rsidRPr="00D856AB" w:rsidRDefault="00EF2770" w:rsidP="00EF2770">
      <w:pPr>
        <w:widowControl w:val="0"/>
        <w:autoSpaceDE w:val="0"/>
        <w:autoSpaceDN w:val="0"/>
        <w:spacing w:after="0"/>
        <w:ind w:right="550"/>
        <w:rPr>
          <w:rFonts w:eastAsia="Arial" w:cs="Calibri"/>
          <w:szCs w:val="20"/>
          <w:lang w:val="en-GB"/>
        </w:rPr>
      </w:pPr>
    </w:p>
    <w:p w:rsidR="00FF3A31" w:rsidRPr="00666B27" w:rsidRDefault="003A2690" w:rsidP="00902870">
      <w:pPr>
        <w:widowControl w:val="0"/>
        <w:autoSpaceDE w:val="0"/>
        <w:autoSpaceDN w:val="0"/>
        <w:spacing w:after="0"/>
        <w:ind w:right="550"/>
        <w:rPr>
          <w:rFonts w:eastAsia="Arial" w:cs="Calibri"/>
          <w:szCs w:val="20"/>
          <w:lang w:val="en-GB"/>
        </w:rPr>
      </w:pPr>
      <w:r>
        <w:rPr>
          <w:noProof/>
        </w:rPr>
        <w:lastRenderedPageBreak/>
        <mc:AlternateContent>
          <mc:Choice Requires="wps">
            <w:drawing>
              <wp:anchor distT="107950" distB="107950" distL="144145" distR="144145" simplePos="0" relativeHeight="251697152" behindDoc="1" locked="0" layoutInCell="1" allowOverlap="1">
                <wp:simplePos x="0" y="0"/>
                <wp:positionH relativeFrom="margin">
                  <wp:align>center</wp:align>
                </wp:positionH>
                <wp:positionV relativeFrom="page">
                  <wp:posOffset>869315</wp:posOffset>
                </wp:positionV>
                <wp:extent cx="6551930" cy="6817360"/>
                <wp:effectExtent l="0" t="0" r="1270" b="2540"/>
                <wp:wrapTopAndBottom/>
                <wp:docPr id="242"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1930" cy="6817360"/>
                        </a:xfrm>
                        <a:prstGeom prst="rect">
                          <a:avLst/>
                        </a:prstGeom>
                        <a:noFill/>
                        <a:ln w="19050">
                          <a:solidFill>
                            <a:sysClr val="window" lastClr="FFFFFF">
                              <a:lumMod val="75000"/>
                            </a:sysClr>
                          </a:solidFill>
                        </a:ln>
                      </wps:spPr>
                      <wps:txbx>
                        <w:txbxContent>
                          <w:p w:rsidR="00540FEA" w:rsidRDefault="00540FEA" w:rsidP="00F0573B">
                            <w:pPr>
                              <w:pStyle w:val="Caption"/>
                              <w:rPr>
                                <w:rFonts w:ascii="Arial" w:hAnsi="Arial" w:cs="Arial"/>
                                <w:color w:val="2E74B5"/>
                                <w:sz w:val="18"/>
                              </w:rPr>
                            </w:pPr>
                            <w:bookmarkStart w:id="309" w:name="_Ref105397"/>
                            <w:bookmarkStart w:id="310" w:name="_Toc17986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38</w:t>
                            </w:r>
                            <w:r w:rsidRPr="00A21E05">
                              <w:rPr>
                                <w:rFonts w:ascii="Arial" w:hAnsi="Arial" w:cs="Arial"/>
                                <w:color w:val="2E74B5"/>
                                <w:sz w:val="18"/>
                              </w:rPr>
                              <w:fldChar w:fldCharType="end"/>
                            </w:r>
                            <w:bookmarkEnd w:id="309"/>
                            <w:r>
                              <w:rPr>
                                <w:rFonts w:ascii="Arial" w:hAnsi="Arial" w:cs="Arial"/>
                                <w:color w:val="2E74B5"/>
                                <w:sz w:val="18"/>
                              </w:rPr>
                              <w:tab/>
                              <w:t>Basic fund data and key indicators, EEFI</w:t>
                            </w:r>
                            <w:bookmarkEnd w:id="310"/>
                            <w:r>
                              <w:rPr>
                                <w:rFonts w:ascii="Arial" w:hAnsi="Arial" w:cs="Arial"/>
                                <w:color w:val="2E74B5"/>
                                <w:sz w:val="18"/>
                              </w:rPr>
                              <w:t xml:space="preserve"> </w:t>
                            </w:r>
                          </w:p>
                          <w:p w:rsidR="00540FEA" w:rsidRDefault="00540FEA" w:rsidP="00F0573B"/>
                          <w:p w:rsidR="00540FEA" w:rsidRPr="00175D47" w:rsidRDefault="00540FEA" w:rsidP="00F0573B">
                            <w:pPr>
                              <w:rPr>
                                <w:b/>
                              </w:rPr>
                            </w:pPr>
                            <w:bookmarkStart w:id="311" w:name="_Hlk104729"/>
                            <w:r w:rsidRPr="00175D47">
                              <w:rPr>
                                <w:b/>
                              </w:rPr>
                              <w:t>Option – debt financing facility</w:t>
                            </w:r>
                          </w:p>
                          <w:bookmarkEnd w:id="311"/>
                          <w:p w:rsidR="00540FEA" w:rsidRDefault="00540FEA" w:rsidP="00DD1E86">
                            <w:pPr>
                              <w:spacing w:before="60" w:after="0"/>
                              <w:rPr>
                                <w:noProof/>
                                <w:sz w:val="19"/>
                                <w:szCs w:val="19"/>
                                <w:lang w:val="en-GB"/>
                              </w:rPr>
                            </w:pPr>
                            <w:r>
                              <w:rPr>
                                <w:noProof/>
                                <w:sz w:val="19"/>
                                <w:szCs w:val="19"/>
                                <w:lang w:val="en-GB"/>
                              </w:rPr>
                              <w:t xml:space="preserve">  </w:t>
                            </w:r>
                            <w:r w:rsidRPr="00676649">
                              <w:rPr>
                                <w:noProof/>
                              </w:rPr>
                              <w:drawing>
                                <wp:inline distT="0" distB="0" distL="0" distR="0">
                                  <wp:extent cx="4866640" cy="934720"/>
                                  <wp:effectExtent l="0" t="0" r="0" b="0"/>
                                  <wp:docPr id="34"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4866640" cy="934720"/>
                                          </a:xfrm>
                                          <a:prstGeom prst="rect">
                                            <a:avLst/>
                                          </a:prstGeom>
                                          <a:noFill/>
                                          <a:ln>
                                            <a:noFill/>
                                          </a:ln>
                                        </pic:spPr>
                                      </pic:pic>
                                    </a:graphicData>
                                  </a:graphic>
                                </wp:inline>
                              </w:drawing>
                            </w:r>
                          </w:p>
                          <w:p w:rsidR="00540FEA" w:rsidRDefault="00540FEA" w:rsidP="00F0573B">
                            <w:pPr>
                              <w:spacing w:after="0"/>
                              <w:rPr>
                                <w:noProof/>
                                <w:sz w:val="19"/>
                                <w:szCs w:val="19"/>
                                <w:lang w:val="en-GB"/>
                              </w:rPr>
                            </w:pPr>
                          </w:p>
                          <w:p w:rsidR="00540FEA" w:rsidRDefault="00540FEA" w:rsidP="00F0573B">
                            <w:pPr>
                              <w:spacing w:after="0"/>
                              <w:rPr>
                                <w:noProof/>
                                <w:sz w:val="19"/>
                                <w:szCs w:val="19"/>
                                <w:lang w:val="en-GB"/>
                              </w:rPr>
                            </w:pPr>
                            <w:r w:rsidRPr="00676649">
                              <w:rPr>
                                <w:noProof/>
                              </w:rPr>
                              <w:drawing>
                                <wp:inline distT="0" distB="0" distL="0" distR="0">
                                  <wp:extent cx="2753360" cy="1280160"/>
                                  <wp:effectExtent l="0" t="0" r="0" b="0"/>
                                  <wp:docPr id="3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2753360" cy="128016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220720" cy="1625600"/>
                                  <wp:effectExtent l="0" t="0" r="0" b="0"/>
                                  <wp:docPr id="36"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3220720" cy="1625600"/>
                                          </a:xfrm>
                                          <a:prstGeom prst="rect">
                                            <a:avLst/>
                                          </a:prstGeom>
                                          <a:noFill/>
                                          <a:ln>
                                            <a:noFill/>
                                          </a:ln>
                                        </pic:spPr>
                                      </pic:pic>
                                    </a:graphicData>
                                  </a:graphic>
                                </wp:inline>
                              </w:drawing>
                            </w:r>
                          </w:p>
                          <w:p w:rsidR="00540FEA" w:rsidRDefault="00540FEA" w:rsidP="00F0573B">
                            <w:pPr>
                              <w:spacing w:after="0"/>
                              <w:rPr>
                                <w:noProof/>
                                <w:sz w:val="19"/>
                                <w:szCs w:val="19"/>
                                <w:lang w:val="en-GB"/>
                              </w:rPr>
                            </w:pPr>
                          </w:p>
                          <w:p w:rsidR="00540FEA" w:rsidRDefault="00540FEA" w:rsidP="00F0573B">
                            <w:pPr>
                              <w:spacing w:after="0"/>
                              <w:rPr>
                                <w:noProof/>
                                <w:sz w:val="19"/>
                                <w:szCs w:val="19"/>
                                <w:lang w:val="en-GB"/>
                              </w:rPr>
                            </w:pPr>
                          </w:p>
                          <w:p w:rsidR="00540FEA" w:rsidRDefault="00540FEA" w:rsidP="00DD1E86">
                            <w:pPr>
                              <w:rPr>
                                <w:b/>
                              </w:rPr>
                            </w:pPr>
                            <w:r>
                              <w:rPr>
                                <w:noProof/>
                                <w:sz w:val="19"/>
                                <w:szCs w:val="19"/>
                                <w:lang w:val="en-GB"/>
                              </w:rPr>
                              <w:t xml:space="preserve"> </w:t>
                            </w:r>
                            <w:r w:rsidRPr="00175D47">
                              <w:rPr>
                                <w:b/>
                              </w:rPr>
                              <w:t xml:space="preserve">Option – </w:t>
                            </w:r>
                            <w:r>
                              <w:rPr>
                                <w:b/>
                              </w:rPr>
                              <w:t>grant funding</w:t>
                            </w:r>
                          </w:p>
                          <w:p w:rsidR="00540FEA" w:rsidRDefault="00540FEA" w:rsidP="00DD1E86">
                            <w:pPr>
                              <w:rPr>
                                <w:b/>
                              </w:rPr>
                            </w:pPr>
                            <w:r w:rsidRPr="00676649">
                              <w:rPr>
                                <w:noProof/>
                              </w:rPr>
                              <w:drawing>
                                <wp:inline distT="0" distB="0" distL="0" distR="0">
                                  <wp:extent cx="4775200" cy="914400"/>
                                  <wp:effectExtent l="0" t="0" r="0" b="0"/>
                                  <wp:docPr id="3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4775200" cy="914400"/>
                                          </a:xfrm>
                                          <a:prstGeom prst="rect">
                                            <a:avLst/>
                                          </a:prstGeom>
                                          <a:noFill/>
                                          <a:ln>
                                            <a:noFill/>
                                          </a:ln>
                                        </pic:spPr>
                                      </pic:pic>
                                    </a:graphicData>
                                  </a:graphic>
                                </wp:inline>
                              </w:drawing>
                            </w:r>
                          </w:p>
                          <w:p w:rsidR="00540FEA" w:rsidRDefault="00540FEA" w:rsidP="00DD1E86">
                            <w:pPr>
                              <w:rPr>
                                <w:b/>
                              </w:rPr>
                            </w:pPr>
                          </w:p>
                          <w:p w:rsidR="00540FEA" w:rsidRDefault="00540FEA" w:rsidP="00DD1E86">
                            <w:pPr>
                              <w:rPr>
                                <w:b/>
                              </w:rPr>
                            </w:pPr>
                            <w:r w:rsidRPr="00676649">
                              <w:rPr>
                                <w:noProof/>
                              </w:rPr>
                              <w:drawing>
                                <wp:inline distT="0" distB="0" distL="0" distR="0">
                                  <wp:extent cx="2794000" cy="568960"/>
                                  <wp:effectExtent l="0" t="0" r="0" b="0"/>
                                  <wp:docPr id="3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2794000" cy="568960"/>
                                          </a:xfrm>
                                          <a:prstGeom prst="rect">
                                            <a:avLst/>
                                          </a:prstGeom>
                                          <a:noFill/>
                                          <a:ln>
                                            <a:noFill/>
                                          </a:ln>
                                        </pic:spPr>
                                      </pic:pic>
                                    </a:graphicData>
                                  </a:graphic>
                                </wp:inline>
                              </w:drawing>
                            </w:r>
                            <w:r>
                              <w:rPr>
                                <w:b/>
                              </w:rPr>
                              <w:t xml:space="preserve">  </w:t>
                            </w:r>
                            <w:r w:rsidRPr="00676649">
                              <w:rPr>
                                <w:noProof/>
                              </w:rPr>
                              <w:drawing>
                                <wp:inline distT="0" distB="0" distL="0" distR="0">
                                  <wp:extent cx="3362960" cy="1656080"/>
                                  <wp:effectExtent l="0" t="0" r="0" b="0"/>
                                  <wp:docPr id="3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362960" cy="1656080"/>
                                          </a:xfrm>
                                          <a:prstGeom prst="rect">
                                            <a:avLst/>
                                          </a:prstGeom>
                                          <a:noFill/>
                                          <a:ln>
                                            <a:noFill/>
                                          </a:ln>
                                        </pic:spPr>
                                      </pic:pic>
                                    </a:graphicData>
                                  </a:graphic>
                                </wp:inline>
                              </w:drawing>
                            </w:r>
                          </w:p>
                          <w:p w:rsidR="00540FEA" w:rsidRPr="00175D47" w:rsidRDefault="00540FEA" w:rsidP="00DD1E86">
                            <w:pPr>
                              <w:rPr>
                                <w:b/>
                              </w:rPr>
                            </w:pPr>
                          </w:p>
                          <w:p w:rsidR="00540FEA" w:rsidRPr="00DD1E86" w:rsidRDefault="00540FEA" w:rsidP="00F0573B">
                            <w:pPr>
                              <w:spacing w:after="0"/>
                              <w:rPr>
                                <w:noProof/>
                                <w:sz w:val="19"/>
                                <w:szCs w:val="19"/>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Pr="0097118F" w:rsidRDefault="00540FEA" w:rsidP="00F0573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3" type="#_x0000_t202" style="position:absolute;left:0;text-align:left;margin-left:0;margin-top:68.45pt;width:515.9pt;height:536.8pt;z-index:-251619328;visibility:visible;mso-wrap-style:square;mso-width-percent:0;mso-height-percent:0;mso-wrap-distance-left:11.35pt;mso-wrap-distance-top:8.5pt;mso-wrap-distance-right:11.35pt;mso-wrap-distance-bottom:8.5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" filled="f" strokecolor="#bfbfbf" strokeweight="1.5pt">
                <v:textbox>
                  <w:txbxContent>
                    <w:p w:rsidR="00540FEA" w:rsidRDefault="00540FEA" w:rsidP="00F0573B">
                      <w:pPr>
                        <w:pStyle w:val="Caption"/>
                        <w:rPr>
                          <w:rFonts w:ascii="Arial" w:hAnsi="Arial" w:cs="Arial"/>
                          <w:color w:val="2E74B5"/>
                          <w:sz w:val="18"/>
                        </w:rPr>
                      </w:pPr>
                      <w:bookmarkStart w:id="364" w:name="_Ref105397"/>
                      <w:bookmarkStart w:id="365" w:name="_Toc179862"/>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38</w:t>
                      </w:r>
                      <w:r w:rsidRPr="00A21E05">
                        <w:rPr>
                          <w:rFonts w:ascii="Arial" w:hAnsi="Arial" w:cs="Arial"/>
                          <w:color w:val="2E74B5"/>
                          <w:sz w:val="18"/>
                        </w:rPr>
                        <w:fldChar w:fldCharType="end"/>
                      </w:r>
                      <w:bookmarkEnd w:id="364"/>
                      <w:r>
                        <w:rPr>
                          <w:rFonts w:ascii="Arial" w:hAnsi="Arial" w:cs="Arial"/>
                          <w:color w:val="2E74B5"/>
                          <w:sz w:val="18"/>
                        </w:rPr>
                        <w:tab/>
                        <w:t>Basic fund data and key indicators, EEFI</w:t>
                      </w:r>
                      <w:bookmarkEnd w:id="365"/>
                      <w:r>
                        <w:rPr>
                          <w:rFonts w:ascii="Arial" w:hAnsi="Arial" w:cs="Arial"/>
                          <w:color w:val="2E74B5"/>
                          <w:sz w:val="18"/>
                        </w:rPr>
                        <w:t xml:space="preserve"> </w:t>
                      </w:r>
                    </w:p>
                    <w:p w:rsidR="00540FEA" w:rsidRDefault="00540FEA" w:rsidP="00F0573B"/>
                    <w:p w:rsidR="00540FEA" w:rsidRPr="00175D47" w:rsidRDefault="00540FEA" w:rsidP="00F0573B">
                      <w:pPr>
                        <w:rPr>
                          <w:b/>
                        </w:rPr>
                      </w:pPr>
                      <w:bookmarkStart w:id="366" w:name="_Hlk104729"/>
                      <w:r w:rsidRPr="00175D47">
                        <w:rPr>
                          <w:b/>
                        </w:rPr>
                        <w:t>Option – debt financing facility</w:t>
                      </w:r>
                    </w:p>
                    <w:bookmarkEnd w:id="366"/>
                    <w:p w:rsidR="00540FEA" w:rsidRDefault="00540FEA" w:rsidP="00DD1E86">
                      <w:pPr>
                        <w:spacing w:before="60" w:after="0"/>
                        <w:rPr>
                          <w:noProof/>
                          <w:sz w:val="19"/>
                          <w:szCs w:val="19"/>
                          <w:lang w:val="en-GB"/>
                        </w:rPr>
                      </w:pPr>
                      <w:r>
                        <w:rPr>
                          <w:noProof/>
                          <w:sz w:val="19"/>
                          <w:szCs w:val="19"/>
                          <w:lang w:val="en-GB"/>
                        </w:rPr>
                        <w:t xml:space="preserve">  </w:t>
                      </w:r>
                      <w:r w:rsidRPr="00676649">
                        <w:rPr>
                          <w:noProof/>
                        </w:rPr>
                        <w:drawing>
                          <wp:inline distT="0" distB="0" distL="0" distR="0">
                            <wp:extent cx="4866640" cy="934720"/>
                            <wp:effectExtent l="0" t="0" r="0" b="0"/>
                            <wp:docPr id="34"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4866640" cy="934720"/>
                                    </a:xfrm>
                                    <a:prstGeom prst="rect">
                                      <a:avLst/>
                                    </a:prstGeom>
                                    <a:noFill/>
                                    <a:ln>
                                      <a:noFill/>
                                    </a:ln>
                                  </pic:spPr>
                                </pic:pic>
                              </a:graphicData>
                            </a:graphic>
                          </wp:inline>
                        </w:drawing>
                      </w:r>
                    </w:p>
                    <w:p w:rsidR="00540FEA" w:rsidRDefault="00540FEA" w:rsidP="00F0573B">
                      <w:pPr>
                        <w:spacing w:after="0"/>
                        <w:rPr>
                          <w:noProof/>
                          <w:sz w:val="19"/>
                          <w:szCs w:val="19"/>
                          <w:lang w:val="en-GB"/>
                        </w:rPr>
                      </w:pPr>
                    </w:p>
                    <w:p w:rsidR="00540FEA" w:rsidRDefault="00540FEA" w:rsidP="00F0573B">
                      <w:pPr>
                        <w:spacing w:after="0"/>
                        <w:rPr>
                          <w:noProof/>
                          <w:sz w:val="19"/>
                          <w:szCs w:val="19"/>
                          <w:lang w:val="en-GB"/>
                        </w:rPr>
                      </w:pPr>
                      <w:r w:rsidRPr="00676649">
                        <w:rPr>
                          <w:noProof/>
                        </w:rPr>
                        <w:drawing>
                          <wp:inline distT="0" distB="0" distL="0" distR="0">
                            <wp:extent cx="2753360" cy="1280160"/>
                            <wp:effectExtent l="0" t="0" r="0" b="0"/>
                            <wp:docPr id="3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753360" cy="1280160"/>
                                    </a:xfrm>
                                    <a:prstGeom prst="rect">
                                      <a:avLst/>
                                    </a:prstGeom>
                                    <a:noFill/>
                                    <a:ln>
                                      <a:noFill/>
                                    </a:ln>
                                  </pic:spPr>
                                </pic:pic>
                              </a:graphicData>
                            </a:graphic>
                          </wp:inline>
                        </w:drawing>
                      </w:r>
                      <w:r>
                        <w:rPr>
                          <w:noProof/>
                          <w:sz w:val="19"/>
                          <w:szCs w:val="19"/>
                          <w:lang w:val="en-GB"/>
                        </w:rPr>
                        <w:t xml:space="preserve">    </w:t>
                      </w:r>
                      <w:r w:rsidRPr="00676649">
                        <w:rPr>
                          <w:noProof/>
                        </w:rPr>
                        <w:drawing>
                          <wp:inline distT="0" distB="0" distL="0" distR="0">
                            <wp:extent cx="3220720" cy="1625600"/>
                            <wp:effectExtent l="0" t="0" r="0" b="0"/>
                            <wp:docPr id="36"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3220720" cy="1625600"/>
                                    </a:xfrm>
                                    <a:prstGeom prst="rect">
                                      <a:avLst/>
                                    </a:prstGeom>
                                    <a:noFill/>
                                    <a:ln>
                                      <a:noFill/>
                                    </a:ln>
                                  </pic:spPr>
                                </pic:pic>
                              </a:graphicData>
                            </a:graphic>
                          </wp:inline>
                        </w:drawing>
                      </w:r>
                    </w:p>
                    <w:p w:rsidR="00540FEA" w:rsidRDefault="00540FEA" w:rsidP="00F0573B">
                      <w:pPr>
                        <w:spacing w:after="0"/>
                        <w:rPr>
                          <w:noProof/>
                          <w:sz w:val="19"/>
                          <w:szCs w:val="19"/>
                          <w:lang w:val="en-GB"/>
                        </w:rPr>
                      </w:pPr>
                    </w:p>
                    <w:p w:rsidR="00540FEA" w:rsidRDefault="00540FEA" w:rsidP="00F0573B">
                      <w:pPr>
                        <w:spacing w:after="0"/>
                        <w:rPr>
                          <w:noProof/>
                          <w:sz w:val="19"/>
                          <w:szCs w:val="19"/>
                          <w:lang w:val="en-GB"/>
                        </w:rPr>
                      </w:pPr>
                    </w:p>
                    <w:p w:rsidR="00540FEA" w:rsidRDefault="00540FEA" w:rsidP="00DD1E86">
                      <w:pPr>
                        <w:rPr>
                          <w:b/>
                        </w:rPr>
                      </w:pPr>
                      <w:r>
                        <w:rPr>
                          <w:noProof/>
                          <w:sz w:val="19"/>
                          <w:szCs w:val="19"/>
                          <w:lang w:val="en-GB"/>
                        </w:rPr>
                        <w:t xml:space="preserve"> </w:t>
                      </w:r>
                      <w:r w:rsidRPr="00175D47">
                        <w:rPr>
                          <w:b/>
                        </w:rPr>
                        <w:t xml:space="preserve">Option – </w:t>
                      </w:r>
                      <w:r>
                        <w:rPr>
                          <w:b/>
                        </w:rPr>
                        <w:t>grant funding</w:t>
                      </w:r>
                    </w:p>
                    <w:p w:rsidR="00540FEA" w:rsidRDefault="00540FEA" w:rsidP="00DD1E86">
                      <w:pPr>
                        <w:rPr>
                          <w:b/>
                        </w:rPr>
                      </w:pPr>
                      <w:r w:rsidRPr="00676649">
                        <w:rPr>
                          <w:noProof/>
                        </w:rPr>
                        <w:drawing>
                          <wp:inline distT="0" distB="0" distL="0" distR="0">
                            <wp:extent cx="4775200" cy="914400"/>
                            <wp:effectExtent l="0" t="0" r="0" b="0"/>
                            <wp:docPr id="3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4775200" cy="914400"/>
                                    </a:xfrm>
                                    <a:prstGeom prst="rect">
                                      <a:avLst/>
                                    </a:prstGeom>
                                    <a:noFill/>
                                    <a:ln>
                                      <a:noFill/>
                                    </a:ln>
                                  </pic:spPr>
                                </pic:pic>
                              </a:graphicData>
                            </a:graphic>
                          </wp:inline>
                        </w:drawing>
                      </w:r>
                    </w:p>
                    <w:p w:rsidR="00540FEA" w:rsidRDefault="00540FEA" w:rsidP="00DD1E86">
                      <w:pPr>
                        <w:rPr>
                          <w:b/>
                        </w:rPr>
                      </w:pPr>
                    </w:p>
                    <w:p w:rsidR="00540FEA" w:rsidRDefault="00540FEA" w:rsidP="00DD1E86">
                      <w:pPr>
                        <w:rPr>
                          <w:b/>
                        </w:rPr>
                      </w:pPr>
                      <w:r w:rsidRPr="00676649">
                        <w:rPr>
                          <w:noProof/>
                        </w:rPr>
                        <w:drawing>
                          <wp:inline distT="0" distB="0" distL="0" distR="0">
                            <wp:extent cx="2794000" cy="568960"/>
                            <wp:effectExtent l="0" t="0" r="0" b="0"/>
                            <wp:docPr id="38"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2794000" cy="568960"/>
                                    </a:xfrm>
                                    <a:prstGeom prst="rect">
                                      <a:avLst/>
                                    </a:prstGeom>
                                    <a:noFill/>
                                    <a:ln>
                                      <a:noFill/>
                                    </a:ln>
                                  </pic:spPr>
                                </pic:pic>
                              </a:graphicData>
                            </a:graphic>
                          </wp:inline>
                        </w:drawing>
                      </w:r>
                      <w:r>
                        <w:rPr>
                          <w:b/>
                        </w:rPr>
                        <w:t xml:space="preserve">  </w:t>
                      </w:r>
                      <w:r w:rsidRPr="00676649">
                        <w:rPr>
                          <w:noProof/>
                        </w:rPr>
                        <w:drawing>
                          <wp:inline distT="0" distB="0" distL="0" distR="0">
                            <wp:extent cx="3362960" cy="1656080"/>
                            <wp:effectExtent l="0" t="0" r="0" b="0"/>
                            <wp:docPr id="39"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3362960" cy="1656080"/>
                                    </a:xfrm>
                                    <a:prstGeom prst="rect">
                                      <a:avLst/>
                                    </a:prstGeom>
                                    <a:noFill/>
                                    <a:ln>
                                      <a:noFill/>
                                    </a:ln>
                                  </pic:spPr>
                                </pic:pic>
                              </a:graphicData>
                            </a:graphic>
                          </wp:inline>
                        </w:drawing>
                      </w:r>
                    </w:p>
                    <w:p w:rsidR="00540FEA" w:rsidRPr="00175D47" w:rsidRDefault="00540FEA" w:rsidP="00DD1E86">
                      <w:pPr>
                        <w:rPr>
                          <w:b/>
                        </w:rPr>
                      </w:pPr>
                    </w:p>
                    <w:p w:rsidR="00540FEA" w:rsidRPr="00DD1E86" w:rsidRDefault="00540FEA" w:rsidP="00F0573B">
                      <w:pPr>
                        <w:spacing w:after="0"/>
                        <w:rPr>
                          <w:noProof/>
                          <w:sz w:val="19"/>
                          <w:szCs w:val="19"/>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Default="00540FEA" w:rsidP="00F0573B">
                      <w:pPr>
                        <w:rPr>
                          <w:i/>
                          <w:noProof/>
                          <w:sz w:val="18"/>
                        </w:rPr>
                      </w:pPr>
                    </w:p>
                    <w:p w:rsidR="00540FEA" w:rsidRPr="0097118F" w:rsidRDefault="00540FEA" w:rsidP="00F0573B">
                      <w:pPr>
                        <w:rPr>
                          <w:noProof/>
                          <w:sz w:val="18"/>
                        </w:rPr>
                      </w:pPr>
                      <w:r w:rsidRPr="0097118F">
                        <w:rPr>
                          <w:i/>
                          <w:noProof/>
                          <w:sz w:val="18"/>
                        </w:rPr>
                        <w:t>*</w:t>
                      </w:r>
                      <w:r>
                        <w:rPr>
                          <w:i/>
                          <w:noProof/>
                          <w:sz w:val="18"/>
                        </w:rPr>
                        <w:t xml:space="preserve"> </w:t>
                      </w:r>
                      <w:r w:rsidRPr="0097118F">
                        <w:rPr>
                          <w:rFonts w:ascii="Arial" w:hAnsi="Arial" w:cs="Arial"/>
                          <w:noProof/>
                          <w:sz w:val="16"/>
                          <w:szCs w:val="16"/>
                        </w:rPr>
                        <w:t>Vertically integrated Facility funded by the German Federal Ministry for the Environment and Nature Conservation and the Department for Business, Energy and Industrial Strategy (BEIS) of the United Kingdom (UK) in 2013 with GIZ provided technical assistance. Other donors have contributed to its various Calls for Proposals (Denmark, European Union).</w:t>
                      </w:r>
                    </w:p>
                  </w:txbxContent>
                </v:textbox>
                <w10:wrap type="topAndBottom" anchorx="margin" anchory="page"/>
              </v:shape>
            </w:pict>
          </mc:Fallback>
        </mc:AlternateContent>
      </w:r>
    </w:p>
    <w:p w:rsidR="000A4619" w:rsidRPr="0057545E" w:rsidRDefault="000A4619" w:rsidP="000A4619">
      <w:pPr>
        <w:spacing w:after="0"/>
        <w:rPr>
          <w:lang w:val="en-GB" w:eastAsia="en-GB"/>
        </w:rPr>
      </w:pPr>
    </w:p>
    <w:p w:rsidR="00CB49B5" w:rsidRPr="0057545E" w:rsidRDefault="003A2690" w:rsidP="00AE7880">
      <w:pPr>
        <w:spacing w:after="0"/>
        <w:rPr>
          <w:lang w:val="en-GB" w:eastAsia="en-GB"/>
        </w:rPr>
      </w:pPr>
      <w:r>
        <w:rPr>
          <w:noProof/>
        </w:rPr>
        <w:lastRenderedPageBreak/>
        <w:drawing>
          <wp:anchor distT="0" distB="0" distL="114300" distR="114300" simplePos="0" relativeHeight="251702272" behindDoc="0" locked="0" layoutInCell="1" allowOverlap="1">
            <wp:simplePos x="0" y="0"/>
            <wp:positionH relativeFrom="page">
              <wp:posOffset>4372610</wp:posOffset>
            </wp:positionH>
            <wp:positionV relativeFrom="page">
              <wp:posOffset>2934970</wp:posOffset>
            </wp:positionV>
            <wp:extent cx="1677035" cy="3934460"/>
            <wp:effectExtent l="0" t="0" r="0" b="0"/>
            <wp:wrapTopAndBottom/>
            <wp:docPr id="23"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pic:cNvPicPr>
                      <a:picLocks noChangeAspect="1" noChangeArrowheads="1"/>
                    </pic:cNvPicPr>
                  </pic:nvPicPr>
                  <pic:blipFill>
                    <a:blip r:embed="rId141">
                      <a:extLst>
                        <a:ext uri="{28A0092B-C50C-407E-A947-70E740481C1C}">
                          <a14:useLocalDpi xmlns:a14="http://schemas.microsoft.com/office/drawing/2010/main" val="0"/>
                        </a:ext>
                      </a:extLst>
                    </a:blip>
                    <a:srcRect/>
                    <a:stretch>
                      <a:fillRect/>
                    </a:stretch>
                  </pic:blipFill>
                  <pic:spPr bwMode="auto">
                    <a:xfrm>
                      <a:off x="0" y="0"/>
                      <a:ext cx="1677035" cy="39344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9200" behindDoc="0" locked="0" layoutInCell="1" allowOverlap="1">
            <wp:simplePos x="0" y="0"/>
            <wp:positionH relativeFrom="margin">
              <wp:posOffset>-2235200</wp:posOffset>
            </wp:positionH>
            <wp:positionV relativeFrom="page">
              <wp:posOffset>3304540</wp:posOffset>
            </wp:positionV>
            <wp:extent cx="7665720" cy="3385820"/>
            <wp:effectExtent l="6350" t="0" r="0" b="0"/>
            <wp:wrapTopAndBottom/>
            <wp:docPr id="11"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rot="-5400000">
                      <a:off x="0" y="0"/>
                      <a:ext cx="7665720" cy="338582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107950" distB="107950" distL="144145" distR="144145" simplePos="0" relativeHeight="251698176" behindDoc="1" locked="0" layoutInCell="1" allowOverlap="1">
                <wp:simplePos x="0" y="0"/>
                <wp:positionH relativeFrom="margin">
                  <wp:align>right</wp:align>
                </wp:positionH>
                <wp:positionV relativeFrom="page">
                  <wp:posOffset>805815</wp:posOffset>
                </wp:positionV>
                <wp:extent cx="6551930" cy="8171180"/>
                <wp:effectExtent l="0" t="0" r="1270" b="1270"/>
                <wp:wrapTopAndBottom/>
                <wp:docPr id="264" name="Text Box 1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51930" cy="8171180"/>
                        </a:xfrm>
                        <a:prstGeom prst="rect">
                          <a:avLst/>
                        </a:prstGeom>
                        <a:noFill/>
                        <a:ln w="19050">
                          <a:solidFill>
                            <a:sysClr val="window" lastClr="FFFFFF">
                              <a:lumMod val="75000"/>
                            </a:sysClr>
                          </a:solidFill>
                        </a:ln>
                      </wps:spPr>
                      <wps:txbx>
                        <w:txbxContent>
                          <w:p w:rsidR="00540FEA" w:rsidRDefault="00540FEA" w:rsidP="00FA6871">
                            <w:pPr>
                              <w:pStyle w:val="Caption"/>
                              <w:rPr>
                                <w:rFonts w:ascii="Arial" w:hAnsi="Arial" w:cs="Arial"/>
                                <w:color w:val="2E74B5"/>
                                <w:sz w:val="18"/>
                              </w:rPr>
                            </w:pPr>
                            <w:bookmarkStart w:id="312" w:name="_Ref117752"/>
                            <w:bookmarkStart w:id="313" w:name="_Toc17986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39</w:t>
                            </w:r>
                            <w:r w:rsidRPr="00A21E05">
                              <w:rPr>
                                <w:rFonts w:ascii="Arial" w:hAnsi="Arial" w:cs="Arial"/>
                                <w:color w:val="2E74B5"/>
                                <w:sz w:val="18"/>
                              </w:rPr>
                              <w:fldChar w:fldCharType="end"/>
                            </w:r>
                            <w:bookmarkEnd w:id="312"/>
                            <w:r>
                              <w:rPr>
                                <w:rFonts w:ascii="Arial" w:hAnsi="Arial" w:cs="Arial"/>
                                <w:color w:val="2E74B5"/>
                                <w:sz w:val="18"/>
                              </w:rPr>
                              <w:tab/>
                              <w:t>Cash flow modelling</w:t>
                            </w:r>
                            <w:bookmarkEnd w:id="313"/>
                            <w:r>
                              <w:rPr>
                                <w:rFonts w:ascii="Arial" w:hAnsi="Arial" w:cs="Arial"/>
                                <w:color w:val="2E74B5"/>
                                <w:sz w:val="18"/>
                              </w:rPr>
                              <w:t xml:space="preserve"> </w:t>
                            </w:r>
                          </w:p>
                          <w:p w:rsidR="00540FEA" w:rsidRDefault="00540FEA" w:rsidP="00FA6871"/>
                          <w:p w:rsidR="00540FEA" w:rsidRDefault="00540FEA" w:rsidP="00FA6871">
                            <w:pPr>
                              <w:ind w:left="5670"/>
                            </w:pPr>
                            <w:r w:rsidRPr="00D151B3">
                              <w:t xml:space="preserve">A detailed cash-flow simulation has been prepared to assess the performance of </w:t>
                            </w:r>
                            <w:r>
                              <w:t>EEFI</w:t>
                            </w:r>
                            <w:r w:rsidRPr="00D151B3">
                              <w:t xml:space="preserve"> over the lifetime of the project. The main outcome is the substantial portion of operating costs that are derived from operating a debt facility, which result in </w:t>
                            </w:r>
                            <w:r>
                              <w:t>a low</w:t>
                            </w:r>
                            <w:r w:rsidRPr="00D151B3">
                              <w:t xml:space="preserve"> recycling rate of the original funding.</w:t>
                            </w:r>
                          </w:p>
                          <w:p w:rsidR="00540FEA" w:rsidRDefault="00540FEA" w:rsidP="00FA6871">
                            <w:pPr>
                              <w:ind w:left="5670"/>
                            </w:pPr>
                          </w:p>
                          <w:p w:rsidR="00540FEA" w:rsidRDefault="00540FEA" w:rsidP="00FA6871">
                            <w:pPr>
                              <w:ind w:left="5670"/>
                            </w:pPr>
                            <w:r>
                              <w:t>Left: debt revolving fund</w:t>
                            </w:r>
                          </w:p>
                          <w:p w:rsidR="00540FEA" w:rsidRDefault="00540FEA" w:rsidP="00FA6871">
                            <w:pPr>
                              <w:ind w:left="5670"/>
                            </w:pPr>
                            <w:r>
                              <w:t>Below: grant funding &amp; credit guarantee</w:t>
                            </w:r>
                          </w:p>
                          <w:p w:rsidR="00540FEA" w:rsidRDefault="00540FEA" w:rsidP="00FA6871">
                            <w:pPr>
                              <w:ind w:left="5670"/>
                            </w:pPr>
                          </w:p>
                          <w:p w:rsidR="00540FEA" w:rsidRDefault="00540FEA" w:rsidP="00FA6871">
                            <w:pPr>
                              <w:ind w:left="5670"/>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4" type="#_x0000_t202" style="position:absolute;left:0;text-align:left;margin-left:464.7pt;margin-top:63.45pt;width:515.9pt;height:643.4pt;z-index:-251618304;visibility:visible;mso-wrap-style:square;mso-width-percent:0;mso-height-percent:0;mso-wrap-distance-left:11.35pt;mso-wrap-distance-top:8.5pt;mso-wrap-distance-right:11.35pt;mso-wrap-distance-bottom:8.5pt;mso-position-horizontal:righ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" filled="f" strokecolor="#bfbfbf" strokeweight="1.5pt">
                <v:textbox>
                  <w:txbxContent>
                    <w:p w:rsidR="00540FEA" w:rsidRDefault="00540FEA" w:rsidP="00FA6871">
                      <w:pPr>
                        <w:pStyle w:val="Caption"/>
                        <w:rPr>
                          <w:rFonts w:ascii="Arial" w:hAnsi="Arial" w:cs="Arial"/>
                          <w:color w:val="2E74B5"/>
                          <w:sz w:val="18"/>
                        </w:rPr>
                      </w:pPr>
                      <w:bookmarkStart w:id="369" w:name="_Ref117752"/>
                      <w:bookmarkStart w:id="370" w:name="_Toc179863"/>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39</w:t>
                      </w:r>
                      <w:r w:rsidRPr="00A21E05">
                        <w:rPr>
                          <w:rFonts w:ascii="Arial" w:hAnsi="Arial" w:cs="Arial"/>
                          <w:color w:val="2E74B5"/>
                          <w:sz w:val="18"/>
                        </w:rPr>
                        <w:fldChar w:fldCharType="end"/>
                      </w:r>
                      <w:bookmarkEnd w:id="369"/>
                      <w:r>
                        <w:rPr>
                          <w:rFonts w:ascii="Arial" w:hAnsi="Arial" w:cs="Arial"/>
                          <w:color w:val="2E74B5"/>
                          <w:sz w:val="18"/>
                        </w:rPr>
                        <w:tab/>
                        <w:t>Cash flow modelling</w:t>
                      </w:r>
                      <w:bookmarkEnd w:id="370"/>
                      <w:r>
                        <w:rPr>
                          <w:rFonts w:ascii="Arial" w:hAnsi="Arial" w:cs="Arial"/>
                          <w:color w:val="2E74B5"/>
                          <w:sz w:val="18"/>
                        </w:rPr>
                        <w:t xml:space="preserve"> </w:t>
                      </w:r>
                    </w:p>
                    <w:p w:rsidR="00540FEA" w:rsidRDefault="00540FEA" w:rsidP="00FA6871"/>
                    <w:p w:rsidR="00540FEA" w:rsidRDefault="00540FEA" w:rsidP="00FA6871">
                      <w:pPr>
                        <w:ind w:left="5670"/>
                      </w:pPr>
                      <w:r w:rsidRPr="00D151B3">
                        <w:t xml:space="preserve">A detailed cash-flow simulation has been prepared to assess the performance of </w:t>
                      </w:r>
                      <w:r>
                        <w:t>EEFI</w:t>
                      </w:r>
                      <w:r w:rsidRPr="00D151B3">
                        <w:t xml:space="preserve"> over the lifetime of the project. The main outcome is the substantial portion of operating costs that are derived from operating a debt facility, which result in </w:t>
                      </w:r>
                      <w:r>
                        <w:t>a low</w:t>
                      </w:r>
                      <w:r w:rsidRPr="00D151B3">
                        <w:t xml:space="preserve"> recycling rate of the original funding.</w:t>
                      </w:r>
                    </w:p>
                    <w:p w:rsidR="00540FEA" w:rsidRDefault="00540FEA" w:rsidP="00FA6871">
                      <w:pPr>
                        <w:ind w:left="5670"/>
                      </w:pPr>
                    </w:p>
                    <w:p w:rsidR="00540FEA" w:rsidRDefault="00540FEA" w:rsidP="00FA6871">
                      <w:pPr>
                        <w:ind w:left="5670"/>
                      </w:pPr>
                      <w:r>
                        <w:t>Left: debt revolving fund</w:t>
                      </w:r>
                    </w:p>
                    <w:p w:rsidR="00540FEA" w:rsidRDefault="00540FEA" w:rsidP="00FA6871">
                      <w:pPr>
                        <w:ind w:left="5670"/>
                      </w:pPr>
                      <w:r>
                        <w:t>Below: grant funding &amp; credit guarantee</w:t>
                      </w:r>
                    </w:p>
                    <w:p w:rsidR="00540FEA" w:rsidRDefault="00540FEA" w:rsidP="00FA6871">
                      <w:pPr>
                        <w:ind w:left="5670"/>
                      </w:pPr>
                    </w:p>
                    <w:p w:rsidR="00540FEA" w:rsidRDefault="00540FEA" w:rsidP="00FA6871">
                      <w:pPr>
                        <w:ind w:left="5670"/>
                      </w:pPr>
                    </w:p>
                  </w:txbxContent>
                </v:textbox>
                <w10:wrap type="topAndBottom" anchorx="margin" anchory="page"/>
              </v:shape>
            </w:pict>
          </mc:Fallback>
        </mc:AlternateContent>
      </w:r>
    </w:p>
    <w:p w:rsidR="00503021" w:rsidRPr="00666B27" w:rsidRDefault="003A7211" w:rsidP="00425E50">
      <w:pPr>
        <w:pStyle w:val="HeadingA"/>
        <w:ind w:left="1560" w:hanging="1560"/>
      </w:pPr>
      <w:bookmarkStart w:id="314" w:name="_Toc340789"/>
      <w:r w:rsidRPr="0057545E">
        <w:lastRenderedPageBreak/>
        <w:t xml:space="preserve">GEF </w:t>
      </w:r>
      <w:r w:rsidR="00FD7DAF" w:rsidRPr="00353542">
        <w:t xml:space="preserve">CORE </w:t>
      </w:r>
      <w:r w:rsidRPr="003B7D62">
        <w:t xml:space="preserve">INDICATORS AND </w:t>
      </w:r>
      <w:r w:rsidR="00503021" w:rsidRPr="004722F0">
        <w:t>calculations of greenhouse gas emission reductions</w:t>
      </w:r>
      <w:bookmarkEnd w:id="314"/>
    </w:p>
    <w:p w:rsidR="00503021" w:rsidRPr="00666B27" w:rsidRDefault="00503021" w:rsidP="00503021">
      <w:pPr>
        <w:rPr>
          <w:lang w:val="en-GB" w:eastAsia="en-GB"/>
        </w:rPr>
      </w:pPr>
    </w:p>
    <w:p w:rsidR="0023745E" w:rsidRPr="00666B27" w:rsidRDefault="002666AF" w:rsidP="00F21F31">
      <w:pPr>
        <w:spacing w:after="0"/>
        <w:rPr>
          <w:lang w:val="en-GB" w:eastAsia="en-GB"/>
        </w:rPr>
      </w:pPr>
      <w:r w:rsidRPr="00666B27">
        <w:rPr>
          <w:lang w:val="en-GB" w:eastAsia="en-GB"/>
        </w:rPr>
        <w:t xml:space="preserve">GEF projects typically focus on facilitating future market development, addressing the causes of the development and environmental problem, and addressing barriers to put the right conditions in place so that emissions and energy needs will not rise or rise less in future. </w:t>
      </w:r>
      <w:r w:rsidR="00B34903" w:rsidRPr="00666B27">
        <w:rPr>
          <w:lang w:val="en-GB" w:eastAsia="en-GB"/>
        </w:rPr>
        <w:t>A requirement of any GEF climate change mitigation project proposal is to provide estimates of the emission reductions</w:t>
      </w:r>
      <w:r w:rsidR="005522A3" w:rsidRPr="00666B27">
        <w:rPr>
          <w:lang w:val="en-GB" w:eastAsia="en-GB"/>
        </w:rPr>
        <w:t>, “</w:t>
      </w:r>
      <w:r w:rsidR="005522A3" w:rsidRPr="00666B27">
        <w:rPr>
          <w:i/>
          <w:lang w:val="en-GB" w:eastAsia="en-GB"/>
        </w:rPr>
        <w:t>direct</w:t>
      </w:r>
      <w:r w:rsidR="005522A3" w:rsidRPr="00666B27">
        <w:rPr>
          <w:lang w:val="en-GB" w:eastAsia="en-GB"/>
        </w:rPr>
        <w:t>” emission reduction (caused by demonstration projects of leveraged investments during the project’s implementation), and “</w:t>
      </w:r>
      <w:r w:rsidR="005522A3" w:rsidRPr="00666B27">
        <w:rPr>
          <w:i/>
          <w:lang w:val="en-GB" w:eastAsia="en-GB"/>
        </w:rPr>
        <w:t>indirect</w:t>
      </w:r>
      <w:r w:rsidR="005522A3" w:rsidRPr="00666B27">
        <w:rPr>
          <w:lang w:val="en-GB" w:eastAsia="en-GB"/>
        </w:rPr>
        <w:t>” emission reduction (caused by the implementation of the policy framework, standards and labelling, capacity building and financial mechanisms put in place)</w:t>
      </w:r>
      <w:r w:rsidR="0037015A" w:rsidRPr="00666B27">
        <w:rPr>
          <w:lang w:val="en-GB" w:eastAsia="en-GB"/>
        </w:rPr>
        <w:t xml:space="preserve">. The term “consequential” emission is now </w:t>
      </w:r>
      <w:r w:rsidR="003D41A4" w:rsidRPr="00666B27">
        <w:rPr>
          <w:lang w:val="en-GB" w:eastAsia="en-GB"/>
        </w:rPr>
        <w:t xml:space="preserve">often </w:t>
      </w:r>
      <w:r w:rsidR="0037015A" w:rsidRPr="00666B27">
        <w:rPr>
          <w:lang w:val="en-GB" w:eastAsia="en-GB"/>
        </w:rPr>
        <w:t>used for what previously called ‘indirect’.</w:t>
      </w:r>
    </w:p>
    <w:p w:rsidR="002666AF" w:rsidRPr="00666B27" w:rsidRDefault="002666AF" w:rsidP="00F21F31">
      <w:pPr>
        <w:spacing w:after="0"/>
        <w:rPr>
          <w:lang w:val="en-GB" w:eastAsia="en-GB"/>
        </w:rPr>
      </w:pPr>
    </w:p>
    <w:p w:rsidR="002666AF" w:rsidRPr="00666B27" w:rsidRDefault="003D41A4" w:rsidP="00F21F31">
      <w:pPr>
        <w:spacing w:after="0"/>
        <w:rPr>
          <w:lang w:val="en-GB" w:eastAsia="en-GB"/>
        </w:rPr>
      </w:pPr>
      <w:r w:rsidRPr="00666B27">
        <w:rPr>
          <w:lang w:val="en-GB" w:eastAsia="en-GB"/>
        </w:rPr>
        <w:t>Th</w:t>
      </w:r>
      <w:r w:rsidR="002666AF" w:rsidRPr="00666B27">
        <w:rPr>
          <w:lang w:val="en-GB" w:eastAsia="en-GB"/>
        </w:rPr>
        <w:t xml:space="preserve">e “Leapfrogging South Africa’s markets to high-efficiency LED lighting and </w:t>
      </w:r>
      <w:r w:rsidR="002666AF" w:rsidRPr="00666B27">
        <w:rPr>
          <w:noProof/>
          <w:lang w:val="en-GB" w:eastAsia="en-GB"/>
        </w:rPr>
        <w:t>high</w:t>
      </w:r>
      <w:r w:rsidR="00FB2439" w:rsidRPr="00666B27">
        <w:rPr>
          <w:noProof/>
          <w:lang w:val="en-GB" w:eastAsia="en-GB"/>
        </w:rPr>
        <w:t>-</w:t>
      </w:r>
      <w:r w:rsidR="002666AF" w:rsidRPr="00666B27">
        <w:rPr>
          <w:noProof/>
          <w:lang w:val="en-GB" w:eastAsia="en-GB"/>
        </w:rPr>
        <w:t>efficiency</w:t>
      </w:r>
      <w:r w:rsidR="002666AF" w:rsidRPr="00666B27">
        <w:rPr>
          <w:lang w:val="en-GB" w:eastAsia="en-GB"/>
        </w:rPr>
        <w:t xml:space="preserve"> distribution transformers” Project has long-term and strategic market development approach. The baseline situation is not determined by a single </w:t>
      </w:r>
      <w:proofErr w:type="gramStart"/>
      <w:r w:rsidR="002666AF" w:rsidRPr="00666B27">
        <w:rPr>
          <w:lang w:val="en-GB" w:eastAsia="en-GB"/>
        </w:rPr>
        <w:t>investment, but</w:t>
      </w:r>
      <w:proofErr w:type="gramEnd"/>
      <w:r w:rsidR="002666AF" w:rsidRPr="00666B27">
        <w:rPr>
          <w:lang w:val="en-GB" w:eastAsia="en-GB"/>
        </w:rPr>
        <w:t xml:space="preserve"> is the overall state of the market of LEDs</w:t>
      </w:r>
      <w:r w:rsidR="00B34903" w:rsidRPr="00666B27">
        <w:rPr>
          <w:lang w:val="en-GB" w:eastAsia="en-GB"/>
        </w:rPr>
        <w:t xml:space="preserve"> and distribution transformers and described in the </w:t>
      </w:r>
      <w:r w:rsidR="00B34903" w:rsidRPr="00666B27">
        <w:rPr>
          <w:i/>
          <w:lang w:val="en-GB" w:eastAsia="en-GB"/>
        </w:rPr>
        <w:t>‘baseline scenario’</w:t>
      </w:r>
      <w:r w:rsidR="00B34903" w:rsidRPr="00666B27">
        <w:rPr>
          <w:lang w:val="en-GB" w:eastAsia="en-GB"/>
        </w:rPr>
        <w:t xml:space="preserve">. </w:t>
      </w:r>
      <w:r w:rsidR="002666AF" w:rsidRPr="00666B27">
        <w:rPr>
          <w:lang w:val="en-GB" w:eastAsia="en-GB"/>
        </w:rPr>
        <w:t xml:space="preserve">The project’s outputs capacity building, technical assistance, development </w:t>
      </w:r>
      <w:r w:rsidR="002666AF" w:rsidRPr="00666B27">
        <w:rPr>
          <w:noProof/>
          <w:lang w:val="en-GB" w:eastAsia="en-GB"/>
        </w:rPr>
        <w:t>and</w:t>
      </w:r>
      <w:r w:rsidR="002666AF" w:rsidRPr="00666B27">
        <w:rPr>
          <w:lang w:val="en-GB" w:eastAsia="en-GB"/>
        </w:rPr>
        <w:t xml:space="preserve"> implementation of government policies supporting investment and consumer </w:t>
      </w:r>
      <w:r w:rsidR="00B34903" w:rsidRPr="00666B27">
        <w:rPr>
          <w:lang w:val="en-GB" w:eastAsia="en-GB"/>
        </w:rPr>
        <w:t>purchase, are the necessary preconditions for avoiding greenhouse gas emissions in the long run and the corresponding state of the market is described in</w:t>
      </w:r>
      <w:r w:rsidR="00B34903" w:rsidRPr="00666B27">
        <w:rPr>
          <w:i/>
          <w:lang w:val="en-GB" w:eastAsia="en-GB"/>
        </w:rPr>
        <w:t xml:space="preserve"> ‘alternative scenario’</w:t>
      </w:r>
      <w:r w:rsidR="00B34903" w:rsidRPr="00666B27">
        <w:rPr>
          <w:lang w:val="en-GB" w:eastAsia="en-GB"/>
        </w:rPr>
        <w:t>.</w:t>
      </w:r>
    </w:p>
    <w:p w:rsidR="005522A3" w:rsidRPr="00666B27" w:rsidRDefault="005522A3" w:rsidP="00F21F31">
      <w:pPr>
        <w:spacing w:after="0"/>
        <w:rPr>
          <w:lang w:val="en-GB" w:eastAsia="en-GB"/>
        </w:rPr>
      </w:pPr>
    </w:p>
    <w:p w:rsidR="005522A3" w:rsidRPr="00353542" w:rsidRDefault="003A2690" w:rsidP="00F21F31">
      <w:pPr>
        <w:spacing w:after="0"/>
        <w:rPr>
          <w:lang w:val="en-GB" w:eastAsia="en-GB"/>
        </w:rPr>
      </w:pPr>
      <w:r>
        <w:rPr>
          <w:noProof/>
        </w:rPr>
        <mc:AlternateContent>
          <mc:Choice Requires="wps">
            <w:drawing>
              <wp:anchor distT="45720" distB="45720" distL="114300" distR="114300" simplePos="0" relativeHeight="251622400" behindDoc="0" locked="0" layoutInCell="1" allowOverlap="1">
                <wp:simplePos x="0" y="0"/>
                <wp:positionH relativeFrom="page">
                  <wp:posOffset>676910</wp:posOffset>
                </wp:positionH>
                <wp:positionV relativeFrom="page">
                  <wp:posOffset>4551680</wp:posOffset>
                </wp:positionV>
                <wp:extent cx="6739890" cy="4582160"/>
                <wp:effectExtent l="0" t="0" r="0" b="0"/>
                <wp:wrapTopAndBottom/>
                <wp:docPr id="10"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4582160"/>
                        </a:xfrm>
                        <a:prstGeom prst="rect">
                          <a:avLst/>
                        </a:prstGeom>
                        <a:solidFill>
                          <a:srgbClr val="ED7D31">
                            <a:lumMod val="20000"/>
                            <a:lumOff val="80000"/>
                          </a:srgbClr>
                        </a:solidFill>
                        <a:ln>
                          <a:noFill/>
                        </a:ln>
                      </wps:spPr>
                      <wps:txbx>
                        <w:txbxContent>
                          <w:p w:rsidR="00540FEA" w:rsidRDefault="00540FEA" w:rsidP="0095594B">
                            <w:pPr>
                              <w:pStyle w:val="Caption"/>
                              <w:rPr>
                                <w:rFonts w:ascii="Arial" w:hAnsi="Arial" w:cs="Arial"/>
                                <w:color w:val="2E74B5"/>
                                <w:sz w:val="18"/>
                              </w:rPr>
                            </w:pPr>
                            <w:bookmarkStart w:id="315" w:name="_Ref497667378"/>
                            <w:bookmarkStart w:id="316" w:name="_Toc17986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40</w:t>
                            </w:r>
                            <w:r w:rsidRPr="00A21E05">
                              <w:rPr>
                                <w:rFonts w:ascii="Arial" w:hAnsi="Arial" w:cs="Arial"/>
                                <w:color w:val="2E74B5"/>
                                <w:sz w:val="18"/>
                              </w:rPr>
                              <w:fldChar w:fldCharType="end"/>
                            </w:r>
                            <w:bookmarkEnd w:id="315"/>
                            <w:r>
                              <w:rPr>
                                <w:rFonts w:ascii="Arial" w:hAnsi="Arial" w:cs="Arial"/>
                                <w:color w:val="2E74B5"/>
                                <w:sz w:val="18"/>
                              </w:rPr>
                              <w:tab/>
                              <w:t>South Africa – pathway to energy efficiency (U4E)</w:t>
                            </w:r>
                            <w:bookmarkEnd w:id="316"/>
                          </w:p>
                          <w:p w:rsidR="00540FEA" w:rsidRPr="0095594B" w:rsidRDefault="00540FEA" w:rsidP="0095594B"/>
                          <w:p w:rsidR="00540FEA" w:rsidRDefault="00540FEA" w:rsidP="0095594B">
                            <w:pPr>
                              <w:rPr>
                                <w:noProof/>
                              </w:rPr>
                            </w:pPr>
                            <w:r w:rsidRPr="00676649">
                              <w:rPr>
                                <w:noProof/>
                              </w:rPr>
                              <w:drawing>
                                <wp:inline distT="0" distB="0" distL="0" distR="0">
                                  <wp:extent cx="5161280" cy="3251200"/>
                                  <wp:effectExtent l="0" t="0" r="0" b="0"/>
                                  <wp:docPr id="4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43">
                                            <a:extLst>
                                              <a:ext uri="{28A0092B-C50C-407E-A947-70E740481C1C}">
                                                <a14:useLocalDpi xmlns:a14="http://schemas.microsoft.com/office/drawing/2010/main" val="0"/>
                                              </a:ext>
                                            </a:extLst>
                                          </a:blip>
                                          <a:srcRect/>
                                          <a:stretch>
                                            <a:fillRect/>
                                          </a:stretch>
                                        </pic:blipFill>
                                        <pic:spPr bwMode="auto">
                                          <a:xfrm>
                                            <a:off x="0" y="0"/>
                                            <a:ext cx="5161280" cy="3251200"/>
                                          </a:xfrm>
                                          <a:prstGeom prst="rect">
                                            <a:avLst/>
                                          </a:prstGeom>
                                          <a:noFill/>
                                          <a:ln>
                                            <a:noFill/>
                                          </a:ln>
                                        </pic:spPr>
                                      </pic:pic>
                                    </a:graphicData>
                                  </a:graphic>
                                </wp:inline>
                              </w:drawing>
                            </w:r>
                          </w:p>
                          <w:p w:rsidR="00540FEA" w:rsidRPr="0095594B" w:rsidRDefault="00540FEA" w:rsidP="0095594B">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rsidR="00540FEA" w:rsidRPr="0095594B" w:rsidRDefault="00540FEA" w:rsidP="0095594B">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rsidR="00540FEA" w:rsidRPr="004C0D28" w:rsidRDefault="00540FEA" w:rsidP="0095594B">
                            <w:pPr>
                              <w:rPr>
                                <w:noProof/>
                                <w:lang w:val="en-GB"/>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Pr="002044AF" w:rsidRDefault="00540FEA" w:rsidP="0095594B">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left:0;text-align:left;margin-left:53.3pt;margin-top:358.4pt;width:530.7pt;height:360.8pt;z-index:251622400;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" fillcolor="#fbe5d6" stroked="f">
                <v:textbox>
                  <w:txbxContent>
                    <w:p w:rsidR="00540FEA" w:rsidRDefault="00540FEA" w:rsidP="0095594B">
                      <w:pPr>
                        <w:pStyle w:val="Caption"/>
                        <w:rPr>
                          <w:rFonts w:ascii="Arial" w:hAnsi="Arial" w:cs="Arial"/>
                          <w:color w:val="2E74B5"/>
                          <w:sz w:val="18"/>
                        </w:rPr>
                      </w:pPr>
                      <w:bookmarkStart w:id="374" w:name="_Ref497667378"/>
                      <w:bookmarkStart w:id="375" w:name="_Toc179864"/>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40</w:t>
                      </w:r>
                      <w:r w:rsidRPr="00A21E05">
                        <w:rPr>
                          <w:rFonts w:ascii="Arial" w:hAnsi="Arial" w:cs="Arial"/>
                          <w:color w:val="2E74B5"/>
                          <w:sz w:val="18"/>
                        </w:rPr>
                        <w:fldChar w:fldCharType="end"/>
                      </w:r>
                      <w:bookmarkEnd w:id="374"/>
                      <w:r>
                        <w:rPr>
                          <w:rFonts w:ascii="Arial" w:hAnsi="Arial" w:cs="Arial"/>
                          <w:color w:val="2E74B5"/>
                          <w:sz w:val="18"/>
                        </w:rPr>
                        <w:tab/>
                        <w:t>South Africa – pathway to energy efficiency (U4E)</w:t>
                      </w:r>
                      <w:bookmarkEnd w:id="375"/>
                    </w:p>
                    <w:p w:rsidR="00540FEA" w:rsidRPr="0095594B" w:rsidRDefault="00540FEA" w:rsidP="0095594B"/>
                    <w:p w:rsidR="00540FEA" w:rsidRDefault="00540FEA" w:rsidP="0095594B">
                      <w:pPr>
                        <w:rPr>
                          <w:noProof/>
                        </w:rPr>
                      </w:pPr>
                      <w:r w:rsidRPr="00676649">
                        <w:rPr>
                          <w:noProof/>
                        </w:rPr>
                        <w:drawing>
                          <wp:inline distT="0" distB="0" distL="0" distR="0">
                            <wp:extent cx="5161280" cy="3251200"/>
                            <wp:effectExtent l="0" t="0" r="0" b="0"/>
                            <wp:docPr id="4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5161280" cy="3251200"/>
                                    </a:xfrm>
                                    <a:prstGeom prst="rect">
                                      <a:avLst/>
                                    </a:prstGeom>
                                    <a:noFill/>
                                    <a:ln>
                                      <a:noFill/>
                                    </a:ln>
                                  </pic:spPr>
                                </pic:pic>
                              </a:graphicData>
                            </a:graphic>
                          </wp:inline>
                        </w:drawing>
                      </w:r>
                    </w:p>
                    <w:p w:rsidR="00540FEA" w:rsidRPr="0095594B" w:rsidRDefault="00540FEA" w:rsidP="0095594B">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rsidR="00540FEA" w:rsidRPr="0095594B" w:rsidRDefault="00540FEA" w:rsidP="0095594B">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rsidR="00540FEA" w:rsidRPr="004C0D28" w:rsidRDefault="00540FEA" w:rsidP="0095594B">
                      <w:pPr>
                        <w:rPr>
                          <w:noProof/>
                          <w:lang w:val="en-GB"/>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Default="00540FEA" w:rsidP="0095594B">
                      <w:pPr>
                        <w:rPr>
                          <w:noProof/>
                        </w:rPr>
                      </w:pPr>
                    </w:p>
                    <w:p w:rsidR="00540FEA" w:rsidRPr="002044AF" w:rsidRDefault="00540FEA" w:rsidP="0095594B">
                      <w:pPr>
                        <w:rPr>
                          <w:sz w:val="18"/>
                        </w:rPr>
                      </w:pPr>
                      <w:r w:rsidRPr="00A21E05">
                        <w:rPr>
                          <w:i/>
                          <w:noProof/>
                          <w:sz w:val="18"/>
                        </w:rPr>
                        <w:t>Source:</w:t>
                      </w:r>
                      <w:r>
                        <w:rPr>
                          <w:noProof/>
                          <w:sz w:val="18"/>
                        </w:rPr>
                        <w:t xml:space="preserve"> Eskom website (2017)</w:t>
                      </w:r>
                    </w:p>
                  </w:txbxContent>
                </v:textbox>
                <w10:wrap type="topAndBottom" anchorx="page" anchory="page"/>
              </v:shape>
            </w:pict>
          </mc:Fallback>
        </mc:AlternateContent>
      </w:r>
      <w:r w:rsidR="005522A3" w:rsidRPr="0057545E">
        <w:rPr>
          <w:lang w:val="en-GB" w:eastAsia="en-GB"/>
        </w:rPr>
        <w:t>The United for Efficiency initiative (U4E) completed a Country Assess</w:t>
      </w:r>
      <w:r w:rsidR="005522A3" w:rsidRPr="00353542">
        <w:rPr>
          <w:lang w:val="en-GB" w:eastAsia="en-GB"/>
        </w:rPr>
        <w:t>ment for South Africa in December 2016. This assessment sets forth baselin</w:t>
      </w:r>
      <w:r w:rsidR="005522A3" w:rsidRPr="003B7D62">
        <w:rPr>
          <w:lang w:val="en-GB" w:eastAsia="en-GB"/>
        </w:rPr>
        <w:t xml:space="preserve">e conditions and potential for energy savings, avoided energy costs, and avoided GHG emissions from </w:t>
      </w:r>
      <w:r w:rsidR="00FB2439" w:rsidRPr="004722F0">
        <w:rPr>
          <w:noProof/>
          <w:lang w:val="en-GB" w:eastAsia="en-GB"/>
        </w:rPr>
        <w:t xml:space="preserve">the </w:t>
      </w:r>
      <w:r w:rsidR="005522A3" w:rsidRPr="00666B27">
        <w:rPr>
          <w:noProof/>
          <w:lang w:val="en-GB" w:eastAsia="en-GB"/>
        </w:rPr>
        <w:t>adoption</w:t>
      </w:r>
      <w:r w:rsidR="005522A3" w:rsidRPr="00666B27">
        <w:rPr>
          <w:lang w:val="en-GB" w:eastAsia="en-GB"/>
        </w:rPr>
        <w:t xml:space="preserve"> of minimum energy performance standards (MEPS) for refrigerators, room air conditioners, distribution transformers, industrial electric motors, and lighting.</w:t>
      </w:r>
      <w:r w:rsidR="006A2861" w:rsidRPr="00666B27">
        <w:rPr>
          <w:lang w:val="en-GB" w:eastAsia="en-GB"/>
        </w:rPr>
        <w:t xml:space="preserve"> A summary of the U4E assessment is </w:t>
      </w:r>
      <w:r w:rsidR="0095594B" w:rsidRPr="00666B27">
        <w:rPr>
          <w:lang w:val="en-GB" w:eastAsia="en-GB"/>
        </w:rPr>
        <w:t xml:space="preserve">given in </w:t>
      </w:r>
      <w:r w:rsidR="00EB411A" w:rsidRPr="00353542">
        <w:rPr>
          <w:lang w:val="en-GB" w:eastAsia="en-GB"/>
        </w:rPr>
        <w:fldChar w:fldCharType="begin"/>
      </w:r>
      <w:r w:rsidR="00EB411A" w:rsidRPr="00666B27">
        <w:rPr>
          <w:lang w:val="en-GB" w:eastAsia="en-GB"/>
        </w:rPr>
        <w:instrText xml:space="preserve"> REF _Ref497667378 \h </w:instrText>
      </w:r>
      <w:r w:rsidR="00EB411A" w:rsidRPr="00353542">
        <w:rPr>
          <w:lang w:val="en-GB" w:eastAsia="en-GB"/>
        </w:rPr>
      </w:r>
      <w:r w:rsidR="00EB411A" w:rsidRPr="00353542">
        <w:rPr>
          <w:lang w:val="en-GB" w:eastAsia="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40</w:t>
      </w:r>
      <w:r w:rsidR="00EB411A" w:rsidRPr="00353542">
        <w:rPr>
          <w:lang w:val="en-GB" w:eastAsia="en-GB"/>
        </w:rPr>
        <w:fldChar w:fldCharType="end"/>
      </w:r>
      <w:r w:rsidR="00EB411A" w:rsidRPr="0057545E">
        <w:rPr>
          <w:lang w:val="en-GB" w:eastAsia="en-GB"/>
        </w:rPr>
        <w:t>.</w:t>
      </w:r>
    </w:p>
    <w:p w:rsidR="00D66F85" w:rsidRPr="00353542" w:rsidRDefault="003A2690">
      <w:pPr>
        <w:spacing w:after="0"/>
        <w:jc w:val="left"/>
        <w:rPr>
          <w:lang w:val="en-GB" w:eastAsia="en-GB"/>
        </w:rPr>
      </w:pPr>
      <w:r>
        <w:rPr>
          <w:noProof/>
        </w:rPr>
        <w:lastRenderedPageBreak/>
        <mc:AlternateContent>
          <mc:Choice Requires="wps">
            <w:drawing>
              <wp:anchor distT="45720" distB="45720" distL="114300" distR="114300" simplePos="0" relativeHeight="251644928" behindDoc="0" locked="0" layoutInCell="1" allowOverlap="1">
                <wp:simplePos x="0" y="0"/>
                <wp:positionH relativeFrom="margin">
                  <wp:align>center</wp:align>
                </wp:positionH>
                <wp:positionV relativeFrom="margin">
                  <wp:align>top</wp:align>
                </wp:positionV>
                <wp:extent cx="6739890" cy="8138160"/>
                <wp:effectExtent l="0" t="0" r="3810" b="0"/>
                <wp:wrapTopAndBottom/>
                <wp:docPr id="52"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8138160"/>
                        </a:xfrm>
                        <a:prstGeom prst="rect">
                          <a:avLst/>
                        </a:prstGeom>
                        <a:noFill/>
                        <a:ln w="19050">
                          <a:solidFill>
                            <a:sysClr val="window" lastClr="FFFFFF">
                              <a:lumMod val="75000"/>
                            </a:sysClr>
                          </a:solidFill>
                        </a:ln>
                      </wps:spPr>
                      <wps:txbx>
                        <w:txbxContent>
                          <w:p w:rsidR="00540FEA" w:rsidRDefault="00540FEA" w:rsidP="00D66F85">
                            <w:pPr>
                              <w:pStyle w:val="Caption"/>
                              <w:rPr>
                                <w:rFonts w:ascii="Arial" w:hAnsi="Arial" w:cs="Arial"/>
                                <w:color w:val="2E74B5"/>
                                <w:sz w:val="18"/>
                              </w:rPr>
                            </w:pPr>
                            <w:bookmarkStart w:id="317" w:name="_Ref292018"/>
                            <w:bookmarkStart w:id="318" w:name="_Toc17986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41</w:t>
                            </w:r>
                            <w:r w:rsidRPr="00A21E05">
                              <w:rPr>
                                <w:rFonts w:ascii="Arial" w:hAnsi="Arial" w:cs="Arial"/>
                                <w:color w:val="2E74B5"/>
                                <w:sz w:val="18"/>
                              </w:rPr>
                              <w:fldChar w:fldCharType="end"/>
                            </w:r>
                            <w:bookmarkEnd w:id="317"/>
                            <w:r>
                              <w:rPr>
                                <w:rFonts w:ascii="Arial" w:hAnsi="Arial" w:cs="Arial"/>
                                <w:color w:val="2E74B5"/>
                                <w:sz w:val="18"/>
                              </w:rPr>
                              <w:tab/>
                              <w:t>Assumptions and base data calculations, HE transformers, energy savings and GHG reduction</w:t>
                            </w:r>
                            <w:bookmarkEnd w:id="318"/>
                          </w:p>
                          <w:p w:rsidR="00540FEA" w:rsidRDefault="00540FEA" w:rsidP="00D66F85">
                            <w:pPr>
                              <w:rPr>
                                <w:noProof/>
                                <w:sz w:val="19"/>
                                <w:szCs w:val="19"/>
                              </w:rPr>
                            </w:pPr>
                          </w:p>
                          <w:p w:rsidR="00540FEA" w:rsidRDefault="00540FEA" w:rsidP="00D66F85">
                            <w:pPr>
                              <w:rPr>
                                <w:noProof/>
                                <w:sz w:val="19"/>
                                <w:szCs w:val="19"/>
                              </w:rPr>
                            </w:pPr>
                            <w:r w:rsidRPr="00E22470">
                              <w:rPr>
                                <w:noProof/>
                                <w:sz w:val="19"/>
                                <w:szCs w:val="19"/>
                              </w:rPr>
                              <w:t>Information on the number of transformers in South Africa’s distribution system is based on data from the regulator NERSA and the state utility Eskom. Unfortunately, the latest consistent set of data is from the year 2012. Data have been extrapolated to estimate the amount in Eskom’s grid and the municipal power distribution grids in 2017, the base year for the scenario analysis of Box 25. According to Eskom about 10,000 new transformers are added each year and a similar number of old transformers replaced, i.e. 20,000 in total, a growth of about 3% a year. It is assumed that in the baseline that not all of these are replaced with HE (high-efficiency) equipment. In the baseline, to the stock 2,500 HE distribution transformers are added in 2019 and thereafter, in each year 2,500*(1+3%). In the alternative scenario it is assumed not only all that all the 20,000 transformers sold are high-efficient, but that the penetration rate increases also; are added; in the alternative scenario this is 20,000*(1+9%).</w:t>
                            </w:r>
                          </w:p>
                          <w:p w:rsidR="00540FEA" w:rsidRDefault="00540FEA" w:rsidP="00D66F85">
                            <w:pPr>
                              <w:rPr>
                                <w:noProof/>
                              </w:rPr>
                            </w:pPr>
                            <w:r w:rsidRPr="00676649">
                              <w:rPr>
                                <w:noProof/>
                              </w:rPr>
                              <w:drawing>
                                <wp:inline distT="0" distB="0" distL="0" distR="0">
                                  <wp:extent cx="3037840" cy="670560"/>
                                  <wp:effectExtent l="0" t="0" r="0" b="0"/>
                                  <wp:docPr id="41"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5">
                                            <a:extLst>
                                              <a:ext uri="{28A0092B-C50C-407E-A947-70E740481C1C}">
                                                <a14:useLocalDpi xmlns:a14="http://schemas.microsoft.com/office/drawing/2010/main" val="0"/>
                                              </a:ext>
                                            </a:extLst>
                                          </a:blip>
                                          <a:srcRect/>
                                          <a:stretch>
                                            <a:fillRect/>
                                          </a:stretch>
                                        </pic:blipFill>
                                        <pic:spPr bwMode="auto">
                                          <a:xfrm>
                                            <a:off x="0" y="0"/>
                                            <a:ext cx="3037840" cy="670560"/>
                                          </a:xfrm>
                                          <a:prstGeom prst="rect">
                                            <a:avLst/>
                                          </a:prstGeom>
                                          <a:noFill/>
                                          <a:ln>
                                            <a:noFill/>
                                          </a:ln>
                                        </pic:spPr>
                                      </pic:pic>
                                    </a:graphicData>
                                  </a:graphic>
                                </wp:inline>
                              </w:drawing>
                            </w:r>
                          </w:p>
                          <w:p w:rsidR="00540FEA" w:rsidRPr="00E22470" w:rsidRDefault="00540FEA" w:rsidP="00D66F85">
                            <w:pPr>
                              <w:rPr>
                                <w:noProof/>
                                <w:sz w:val="18"/>
                                <w:szCs w:val="18"/>
                              </w:rPr>
                            </w:pPr>
                            <w:r>
                              <w:rPr>
                                <w:noProof/>
                                <w:sz w:val="18"/>
                                <w:szCs w:val="18"/>
                              </w:rPr>
                              <w:t xml:space="preserve">Source: NERSA, </w:t>
                            </w:r>
                            <w:r>
                              <w:rPr>
                                <w:i/>
                                <w:noProof/>
                                <w:sz w:val="18"/>
                                <w:szCs w:val="18"/>
                              </w:rPr>
                              <w:t xml:space="preserve">Electricity Supply Statistics </w:t>
                            </w:r>
                            <w:r>
                              <w:rPr>
                                <w:noProof/>
                                <w:sz w:val="18"/>
                                <w:szCs w:val="18"/>
                              </w:rPr>
                              <w:t xml:space="preserve">(2012), 2017 data are estimates, </w:t>
                            </w:r>
                            <w:r>
                              <w:rPr>
                                <w:i/>
                                <w:noProof/>
                                <w:sz w:val="18"/>
                                <w:szCs w:val="18"/>
                              </w:rPr>
                              <w:t xml:space="preserve">ESKOM, </w:t>
                            </w:r>
                            <w:r>
                              <w:rPr>
                                <w:noProof/>
                                <w:sz w:val="18"/>
                                <w:szCs w:val="18"/>
                              </w:rPr>
                              <w:t xml:space="preserve">p.c., DHV-GL </w:t>
                            </w:r>
                            <w:r>
                              <w:rPr>
                                <w:i/>
                                <w:noProof/>
                                <w:sz w:val="18"/>
                                <w:szCs w:val="18"/>
                              </w:rPr>
                              <w:t>Country Profile: South Africa</w:t>
                            </w:r>
                            <w:r>
                              <w:rPr>
                                <w:noProof/>
                                <w:sz w:val="18"/>
                                <w:szCs w:val="18"/>
                              </w:rPr>
                              <w:t xml:space="preserve"> (2018)</w:t>
                            </w:r>
                          </w:p>
                          <w:p w:rsidR="00540FEA" w:rsidRDefault="00540FEA" w:rsidP="00D66F85">
                            <w:pPr>
                              <w:rPr>
                                <w:noProof/>
                                <w:sz w:val="19"/>
                                <w:szCs w:val="19"/>
                              </w:rPr>
                            </w:pPr>
                          </w:p>
                          <w:p w:rsidR="00540FEA" w:rsidRDefault="00540FEA" w:rsidP="00D66F85">
                            <w:pPr>
                              <w:rPr>
                                <w:noProof/>
                                <w:sz w:val="19"/>
                                <w:szCs w:val="19"/>
                              </w:rPr>
                            </w:pPr>
                            <w:r w:rsidRPr="00E22470">
                              <w:rPr>
                                <w:noProof/>
                                <w:sz w:val="19"/>
                                <w:szCs w:val="19"/>
                              </w:rPr>
                              <w:t>The following table shows how the energy savings of a high-efficient transformer is calculated:</w:t>
                            </w:r>
                          </w:p>
                          <w:p w:rsidR="00540FEA" w:rsidRPr="00332519" w:rsidRDefault="00540FEA" w:rsidP="00D66F85">
                            <w:pPr>
                              <w:rPr>
                                <w:noProof/>
                                <w:sz w:val="19"/>
                                <w:szCs w:val="19"/>
                              </w:rPr>
                            </w:pPr>
                            <w:r w:rsidRPr="00332519">
                              <w:rPr>
                                <w:noProof/>
                                <w:sz w:val="19"/>
                                <w:szCs w:val="19"/>
                              </w:rPr>
                              <w:t xml:space="preserve"> Losses of a transformer (in kWh/yr) = (P</w:t>
                            </w:r>
                            <w:r w:rsidRPr="00332519">
                              <w:rPr>
                                <w:noProof/>
                                <w:sz w:val="19"/>
                                <w:szCs w:val="19"/>
                                <w:vertAlign w:val="subscript"/>
                              </w:rPr>
                              <w:t>LL</w:t>
                            </w:r>
                            <w:r w:rsidRPr="00332519">
                              <w:rPr>
                                <w:noProof/>
                                <w:sz w:val="19"/>
                                <w:szCs w:val="19"/>
                              </w:rPr>
                              <w:t>*365*24*load factor + P</w:t>
                            </w:r>
                            <w:r w:rsidRPr="00332519">
                              <w:rPr>
                                <w:noProof/>
                                <w:sz w:val="19"/>
                                <w:szCs w:val="19"/>
                                <w:vertAlign w:val="subscript"/>
                              </w:rPr>
                              <w:t>NL</w:t>
                            </w:r>
                            <w:r w:rsidRPr="00332519">
                              <w:rPr>
                                <w:noProof/>
                                <w:sz w:val="19"/>
                                <w:szCs w:val="19"/>
                              </w:rPr>
                              <w:t>*365*24) * (cost of power)</w:t>
                            </w:r>
                          </w:p>
                          <w:p w:rsidR="00540FEA" w:rsidRPr="00332519" w:rsidRDefault="00540FEA" w:rsidP="00D66F85">
                            <w:pPr>
                              <w:rPr>
                                <w:noProof/>
                                <w:sz w:val="19"/>
                                <w:szCs w:val="19"/>
                              </w:rPr>
                            </w:pPr>
                            <w:r w:rsidRPr="00332519">
                              <w:rPr>
                                <w:noProof/>
                                <w:sz w:val="19"/>
                                <w:szCs w:val="19"/>
                              </w:rPr>
                              <w:t xml:space="preserve">Total owning cost (TOC) = purchase price + present value of future (no load losses + load losses). </w:t>
                            </w:r>
                          </w:p>
                          <w:p w:rsidR="00540FEA" w:rsidRDefault="00540FEA" w:rsidP="00D66F85">
                            <w:pPr>
                              <w:rPr>
                                <w:noProof/>
                              </w:rPr>
                            </w:pPr>
                            <w:r w:rsidRPr="00676649">
                              <w:rPr>
                                <w:noProof/>
                              </w:rPr>
                              <w:drawing>
                                <wp:inline distT="0" distB="0" distL="0" distR="0">
                                  <wp:extent cx="5293360" cy="3200400"/>
                                  <wp:effectExtent l="0" t="0" r="0" b="0"/>
                                  <wp:docPr id="42"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5293360" cy="3200400"/>
                                          </a:xfrm>
                                          <a:prstGeom prst="rect">
                                            <a:avLst/>
                                          </a:prstGeom>
                                          <a:noFill/>
                                          <a:ln>
                                            <a:noFill/>
                                          </a:ln>
                                        </pic:spPr>
                                      </pic:pic>
                                    </a:graphicData>
                                  </a:graphic>
                                </wp:inline>
                              </w:drawing>
                            </w:r>
                          </w:p>
                          <w:p w:rsidR="00540FEA" w:rsidRDefault="00540FEA" w:rsidP="00D66F85">
                            <w:pPr>
                              <w:rPr>
                                <w:noProof/>
                                <w:sz w:val="19"/>
                                <w:szCs w:val="19"/>
                              </w:rPr>
                            </w:pPr>
                            <w:r w:rsidRPr="00332519">
                              <w:rPr>
                                <w:noProof/>
                                <w:sz w:val="19"/>
                                <w:szCs w:val="19"/>
                              </w:rPr>
                              <w:t>Estimates on transformers in DHV-GL (2018) give 662,655 with an average size of 315 kVA (11 kV/0.4 kV). Transformers come in different size, ranging from 25 to 2,500 kVA, but</w:t>
                            </w:r>
                            <w:r>
                              <w:rPr>
                                <w:noProof/>
                                <w:sz w:val="19"/>
                                <w:szCs w:val="19"/>
                              </w:rPr>
                              <w:t xml:space="preserve"> there are no </w:t>
                            </w:r>
                            <w:r w:rsidRPr="00332519">
                              <w:rPr>
                                <w:noProof/>
                                <w:sz w:val="19"/>
                                <w:szCs w:val="19"/>
                              </w:rPr>
                              <w:t>statistics on numbers per size category. The table gives two calculation examples, for a 750 kVA and a 75 kVA transformer. Assuming that 35% are 750 kVA (or the average of 300-1500 kVA) and  65% are 75 kVA (or the average of the range 25-300 kVA) gives an average szie of 318 kVA.</w:t>
                            </w:r>
                          </w:p>
                          <w:p w:rsidR="00540FEA" w:rsidRPr="00332519" w:rsidRDefault="00540FEA" w:rsidP="00D66F85">
                            <w:pPr>
                              <w:rPr>
                                <w:noProof/>
                                <w:sz w:val="19"/>
                                <w:szCs w:val="19"/>
                              </w:rPr>
                            </w:pPr>
                            <w:r w:rsidRPr="00332519">
                              <w:rPr>
                                <w:noProof/>
                                <w:sz w:val="19"/>
                                <w:szCs w:val="19"/>
                              </w:rPr>
                              <w:t>The present value is calculated by dividing monetary value of the loss by the capital recovery factor</w:t>
                            </w:r>
                            <w:r>
                              <w:rPr>
                                <w:noProof/>
                                <w:sz w:val="19"/>
                                <w:szCs w:val="19"/>
                              </w:rPr>
                              <w:t>*</w:t>
                            </w:r>
                            <w:r w:rsidRPr="00332519">
                              <w:rPr>
                                <w:noProof/>
                                <w:sz w:val="19"/>
                                <w:szCs w:val="19"/>
                              </w:rPr>
                              <w:t>.  Prices of standards and efficient transformers are based on data provided by Eskom</w:t>
                            </w:r>
                            <w:r>
                              <w:rPr>
                                <w:noProof/>
                                <w:sz w:val="19"/>
                                <w:szCs w:val="19"/>
                              </w:rPr>
                              <w:t xml:space="preserve">; infon on </w:t>
                            </w:r>
                            <w:r w:rsidRPr="00332519">
                              <w:rPr>
                                <w:noProof/>
                                <w:sz w:val="19"/>
                                <w:szCs w:val="19"/>
                              </w:rPr>
                              <w:t xml:space="preserve">International Copper Association (see </w:t>
                            </w:r>
                            <w:r w:rsidRPr="00332519">
                              <w:rPr>
                                <w:i/>
                                <w:noProof/>
                                <w:sz w:val="19"/>
                                <w:szCs w:val="19"/>
                              </w:rPr>
                              <w:t>Introduction to Transformer Losses</w:t>
                            </w:r>
                            <w:r w:rsidRPr="00332519">
                              <w:rPr>
                                <w:noProof/>
                                <w:sz w:val="19"/>
                                <w:szCs w:val="19"/>
                              </w:rPr>
                              <w:t xml:space="preserve"> from </w:t>
                            </w:r>
                            <w:r w:rsidRPr="00332519">
                              <w:rPr>
                                <w:i/>
                                <w:noProof/>
                                <w:sz w:val="19"/>
                                <w:szCs w:val="19"/>
                              </w:rPr>
                              <w:t>Premium-efficiency Motors and Transformers)</w:t>
                            </w:r>
                            <w:r>
                              <w:rPr>
                                <w:i/>
                                <w:noProof/>
                                <w:sz w:val="19"/>
                                <w:szCs w:val="19"/>
                              </w:rPr>
                              <w:t xml:space="preserve"> </w:t>
                            </w:r>
                            <w:r>
                              <w:rPr>
                                <w:noProof/>
                                <w:sz w:val="19"/>
                                <w:szCs w:val="19"/>
                              </w:rPr>
                              <w:t xml:space="preserve">and the articles </w:t>
                            </w:r>
                            <w:r w:rsidRPr="00D66F85">
                              <w:rPr>
                                <w:i/>
                                <w:noProof/>
                                <w:sz w:val="19"/>
                                <w:szCs w:val="19"/>
                              </w:rPr>
                              <w:t>Reducing South Africa’s electrical distribution transformer losses</w:t>
                            </w:r>
                            <w:r>
                              <w:rPr>
                                <w:i/>
                                <w:noProof/>
                                <w:sz w:val="19"/>
                                <w:szCs w:val="19"/>
                              </w:rPr>
                              <w:t xml:space="preserve"> </w:t>
                            </w:r>
                            <w:r w:rsidRPr="00D66F85">
                              <w:rPr>
                                <w:noProof/>
                                <w:sz w:val="19"/>
                                <w:szCs w:val="19"/>
                              </w:rPr>
                              <w:t>(Amadi, DeKock, 2015)</w:t>
                            </w:r>
                            <w:r>
                              <w:rPr>
                                <w:noProof/>
                                <w:sz w:val="19"/>
                                <w:szCs w:val="19"/>
                              </w:rPr>
                              <w:t xml:space="preserve"> and </w:t>
                            </w:r>
                            <w:r>
                              <w:rPr>
                                <w:i/>
                                <w:noProof/>
                                <w:sz w:val="19"/>
                                <w:szCs w:val="19"/>
                              </w:rPr>
                              <w:t xml:space="preserve">Low-loss transformers in a South African context </w:t>
                            </w:r>
                            <w:r>
                              <w:rPr>
                                <w:noProof/>
                                <w:sz w:val="19"/>
                                <w:szCs w:val="19"/>
                              </w:rPr>
                              <w:t>(Stanford et.al., PowerTech Transformers)</w:t>
                            </w:r>
                          </w:p>
                          <w:p w:rsidR="00540FEA" w:rsidRDefault="00540FEA" w:rsidP="00D66F85">
                            <w:pPr>
                              <w:rPr>
                                <w:noProof/>
                                <w:sz w:val="19"/>
                                <w:szCs w:val="19"/>
                              </w:rPr>
                            </w:pPr>
                          </w:p>
                          <w:p w:rsidR="00540FEA" w:rsidRPr="00D66F85" w:rsidRDefault="00540FEA" w:rsidP="00D66F85">
                            <w:pPr>
                              <w:rPr>
                                <w:noProof/>
                                <w:sz w:val="19"/>
                                <w:szCs w:val="19"/>
                              </w:rPr>
                            </w:pPr>
                            <w:r w:rsidRPr="00D66F85">
                              <w:rPr>
                                <w:noProof/>
                                <w:sz w:val="19"/>
                                <w:szCs w:val="19"/>
                              </w:rPr>
                              <w:t>*</w:t>
                            </w:r>
                            <w:r>
                              <w:rPr>
                                <w:noProof/>
                                <w:sz w:val="19"/>
                                <w:szCs w:val="19"/>
                              </w:rPr>
                              <w:t xml:space="preserve"> </w:t>
                            </w:r>
                            <w:r w:rsidRPr="00D66F85">
                              <w:rPr>
                                <w:noProof/>
                                <w:sz w:val="18"/>
                                <w:szCs w:val="18"/>
                                <w:lang w:val="en-GB"/>
                              </w:rPr>
                              <w:t>CFF = I * (1+i)</w:t>
                            </w:r>
                            <w:r w:rsidRPr="00D66F85">
                              <w:rPr>
                                <w:noProof/>
                                <w:sz w:val="18"/>
                                <w:szCs w:val="18"/>
                                <w:vertAlign w:val="superscript"/>
                                <w:lang w:val="en-GB"/>
                              </w:rPr>
                              <w:t xml:space="preserve">n </w:t>
                            </w:r>
                            <w:r w:rsidRPr="00D66F85">
                              <w:rPr>
                                <w:noProof/>
                                <w:sz w:val="18"/>
                                <w:szCs w:val="18"/>
                                <w:lang w:val="en-GB"/>
                              </w:rPr>
                              <w:t>/ ((1+i)</w:t>
                            </w:r>
                            <w:r w:rsidRPr="00D66F85">
                              <w:rPr>
                                <w:noProof/>
                                <w:sz w:val="18"/>
                                <w:szCs w:val="18"/>
                                <w:vertAlign w:val="superscript"/>
                                <w:lang w:val="en-GB"/>
                              </w:rPr>
                              <w:t>n</w:t>
                            </w:r>
                            <w:r w:rsidRPr="00D66F85">
                              <w:rPr>
                                <w:noProof/>
                                <w:sz w:val="18"/>
                                <w:szCs w:val="18"/>
                                <w:lang w:val="en-GB"/>
                              </w:rPr>
                              <w:t>-1) with I = discount rate = 10% and n = lifetime of the transformer (20 years)</w:t>
                            </w: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Pr="0095594B" w:rsidRDefault="00540FEA" w:rsidP="00D66F85">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rsidR="00540FEA" w:rsidRPr="0095594B" w:rsidRDefault="00540FEA" w:rsidP="00D66F8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rsidR="00540FEA" w:rsidRPr="004C0D28" w:rsidRDefault="00540FEA" w:rsidP="00D66F85">
                            <w:pPr>
                              <w:rPr>
                                <w:noProof/>
                                <w:lang w:val="en-GB"/>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Pr="002044AF" w:rsidRDefault="00540FEA" w:rsidP="00D66F85">
                            <w:pPr>
                              <w:rPr>
                                <w:sz w:val="18"/>
                              </w:rPr>
                            </w:pPr>
                            <w:r w:rsidRPr="00A21E05">
                              <w:rPr>
                                <w:i/>
                                <w:noProof/>
                                <w:sz w:val="18"/>
                              </w:rPr>
                              <w:t>Source:</w:t>
                            </w:r>
                            <w:r>
                              <w:rPr>
                                <w:noProof/>
                                <w:sz w:val="18"/>
                              </w:rPr>
                              <w:t xml:space="preserve"> Eskom website (2017)</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6" type="#_x0000_t202" style="position:absolute;margin-left:0;margin-top:0;width:530.7pt;height:640.8pt;z-index:251644928;visibility:visible;mso-wrap-style:square;mso-width-percent:0;mso-height-percent:0;mso-wrap-distance-left:9pt;mso-wrap-distance-top:3.6pt;mso-wrap-distance-right:9pt;mso-wrap-distance-bottom:3.6pt;mso-position-horizontal:center;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" filled="f" strokecolor="#bfbfbf" strokeweight="1.5pt">
                <v:textbox>
                  <w:txbxContent>
                    <w:p w:rsidR="00540FEA" w:rsidRDefault="00540FEA" w:rsidP="00D66F85">
                      <w:pPr>
                        <w:pStyle w:val="Caption"/>
                        <w:rPr>
                          <w:rFonts w:ascii="Arial" w:hAnsi="Arial" w:cs="Arial"/>
                          <w:color w:val="2E74B5"/>
                          <w:sz w:val="18"/>
                        </w:rPr>
                      </w:pPr>
                      <w:bookmarkStart w:id="378" w:name="_Ref292018"/>
                      <w:bookmarkStart w:id="379" w:name="_Toc179865"/>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41</w:t>
                      </w:r>
                      <w:r w:rsidRPr="00A21E05">
                        <w:rPr>
                          <w:rFonts w:ascii="Arial" w:hAnsi="Arial" w:cs="Arial"/>
                          <w:color w:val="2E74B5"/>
                          <w:sz w:val="18"/>
                        </w:rPr>
                        <w:fldChar w:fldCharType="end"/>
                      </w:r>
                      <w:bookmarkEnd w:id="378"/>
                      <w:r>
                        <w:rPr>
                          <w:rFonts w:ascii="Arial" w:hAnsi="Arial" w:cs="Arial"/>
                          <w:color w:val="2E74B5"/>
                          <w:sz w:val="18"/>
                        </w:rPr>
                        <w:tab/>
                        <w:t>Assumptions and base data calculations, HE transformers, energy savings and GHG reduction</w:t>
                      </w:r>
                      <w:bookmarkEnd w:id="379"/>
                    </w:p>
                    <w:p w:rsidR="00540FEA" w:rsidRDefault="00540FEA" w:rsidP="00D66F85">
                      <w:pPr>
                        <w:rPr>
                          <w:noProof/>
                          <w:sz w:val="19"/>
                          <w:szCs w:val="19"/>
                        </w:rPr>
                      </w:pPr>
                    </w:p>
                    <w:p w:rsidR="00540FEA" w:rsidRDefault="00540FEA" w:rsidP="00D66F85">
                      <w:pPr>
                        <w:rPr>
                          <w:noProof/>
                          <w:sz w:val="19"/>
                          <w:szCs w:val="19"/>
                        </w:rPr>
                      </w:pPr>
                      <w:r w:rsidRPr="00E22470">
                        <w:rPr>
                          <w:noProof/>
                          <w:sz w:val="19"/>
                          <w:szCs w:val="19"/>
                        </w:rPr>
                        <w:t>Information on the number of transformers in South Africa’s distribution system is based on data from the regulator NERSA and the state utility Eskom. Unfortunately, the latest consistent set of data is from the year 2012. Data have been extrapolated to estimate the amount in Eskom’s grid and the municipal power distribution grids in 2017, the base year for the scenario analysis of Box 25. According to Eskom about 10,000 new transformers are added each year and a similar number of old transformers replaced, i.e. 20,000 in total, a growth of about 3% a year. It is assumed that in the baseline that not all of these are replaced with HE (high-efficiency) equipment. In the baseline, to the stock 2,500 HE distribution transformers are added in 2019 and thereafter, in each year 2,500*(1+3%). In the alternative scenario it is assumed not only all that all the 20,000 transformers sold are high-efficient, but that the penetration rate increases also; are added; in the alternative scenario this is 20,000*(1+9%).</w:t>
                      </w:r>
                    </w:p>
                    <w:p w:rsidR="00540FEA" w:rsidRDefault="00540FEA" w:rsidP="00D66F85">
                      <w:pPr>
                        <w:rPr>
                          <w:noProof/>
                        </w:rPr>
                      </w:pPr>
                      <w:r w:rsidRPr="00676649">
                        <w:rPr>
                          <w:noProof/>
                        </w:rPr>
                        <w:drawing>
                          <wp:inline distT="0" distB="0" distL="0" distR="0">
                            <wp:extent cx="3037840" cy="670560"/>
                            <wp:effectExtent l="0" t="0" r="0" b="0"/>
                            <wp:docPr id="41"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3037840" cy="670560"/>
                                    </a:xfrm>
                                    <a:prstGeom prst="rect">
                                      <a:avLst/>
                                    </a:prstGeom>
                                    <a:noFill/>
                                    <a:ln>
                                      <a:noFill/>
                                    </a:ln>
                                  </pic:spPr>
                                </pic:pic>
                              </a:graphicData>
                            </a:graphic>
                          </wp:inline>
                        </w:drawing>
                      </w:r>
                    </w:p>
                    <w:p w:rsidR="00540FEA" w:rsidRPr="00E22470" w:rsidRDefault="00540FEA" w:rsidP="00D66F85">
                      <w:pPr>
                        <w:rPr>
                          <w:noProof/>
                          <w:sz w:val="18"/>
                          <w:szCs w:val="18"/>
                        </w:rPr>
                      </w:pPr>
                      <w:r>
                        <w:rPr>
                          <w:noProof/>
                          <w:sz w:val="18"/>
                          <w:szCs w:val="18"/>
                        </w:rPr>
                        <w:t xml:space="preserve">Source: NERSA, </w:t>
                      </w:r>
                      <w:r>
                        <w:rPr>
                          <w:i/>
                          <w:noProof/>
                          <w:sz w:val="18"/>
                          <w:szCs w:val="18"/>
                        </w:rPr>
                        <w:t xml:space="preserve">Electricity Supply Statistics </w:t>
                      </w:r>
                      <w:r>
                        <w:rPr>
                          <w:noProof/>
                          <w:sz w:val="18"/>
                          <w:szCs w:val="18"/>
                        </w:rPr>
                        <w:t xml:space="preserve">(2012), 2017 data are estimates, </w:t>
                      </w:r>
                      <w:r>
                        <w:rPr>
                          <w:i/>
                          <w:noProof/>
                          <w:sz w:val="18"/>
                          <w:szCs w:val="18"/>
                        </w:rPr>
                        <w:t xml:space="preserve">ESKOM, </w:t>
                      </w:r>
                      <w:r>
                        <w:rPr>
                          <w:noProof/>
                          <w:sz w:val="18"/>
                          <w:szCs w:val="18"/>
                        </w:rPr>
                        <w:t xml:space="preserve">p.c., DHV-GL </w:t>
                      </w:r>
                      <w:r>
                        <w:rPr>
                          <w:i/>
                          <w:noProof/>
                          <w:sz w:val="18"/>
                          <w:szCs w:val="18"/>
                        </w:rPr>
                        <w:t>Country Profile: South Africa</w:t>
                      </w:r>
                      <w:r>
                        <w:rPr>
                          <w:noProof/>
                          <w:sz w:val="18"/>
                          <w:szCs w:val="18"/>
                        </w:rPr>
                        <w:t xml:space="preserve"> (2018)</w:t>
                      </w:r>
                    </w:p>
                    <w:p w:rsidR="00540FEA" w:rsidRDefault="00540FEA" w:rsidP="00D66F85">
                      <w:pPr>
                        <w:rPr>
                          <w:noProof/>
                          <w:sz w:val="19"/>
                          <w:szCs w:val="19"/>
                        </w:rPr>
                      </w:pPr>
                    </w:p>
                    <w:p w:rsidR="00540FEA" w:rsidRDefault="00540FEA" w:rsidP="00D66F85">
                      <w:pPr>
                        <w:rPr>
                          <w:noProof/>
                          <w:sz w:val="19"/>
                          <w:szCs w:val="19"/>
                        </w:rPr>
                      </w:pPr>
                      <w:r w:rsidRPr="00E22470">
                        <w:rPr>
                          <w:noProof/>
                          <w:sz w:val="19"/>
                          <w:szCs w:val="19"/>
                        </w:rPr>
                        <w:t>The following table shows how the energy savings of a high-efficient transformer is calculated:</w:t>
                      </w:r>
                    </w:p>
                    <w:p w:rsidR="00540FEA" w:rsidRPr="00332519" w:rsidRDefault="00540FEA" w:rsidP="00D66F85">
                      <w:pPr>
                        <w:rPr>
                          <w:noProof/>
                          <w:sz w:val="19"/>
                          <w:szCs w:val="19"/>
                        </w:rPr>
                      </w:pPr>
                      <w:r w:rsidRPr="00332519">
                        <w:rPr>
                          <w:noProof/>
                          <w:sz w:val="19"/>
                          <w:szCs w:val="19"/>
                        </w:rPr>
                        <w:t xml:space="preserve"> Losses of a transformer (in kWh/yr) = (P</w:t>
                      </w:r>
                      <w:r w:rsidRPr="00332519">
                        <w:rPr>
                          <w:noProof/>
                          <w:sz w:val="19"/>
                          <w:szCs w:val="19"/>
                          <w:vertAlign w:val="subscript"/>
                        </w:rPr>
                        <w:t>LL</w:t>
                      </w:r>
                      <w:r w:rsidRPr="00332519">
                        <w:rPr>
                          <w:noProof/>
                          <w:sz w:val="19"/>
                          <w:szCs w:val="19"/>
                        </w:rPr>
                        <w:t>*365*24*load factor + P</w:t>
                      </w:r>
                      <w:r w:rsidRPr="00332519">
                        <w:rPr>
                          <w:noProof/>
                          <w:sz w:val="19"/>
                          <w:szCs w:val="19"/>
                          <w:vertAlign w:val="subscript"/>
                        </w:rPr>
                        <w:t>NL</w:t>
                      </w:r>
                      <w:r w:rsidRPr="00332519">
                        <w:rPr>
                          <w:noProof/>
                          <w:sz w:val="19"/>
                          <w:szCs w:val="19"/>
                        </w:rPr>
                        <w:t>*365*24) * (cost of power)</w:t>
                      </w:r>
                    </w:p>
                    <w:p w:rsidR="00540FEA" w:rsidRPr="00332519" w:rsidRDefault="00540FEA" w:rsidP="00D66F85">
                      <w:pPr>
                        <w:rPr>
                          <w:noProof/>
                          <w:sz w:val="19"/>
                          <w:szCs w:val="19"/>
                        </w:rPr>
                      </w:pPr>
                      <w:r w:rsidRPr="00332519">
                        <w:rPr>
                          <w:noProof/>
                          <w:sz w:val="19"/>
                          <w:szCs w:val="19"/>
                        </w:rPr>
                        <w:t xml:space="preserve">Total owning cost (TOC) = purchase price + present value of future (no load losses + load losses). </w:t>
                      </w:r>
                    </w:p>
                    <w:p w:rsidR="00540FEA" w:rsidRDefault="00540FEA" w:rsidP="00D66F85">
                      <w:pPr>
                        <w:rPr>
                          <w:noProof/>
                        </w:rPr>
                      </w:pPr>
                      <w:r w:rsidRPr="00676649">
                        <w:rPr>
                          <w:noProof/>
                        </w:rPr>
                        <w:drawing>
                          <wp:inline distT="0" distB="0" distL="0" distR="0">
                            <wp:extent cx="5293360" cy="3200400"/>
                            <wp:effectExtent l="0" t="0" r="0" b="0"/>
                            <wp:docPr id="42"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48">
                                      <a:extLst>
                                        <a:ext uri="{28A0092B-C50C-407E-A947-70E740481C1C}">
                                          <a14:useLocalDpi xmlns:a14="http://schemas.microsoft.com/office/drawing/2010/main" val="0"/>
                                        </a:ext>
                                      </a:extLst>
                                    </a:blip>
                                    <a:srcRect/>
                                    <a:stretch>
                                      <a:fillRect/>
                                    </a:stretch>
                                  </pic:blipFill>
                                  <pic:spPr bwMode="auto">
                                    <a:xfrm>
                                      <a:off x="0" y="0"/>
                                      <a:ext cx="5293360" cy="3200400"/>
                                    </a:xfrm>
                                    <a:prstGeom prst="rect">
                                      <a:avLst/>
                                    </a:prstGeom>
                                    <a:noFill/>
                                    <a:ln>
                                      <a:noFill/>
                                    </a:ln>
                                  </pic:spPr>
                                </pic:pic>
                              </a:graphicData>
                            </a:graphic>
                          </wp:inline>
                        </w:drawing>
                      </w:r>
                    </w:p>
                    <w:p w:rsidR="00540FEA" w:rsidRDefault="00540FEA" w:rsidP="00D66F85">
                      <w:pPr>
                        <w:rPr>
                          <w:noProof/>
                          <w:sz w:val="19"/>
                          <w:szCs w:val="19"/>
                        </w:rPr>
                      </w:pPr>
                      <w:r w:rsidRPr="00332519">
                        <w:rPr>
                          <w:noProof/>
                          <w:sz w:val="19"/>
                          <w:szCs w:val="19"/>
                        </w:rPr>
                        <w:t>Estimates on transformers in DHV-GL (2018) give 662,655 with an average size of 315 kVA (11 kV/0.4 kV). Transformers come in different size, ranging from 25 to 2,500 kVA, but</w:t>
                      </w:r>
                      <w:r>
                        <w:rPr>
                          <w:noProof/>
                          <w:sz w:val="19"/>
                          <w:szCs w:val="19"/>
                        </w:rPr>
                        <w:t xml:space="preserve"> there are no </w:t>
                      </w:r>
                      <w:r w:rsidRPr="00332519">
                        <w:rPr>
                          <w:noProof/>
                          <w:sz w:val="19"/>
                          <w:szCs w:val="19"/>
                        </w:rPr>
                        <w:t>statistics on numbers per size category. The table gives two calculation examples, for a 750 kVA and a 75 kVA transformer. Assuming that 35% are 750 kVA (or the average of 300-1500 kVA) and  65% are 75 kVA (or the average of the range 25-300 kVA) gives an average szie of 318 kVA.</w:t>
                      </w:r>
                    </w:p>
                    <w:p w:rsidR="00540FEA" w:rsidRPr="00332519" w:rsidRDefault="00540FEA" w:rsidP="00D66F85">
                      <w:pPr>
                        <w:rPr>
                          <w:noProof/>
                          <w:sz w:val="19"/>
                          <w:szCs w:val="19"/>
                        </w:rPr>
                      </w:pPr>
                      <w:r w:rsidRPr="00332519">
                        <w:rPr>
                          <w:noProof/>
                          <w:sz w:val="19"/>
                          <w:szCs w:val="19"/>
                        </w:rPr>
                        <w:t>The present value is calculated by dividing monetary value of the loss by the capital recovery factor</w:t>
                      </w:r>
                      <w:r>
                        <w:rPr>
                          <w:noProof/>
                          <w:sz w:val="19"/>
                          <w:szCs w:val="19"/>
                        </w:rPr>
                        <w:t>*</w:t>
                      </w:r>
                      <w:r w:rsidRPr="00332519">
                        <w:rPr>
                          <w:noProof/>
                          <w:sz w:val="19"/>
                          <w:szCs w:val="19"/>
                        </w:rPr>
                        <w:t>.  Prices of standards and efficient transformers are based on data provided by Eskom</w:t>
                      </w:r>
                      <w:r>
                        <w:rPr>
                          <w:noProof/>
                          <w:sz w:val="19"/>
                          <w:szCs w:val="19"/>
                        </w:rPr>
                        <w:t xml:space="preserve">; infon on </w:t>
                      </w:r>
                      <w:r w:rsidRPr="00332519">
                        <w:rPr>
                          <w:noProof/>
                          <w:sz w:val="19"/>
                          <w:szCs w:val="19"/>
                        </w:rPr>
                        <w:t xml:space="preserve">International Copper Association (see </w:t>
                      </w:r>
                      <w:r w:rsidRPr="00332519">
                        <w:rPr>
                          <w:i/>
                          <w:noProof/>
                          <w:sz w:val="19"/>
                          <w:szCs w:val="19"/>
                        </w:rPr>
                        <w:t>Introduction to Transformer Losses</w:t>
                      </w:r>
                      <w:r w:rsidRPr="00332519">
                        <w:rPr>
                          <w:noProof/>
                          <w:sz w:val="19"/>
                          <w:szCs w:val="19"/>
                        </w:rPr>
                        <w:t xml:space="preserve"> from </w:t>
                      </w:r>
                      <w:r w:rsidRPr="00332519">
                        <w:rPr>
                          <w:i/>
                          <w:noProof/>
                          <w:sz w:val="19"/>
                          <w:szCs w:val="19"/>
                        </w:rPr>
                        <w:t>Premium-efficiency Motors and Transformers)</w:t>
                      </w:r>
                      <w:r>
                        <w:rPr>
                          <w:i/>
                          <w:noProof/>
                          <w:sz w:val="19"/>
                          <w:szCs w:val="19"/>
                        </w:rPr>
                        <w:t xml:space="preserve"> </w:t>
                      </w:r>
                      <w:r>
                        <w:rPr>
                          <w:noProof/>
                          <w:sz w:val="19"/>
                          <w:szCs w:val="19"/>
                        </w:rPr>
                        <w:t xml:space="preserve">and the articles </w:t>
                      </w:r>
                      <w:r w:rsidRPr="00D66F85">
                        <w:rPr>
                          <w:i/>
                          <w:noProof/>
                          <w:sz w:val="19"/>
                          <w:szCs w:val="19"/>
                        </w:rPr>
                        <w:t>Reducing South Africa’s electrical distribution transformer losses</w:t>
                      </w:r>
                      <w:r>
                        <w:rPr>
                          <w:i/>
                          <w:noProof/>
                          <w:sz w:val="19"/>
                          <w:szCs w:val="19"/>
                        </w:rPr>
                        <w:t xml:space="preserve"> </w:t>
                      </w:r>
                      <w:r w:rsidRPr="00D66F85">
                        <w:rPr>
                          <w:noProof/>
                          <w:sz w:val="19"/>
                          <w:szCs w:val="19"/>
                        </w:rPr>
                        <w:t>(Amadi, DeKock, 2015)</w:t>
                      </w:r>
                      <w:r>
                        <w:rPr>
                          <w:noProof/>
                          <w:sz w:val="19"/>
                          <w:szCs w:val="19"/>
                        </w:rPr>
                        <w:t xml:space="preserve"> and </w:t>
                      </w:r>
                      <w:r>
                        <w:rPr>
                          <w:i/>
                          <w:noProof/>
                          <w:sz w:val="19"/>
                          <w:szCs w:val="19"/>
                        </w:rPr>
                        <w:t xml:space="preserve">Low-loss transformers in a South African context </w:t>
                      </w:r>
                      <w:r>
                        <w:rPr>
                          <w:noProof/>
                          <w:sz w:val="19"/>
                          <w:szCs w:val="19"/>
                        </w:rPr>
                        <w:t>(Stanford et.al., PowerTech Transformers)</w:t>
                      </w:r>
                    </w:p>
                    <w:p w:rsidR="00540FEA" w:rsidRDefault="00540FEA" w:rsidP="00D66F85">
                      <w:pPr>
                        <w:rPr>
                          <w:noProof/>
                          <w:sz w:val="19"/>
                          <w:szCs w:val="19"/>
                        </w:rPr>
                      </w:pPr>
                    </w:p>
                    <w:p w:rsidR="00540FEA" w:rsidRPr="00D66F85" w:rsidRDefault="00540FEA" w:rsidP="00D66F85">
                      <w:pPr>
                        <w:rPr>
                          <w:noProof/>
                          <w:sz w:val="19"/>
                          <w:szCs w:val="19"/>
                        </w:rPr>
                      </w:pPr>
                      <w:r w:rsidRPr="00D66F85">
                        <w:rPr>
                          <w:noProof/>
                          <w:sz w:val="19"/>
                          <w:szCs w:val="19"/>
                        </w:rPr>
                        <w:t>*</w:t>
                      </w:r>
                      <w:r>
                        <w:rPr>
                          <w:noProof/>
                          <w:sz w:val="19"/>
                          <w:szCs w:val="19"/>
                        </w:rPr>
                        <w:t xml:space="preserve"> </w:t>
                      </w:r>
                      <w:r w:rsidRPr="00D66F85">
                        <w:rPr>
                          <w:noProof/>
                          <w:sz w:val="18"/>
                          <w:szCs w:val="18"/>
                          <w:lang w:val="en-GB"/>
                        </w:rPr>
                        <w:t>CFF = I * (1+i)</w:t>
                      </w:r>
                      <w:r w:rsidRPr="00D66F85">
                        <w:rPr>
                          <w:noProof/>
                          <w:sz w:val="18"/>
                          <w:szCs w:val="18"/>
                          <w:vertAlign w:val="superscript"/>
                          <w:lang w:val="en-GB"/>
                        </w:rPr>
                        <w:t xml:space="preserve">n </w:t>
                      </w:r>
                      <w:r w:rsidRPr="00D66F85">
                        <w:rPr>
                          <w:noProof/>
                          <w:sz w:val="18"/>
                          <w:szCs w:val="18"/>
                          <w:lang w:val="en-GB"/>
                        </w:rPr>
                        <w:t>/ ((1+i)</w:t>
                      </w:r>
                      <w:r w:rsidRPr="00D66F85">
                        <w:rPr>
                          <w:noProof/>
                          <w:sz w:val="18"/>
                          <w:szCs w:val="18"/>
                          <w:vertAlign w:val="superscript"/>
                          <w:lang w:val="en-GB"/>
                        </w:rPr>
                        <w:t>n</w:t>
                      </w:r>
                      <w:r w:rsidRPr="00D66F85">
                        <w:rPr>
                          <w:noProof/>
                          <w:sz w:val="18"/>
                          <w:szCs w:val="18"/>
                          <w:lang w:val="en-GB"/>
                        </w:rPr>
                        <w:t>-1) with I = discount rate = 10% and n = lifetime of the transformer (20 years)</w:t>
                      </w: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Pr="0095594B" w:rsidRDefault="00540FEA" w:rsidP="00D66F85">
                      <w:pPr>
                        <w:rPr>
                          <w:noProof/>
                          <w:sz w:val="18"/>
                          <w:szCs w:val="18"/>
                          <w:lang w:val="en-GB"/>
                        </w:rPr>
                      </w:pPr>
                      <w:r w:rsidRPr="0095594B">
                        <w:rPr>
                          <w:noProof/>
                          <w:sz w:val="18"/>
                          <w:szCs w:val="18"/>
                          <w:lang w:val="en-GB"/>
                        </w:rPr>
                        <w:t>The savings potential assumes minimum energy performance standards (MEPS) are implemented in 2020 at level equivalent to the present day (2015) best global MEPS that are currently implemented.</w:t>
                      </w:r>
                      <w:r w:rsidRPr="0095594B">
                        <w:t xml:space="preserve"> </w:t>
                      </w:r>
                      <w:r w:rsidRPr="0095594B">
                        <w:rPr>
                          <w:noProof/>
                          <w:sz w:val="18"/>
                          <w:szCs w:val="18"/>
                          <w:lang w:val="en-GB"/>
                        </w:rPr>
                        <w:t>The analysis uses CLASP‘s and Lawrence Berkeley National Laboratory's Policy Analysis Modeling System (PAMS) to forecast the impacts from implementing policies that</w:t>
                      </w:r>
                      <w:r>
                        <w:rPr>
                          <w:noProof/>
                          <w:sz w:val="18"/>
                          <w:szCs w:val="18"/>
                          <w:lang w:val="en-GB"/>
                        </w:rPr>
                        <w:t xml:space="preserve"> </w:t>
                      </w:r>
                      <w:r w:rsidRPr="0095594B">
                        <w:rPr>
                          <w:noProof/>
                          <w:sz w:val="18"/>
                          <w:szCs w:val="18"/>
                          <w:lang w:val="en-GB"/>
                        </w:rPr>
                        <w:t xml:space="preserve">improve the energy efficiency of new household air conditioners and refrigerators. For lighting, electric motors, and power and distribution transformers individual </w:t>
                      </w:r>
                      <w:r>
                        <w:rPr>
                          <w:noProof/>
                          <w:sz w:val="18"/>
                          <w:szCs w:val="18"/>
                          <w:lang w:val="en-GB"/>
                        </w:rPr>
                        <w:t>–</w:t>
                      </w:r>
                      <w:r w:rsidRPr="0095594B">
                        <w:rPr>
                          <w:noProof/>
                          <w:sz w:val="18"/>
                          <w:szCs w:val="18"/>
                          <w:lang w:val="en-GB"/>
                        </w:rPr>
                        <w:t xml:space="preserve"> models</w:t>
                      </w:r>
                      <w:r>
                        <w:rPr>
                          <w:noProof/>
                          <w:sz w:val="18"/>
                          <w:szCs w:val="18"/>
                          <w:lang w:val="en-GB"/>
                        </w:rPr>
                        <w:t xml:space="preserve"> </w:t>
                      </w:r>
                      <w:r w:rsidRPr="0095594B">
                        <w:rPr>
                          <w:noProof/>
                          <w:sz w:val="18"/>
                          <w:szCs w:val="18"/>
                          <w:lang w:val="en-GB"/>
                        </w:rPr>
                        <w:t>were developed, taking into account country level data, expected GDP growth, and industrialization levels</w:t>
                      </w:r>
                    </w:p>
                    <w:p w:rsidR="00540FEA" w:rsidRPr="0095594B" w:rsidRDefault="00540FEA" w:rsidP="00D66F8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(Dec 2016); en.lighten, United for Efficiency</w:t>
                      </w:r>
                    </w:p>
                    <w:p w:rsidR="00540FEA" w:rsidRPr="004C0D28" w:rsidRDefault="00540FEA" w:rsidP="00D66F85">
                      <w:pPr>
                        <w:rPr>
                          <w:noProof/>
                          <w:lang w:val="en-GB"/>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Default="00540FEA" w:rsidP="00D66F85">
                      <w:pPr>
                        <w:rPr>
                          <w:noProof/>
                        </w:rPr>
                      </w:pPr>
                    </w:p>
                    <w:p w:rsidR="00540FEA" w:rsidRPr="002044AF" w:rsidRDefault="00540FEA" w:rsidP="00D66F85">
                      <w:pPr>
                        <w:rPr>
                          <w:sz w:val="18"/>
                        </w:rPr>
                      </w:pPr>
                      <w:r w:rsidRPr="00A21E05">
                        <w:rPr>
                          <w:i/>
                          <w:noProof/>
                          <w:sz w:val="18"/>
                        </w:rPr>
                        <w:t>Source:</w:t>
                      </w:r>
                      <w:r>
                        <w:rPr>
                          <w:noProof/>
                          <w:sz w:val="18"/>
                        </w:rPr>
                        <w:t xml:space="preserve"> Eskom website (2017)</w:t>
                      </w:r>
                    </w:p>
                  </w:txbxContent>
                </v:textbox>
                <w10:wrap type="topAndBottom" anchorx="margin" anchory="margin"/>
              </v:shape>
            </w:pict>
          </mc:Fallback>
        </mc:AlternateContent>
      </w:r>
      <w:r w:rsidR="00D66F85" w:rsidRPr="0057545E">
        <w:rPr>
          <w:lang w:val="en-GB" w:eastAsia="en-GB"/>
        </w:rPr>
        <w:br w:type="page"/>
      </w:r>
    </w:p>
    <w:p w:rsidR="00EB411A" w:rsidRPr="0057545E" w:rsidRDefault="003A2690" w:rsidP="00F21F31">
      <w:pPr>
        <w:spacing w:after="0"/>
        <w:rPr>
          <w:lang w:val="en-GB" w:eastAsia="en-GB"/>
        </w:rPr>
      </w:pPr>
      <w:r>
        <w:rPr>
          <w:noProof/>
        </w:rPr>
        <w:lastRenderedPageBreak/>
        <mc:AlternateContent>
          <mc:Choice Requires="wps">
            <w:drawing>
              <wp:anchor distT="45720" distB="45720" distL="114300" distR="114300" simplePos="0" relativeHeight="251646976" behindDoc="0" locked="0" layoutInCell="1" allowOverlap="1">
                <wp:simplePos x="0" y="0"/>
                <wp:positionH relativeFrom="page">
                  <wp:posOffset>538480</wp:posOffset>
                </wp:positionH>
                <wp:positionV relativeFrom="page">
                  <wp:posOffset>863600</wp:posOffset>
                </wp:positionV>
                <wp:extent cx="6837680" cy="5374640"/>
                <wp:effectExtent l="0" t="0" r="1270" b="0"/>
                <wp:wrapTopAndBottom/>
                <wp:docPr id="186"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7680" cy="5374640"/>
                        </a:xfrm>
                        <a:prstGeom prst="rect">
                          <a:avLst/>
                        </a:prstGeom>
                        <a:noFill/>
                        <a:ln w="15875">
                          <a:solidFill>
                            <a:sysClr val="window" lastClr="FFFFFF">
                              <a:lumMod val="75000"/>
                            </a:sysClr>
                          </a:solidFill>
                        </a:ln>
                      </wps:spPr>
                      <wps:txbx>
                        <w:txbxContent>
                          <w:p w:rsidR="00540FEA" w:rsidRDefault="00540FEA" w:rsidP="004A4F75">
                            <w:pPr>
                              <w:pStyle w:val="Caption"/>
                              <w:rPr>
                                <w:rFonts w:ascii="Arial" w:hAnsi="Arial" w:cs="Arial"/>
                                <w:color w:val="2E74B5"/>
                                <w:sz w:val="18"/>
                              </w:rPr>
                            </w:pPr>
                            <w:bookmarkStart w:id="319" w:name="_Ref535843143"/>
                            <w:bookmarkStart w:id="320" w:name="_Toc17986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42</w:t>
                            </w:r>
                            <w:r w:rsidRPr="00A21E05">
                              <w:rPr>
                                <w:rFonts w:ascii="Arial" w:hAnsi="Arial" w:cs="Arial"/>
                                <w:color w:val="2E74B5"/>
                                <w:sz w:val="18"/>
                              </w:rPr>
                              <w:fldChar w:fldCharType="end"/>
                            </w:r>
                            <w:bookmarkEnd w:id="319"/>
                            <w:r>
                              <w:rPr>
                                <w:rFonts w:ascii="Arial" w:hAnsi="Arial" w:cs="Arial"/>
                                <w:color w:val="2E74B5"/>
                                <w:sz w:val="18"/>
                              </w:rPr>
                              <w:tab/>
                              <w:t>Assumptions and base data calculations, LED lighting, market share and prices (2017)</w:t>
                            </w:r>
                            <w:bookmarkEnd w:id="320"/>
                          </w:p>
                          <w:p w:rsidR="00540FEA" w:rsidRDefault="00540FEA" w:rsidP="004A4F75">
                            <w:pPr>
                              <w:rPr>
                                <w:noProof/>
                                <w:sz w:val="19"/>
                                <w:szCs w:val="19"/>
                              </w:rPr>
                            </w:pPr>
                          </w:p>
                          <w:p w:rsidR="00540FEA" w:rsidRDefault="00540FEA" w:rsidP="004A4F75">
                            <w:pPr>
                              <w:rPr>
                                <w:sz w:val="19"/>
                                <w:szCs w:val="19"/>
                              </w:rPr>
                            </w:pPr>
                            <w:r w:rsidRPr="004A4F75">
                              <w:rPr>
                                <w:sz w:val="19"/>
                                <w:szCs w:val="19"/>
                              </w:rPr>
                              <w:t>Information on the stock of lamps is taken from the U4E country assessment for South Africa as well as information on the average wattage per lamp and the estimated usage per day of lamps. It is difficult to get reliable information on prices of lamps. These may differ per sales outlet. We have tried as much as possible use a consistent set of data (number of lamps, prices of lamps, exchange rate) with as base year 2017</w:t>
                            </w:r>
                            <w:r>
                              <w:rPr>
                                <w:sz w:val="19"/>
                                <w:szCs w:val="19"/>
                              </w:rPr>
                              <w:t xml:space="preserve">. Assuming the stock of lamps to grow annually with population growth (1.5%; </w:t>
                            </w:r>
                            <w:r w:rsidRPr="00563DF2">
                              <w:rPr>
                                <w:sz w:val="19"/>
                                <w:szCs w:val="19"/>
                              </w:rPr>
                              <w:t>www.ieconomics.com</w:t>
                            </w:r>
                            <w:r>
                              <w:rPr>
                                <w:sz w:val="19"/>
                                <w:szCs w:val="19"/>
                              </w:rPr>
                              <w:t>), the stock of lamps in 2017 is 698.39 million units (total of all sectors, residential, commercial/industrial, public sector, incl. street lighting)</w:t>
                            </w:r>
                          </w:p>
                          <w:p w:rsidR="00540FEA" w:rsidRDefault="00540FEA" w:rsidP="004A4F75">
                            <w:pPr>
                              <w:rPr>
                                <w:noProof/>
                                <w:sz w:val="19"/>
                                <w:szCs w:val="19"/>
                              </w:rPr>
                            </w:pPr>
                            <w:r w:rsidRPr="00676649">
                              <w:rPr>
                                <w:noProof/>
                              </w:rPr>
                              <w:drawing>
                                <wp:inline distT="0" distB="0" distL="0" distR="0">
                                  <wp:extent cx="3373120" cy="1605280"/>
                                  <wp:effectExtent l="0" t="0" r="0" b="0"/>
                                  <wp:docPr id="43"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49">
                                            <a:extLst>
                                              <a:ext uri="{28A0092B-C50C-407E-A947-70E740481C1C}">
                                                <a14:useLocalDpi xmlns:a14="http://schemas.microsoft.com/office/drawing/2010/main" val="0"/>
                                              </a:ext>
                                            </a:extLst>
                                          </a:blip>
                                          <a:srcRect/>
                                          <a:stretch>
                                            <a:fillRect/>
                                          </a:stretch>
                                        </pic:blipFill>
                                        <pic:spPr bwMode="auto">
                                          <a:xfrm>
                                            <a:off x="0" y="0"/>
                                            <a:ext cx="3373120" cy="160528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3119120" cy="1615440"/>
                                  <wp:effectExtent l="0" t="0" r="0" b="0"/>
                                  <wp:docPr id="44"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50">
                                            <a:extLst>
                                              <a:ext uri="{28A0092B-C50C-407E-A947-70E740481C1C}">
                                                <a14:useLocalDpi xmlns:a14="http://schemas.microsoft.com/office/drawing/2010/main" val="0"/>
                                              </a:ext>
                                            </a:extLst>
                                          </a:blip>
                                          <a:srcRect/>
                                          <a:stretch>
                                            <a:fillRect/>
                                          </a:stretch>
                                        </pic:blipFill>
                                        <pic:spPr bwMode="auto">
                                          <a:xfrm>
                                            <a:off x="0" y="0"/>
                                            <a:ext cx="3119120" cy="1615440"/>
                                          </a:xfrm>
                                          <a:prstGeom prst="rect">
                                            <a:avLst/>
                                          </a:prstGeom>
                                          <a:noFill/>
                                          <a:ln>
                                            <a:noFill/>
                                          </a:ln>
                                        </pic:spPr>
                                      </pic:pic>
                                    </a:graphicData>
                                  </a:graphic>
                                </wp:inline>
                              </w:drawing>
                            </w:r>
                          </w:p>
                          <w:p w:rsidR="00540FEA" w:rsidRDefault="00540FEA" w:rsidP="004A4F75">
                            <w:pPr>
                              <w:rPr>
                                <w:noProof/>
                                <w:sz w:val="19"/>
                                <w:szCs w:val="19"/>
                              </w:rPr>
                            </w:pPr>
                          </w:p>
                          <w:p w:rsidR="00540FEA" w:rsidRDefault="00540FEA" w:rsidP="004A4F75">
                            <w:pPr>
                              <w:rPr>
                                <w:noProof/>
                                <w:sz w:val="19"/>
                                <w:szCs w:val="19"/>
                              </w:rPr>
                            </w:pPr>
                            <w:r w:rsidRPr="00676649">
                              <w:rPr>
                                <w:noProof/>
                              </w:rPr>
                              <w:drawing>
                                <wp:inline distT="0" distB="0" distL="0" distR="0">
                                  <wp:extent cx="2692400" cy="1584960"/>
                                  <wp:effectExtent l="0" t="0" r="0" b="0"/>
                                  <wp:docPr id="45"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692400" cy="158496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1452880" cy="1056640"/>
                                  <wp:effectExtent l="0" t="0" r="0" b="0"/>
                                  <wp:docPr id="46"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52">
                                            <a:extLst>
                                              <a:ext uri="{28A0092B-C50C-407E-A947-70E740481C1C}">
                                                <a14:useLocalDpi xmlns:a14="http://schemas.microsoft.com/office/drawing/2010/main" val="0"/>
                                              </a:ext>
                                            </a:extLst>
                                          </a:blip>
                                          <a:srcRect/>
                                          <a:stretch>
                                            <a:fillRect/>
                                          </a:stretch>
                                        </pic:blipFill>
                                        <pic:spPr bwMode="auto">
                                          <a:xfrm>
                                            <a:off x="0" y="0"/>
                                            <a:ext cx="1452880" cy="1056640"/>
                                          </a:xfrm>
                                          <a:prstGeom prst="rect">
                                            <a:avLst/>
                                          </a:prstGeom>
                                          <a:noFill/>
                                          <a:ln>
                                            <a:noFill/>
                                          </a:ln>
                                        </pic:spPr>
                                      </pic:pic>
                                    </a:graphicData>
                                  </a:graphic>
                                </wp:inline>
                              </w:drawing>
                            </w:r>
                          </w:p>
                          <w:p w:rsidR="00540FEA" w:rsidRDefault="00540FEA" w:rsidP="004A4F75">
                            <w:pPr>
                              <w:rPr>
                                <w:noProof/>
                                <w:sz w:val="19"/>
                                <w:szCs w:val="19"/>
                              </w:rPr>
                            </w:pPr>
                          </w:p>
                          <w:p w:rsidR="00540FEA" w:rsidRDefault="00540FEA" w:rsidP="004A4F7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 xml:space="preserve">(Dec 2016); en.lighten, United for Efficiency, </w:t>
                            </w:r>
                            <w:r w:rsidRPr="00656612">
                              <w:rPr>
                                <w:noProof/>
                                <w:sz w:val="18"/>
                                <w:lang w:val="en-GB"/>
                              </w:rPr>
                              <w:t>South Africa_Lighting_U4E Assessment_.xlsx</w:t>
                            </w:r>
                          </w:p>
                          <w:p w:rsidR="00540FEA" w:rsidRPr="0095594B" w:rsidRDefault="00540FEA" w:rsidP="004A4F75">
                            <w:pPr>
                              <w:rPr>
                                <w:noProof/>
                                <w:sz w:val="18"/>
                                <w:lang w:val="en-GB"/>
                              </w:rPr>
                            </w:pPr>
                            <w:r>
                              <w:rPr>
                                <w:noProof/>
                                <w:sz w:val="18"/>
                                <w:lang w:val="en-GB"/>
                              </w:rPr>
                              <w:t xml:space="preserve">Price of lamps (2018) taken from various website (makro.co.za; </w:t>
                            </w:r>
                            <w:r w:rsidRPr="004206BC">
                              <w:rPr>
                                <w:noProof/>
                                <w:sz w:val="18"/>
                                <w:lang w:val="en-GB"/>
                              </w:rPr>
                              <w:t>www.pricecheck.co.za</w:t>
                            </w:r>
                            <w:r>
                              <w:rPr>
                                <w:noProof/>
                                <w:sz w:val="18"/>
                                <w:lang w:val="en-GB"/>
                              </w:rPr>
                              <w:t xml:space="preserve">; livecopper.za; </w:t>
                            </w:r>
                            <w:r w:rsidRPr="004206BC">
                              <w:rPr>
                                <w:noProof/>
                                <w:sz w:val="18"/>
                                <w:lang w:val="en-GB"/>
                              </w:rPr>
                              <w:t>www.builders.co.za</w:t>
                            </w:r>
                            <w:r>
                              <w:rPr>
                                <w:noProof/>
                                <w:sz w:val="18"/>
                                <w:lang w:val="en-GB"/>
                              </w:rPr>
                              <w:t xml:space="preserve">; lightingwarehouse.za).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left:0;text-align:left;margin-left:42.4pt;margin-top:68pt;width:538.4pt;height:423.2pt;z-index:25164697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" filled="f" strokecolor="#bfbfbf" strokeweight="1.25pt">
                <v:textbox>
                  <w:txbxContent>
                    <w:p w:rsidR="00540FEA" w:rsidRDefault="00540FEA" w:rsidP="004A4F75">
                      <w:pPr>
                        <w:pStyle w:val="Caption"/>
                        <w:rPr>
                          <w:rFonts w:ascii="Arial" w:hAnsi="Arial" w:cs="Arial"/>
                          <w:color w:val="2E74B5"/>
                          <w:sz w:val="18"/>
                        </w:rPr>
                      </w:pPr>
                      <w:bookmarkStart w:id="382" w:name="_Ref535843143"/>
                      <w:bookmarkStart w:id="383" w:name="_Toc179866"/>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42</w:t>
                      </w:r>
                      <w:r w:rsidRPr="00A21E05">
                        <w:rPr>
                          <w:rFonts w:ascii="Arial" w:hAnsi="Arial" w:cs="Arial"/>
                          <w:color w:val="2E74B5"/>
                          <w:sz w:val="18"/>
                        </w:rPr>
                        <w:fldChar w:fldCharType="end"/>
                      </w:r>
                      <w:bookmarkEnd w:id="382"/>
                      <w:r>
                        <w:rPr>
                          <w:rFonts w:ascii="Arial" w:hAnsi="Arial" w:cs="Arial"/>
                          <w:color w:val="2E74B5"/>
                          <w:sz w:val="18"/>
                        </w:rPr>
                        <w:tab/>
                        <w:t>Assumptions and base data calculations, LED lighting, market share and prices (2017)</w:t>
                      </w:r>
                      <w:bookmarkEnd w:id="383"/>
                    </w:p>
                    <w:p w:rsidR="00540FEA" w:rsidRDefault="00540FEA" w:rsidP="004A4F75">
                      <w:pPr>
                        <w:rPr>
                          <w:noProof/>
                          <w:sz w:val="19"/>
                          <w:szCs w:val="19"/>
                        </w:rPr>
                      </w:pPr>
                    </w:p>
                    <w:p w:rsidR="00540FEA" w:rsidRDefault="00540FEA" w:rsidP="004A4F75">
                      <w:pPr>
                        <w:rPr>
                          <w:sz w:val="19"/>
                          <w:szCs w:val="19"/>
                        </w:rPr>
                      </w:pPr>
                      <w:r w:rsidRPr="004A4F75">
                        <w:rPr>
                          <w:sz w:val="19"/>
                          <w:szCs w:val="19"/>
                        </w:rPr>
                        <w:t>Information on the stock of lamps is taken from the U4E country assessment for South Africa as well as information on the average wattage per lamp and the estimated usage per day of lamps. It is difficult to get reliable information on prices of lamps. These may differ per sales outlet. We have tried as much as possible use a consistent set of data (number of lamps, prices of lamps, exchange rate) with as base year 2017</w:t>
                      </w:r>
                      <w:r>
                        <w:rPr>
                          <w:sz w:val="19"/>
                          <w:szCs w:val="19"/>
                        </w:rPr>
                        <w:t xml:space="preserve">. Assuming the stock of lamps to grow annually with population growth (1.5%; </w:t>
                      </w:r>
                      <w:r w:rsidRPr="00563DF2">
                        <w:rPr>
                          <w:sz w:val="19"/>
                          <w:szCs w:val="19"/>
                        </w:rPr>
                        <w:t>www.ieconomics.com</w:t>
                      </w:r>
                      <w:r>
                        <w:rPr>
                          <w:sz w:val="19"/>
                          <w:szCs w:val="19"/>
                        </w:rPr>
                        <w:t>), the stock of lamps in 2017 is 698.39 million units (total of all sectors, residential, commercial/industrial, public sector, incl. street lighting)</w:t>
                      </w:r>
                    </w:p>
                    <w:p w:rsidR="00540FEA" w:rsidRDefault="00540FEA" w:rsidP="004A4F75">
                      <w:pPr>
                        <w:rPr>
                          <w:noProof/>
                          <w:sz w:val="19"/>
                          <w:szCs w:val="19"/>
                        </w:rPr>
                      </w:pPr>
                      <w:r w:rsidRPr="00676649">
                        <w:rPr>
                          <w:noProof/>
                        </w:rPr>
                        <w:drawing>
                          <wp:inline distT="0" distB="0" distL="0" distR="0">
                            <wp:extent cx="3373120" cy="1605280"/>
                            <wp:effectExtent l="0" t="0" r="0" b="0"/>
                            <wp:docPr id="43"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373120" cy="160528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3119120" cy="1615440"/>
                            <wp:effectExtent l="0" t="0" r="0" b="0"/>
                            <wp:docPr id="44"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3119120" cy="1615440"/>
                                    </a:xfrm>
                                    <a:prstGeom prst="rect">
                                      <a:avLst/>
                                    </a:prstGeom>
                                    <a:noFill/>
                                    <a:ln>
                                      <a:noFill/>
                                    </a:ln>
                                  </pic:spPr>
                                </pic:pic>
                              </a:graphicData>
                            </a:graphic>
                          </wp:inline>
                        </w:drawing>
                      </w:r>
                    </w:p>
                    <w:p w:rsidR="00540FEA" w:rsidRDefault="00540FEA" w:rsidP="004A4F75">
                      <w:pPr>
                        <w:rPr>
                          <w:noProof/>
                          <w:sz w:val="19"/>
                          <w:szCs w:val="19"/>
                        </w:rPr>
                      </w:pPr>
                    </w:p>
                    <w:p w:rsidR="00540FEA" w:rsidRDefault="00540FEA" w:rsidP="004A4F75">
                      <w:pPr>
                        <w:rPr>
                          <w:noProof/>
                          <w:sz w:val="19"/>
                          <w:szCs w:val="19"/>
                        </w:rPr>
                      </w:pPr>
                      <w:r w:rsidRPr="00676649">
                        <w:rPr>
                          <w:noProof/>
                        </w:rPr>
                        <w:drawing>
                          <wp:inline distT="0" distB="0" distL="0" distR="0">
                            <wp:extent cx="2692400" cy="1584960"/>
                            <wp:effectExtent l="0" t="0" r="0" b="0"/>
                            <wp:docPr id="45"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2692400" cy="1584960"/>
                                    </a:xfrm>
                                    <a:prstGeom prst="rect">
                                      <a:avLst/>
                                    </a:prstGeom>
                                    <a:noFill/>
                                    <a:ln>
                                      <a:noFill/>
                                    </a:ln>
                                  </pic:spPr>
                                </pic:pic>
                              </a:graphicData>
                            </a:graphic>
                          </wp:inline>
                        </w:drawing>
                      </w:r>
                      <w:r>
                        <w:rPr>
                          <w:noProof/>
                          <w:sz w:val="19"/>
                          <w:szCs w:val="19"/>
                        </w:rPr>
                        <w:t xml:space="preserve">      </w:t>
                      </w:r>
                      <w:r w:rsidRPr="00676649">
                        <w:rPr>
                          <w:noProof/>
                        </w:rPr>
                        <w:drawing>
                          <wp:inline distT="0" distB="0" distL="0" distR="0">
                            <wp:extent cx="1452880" cy="1056640"/>
                            <wp:effectExtent l="0" t="0" r="0" b="0"/>
                            <wp:docPr id="46"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1452880" cy="1056640"/>
                                    </a:xfrm>
                                    <a:prstGeom prst="rect">
                                      <a:avLst/>
                                    </a:prstGeom>
                                    <a:noFill/>
                                    <a:ln>
                                      <a:noFill/>
                                    </a:ln>
                                  </pic:spPr>
                                </pic:pic>
                              </a:graphicData>
                            </a:graphic>
                          </wp:inline>
                        </w:drawing>
                      </w:r>
                    </w:p>
                    <w:p w:rsidR="00540FEA" w:rsidRDefault="00540FEA" w:rsidP="004A4F75">
                      <w:pPr>
                        <w:rPr>
                          <w:noProof/>
                          <w:sz w:val="19"/>
                          <w:szCs w:val="19"/>
                        </w:rPr>
                      </w:pPr>
                    </w:p>
                    <w:p w:rsidR="00540FEA" w:rsidRDefault="00540FEA" w:rsidP="004A4F75">
                      <w:pPr>
                        <w:rPr>
                          <w:noProof/>
                          <w:sz w:val="18"/>
                          <w:lang w:val="en-GB"/>
                        </w:rPr>
                      </w:pPr>
                      <w:r w:rsidRPr="004C0D28">
                        <w:rPr>
                          <w:i/>
                          <w:noProof/>
                          <w:sz w:val="18"/>
                          <w:lang w:val="en-GB"/>
                        </w:rPr>
                        <w:t xml:space="preserve">Source: </w:t>
                      </w:r>
                      <w:r>
                        <w:rPr>
                          <w:i/>
                          <w:noProof/>
                          <w:sz w:val="18"/>
                          <w:lang w:val="en-GB"/>
                        </w:rPr>
                        <w:t xml:space="preserve">U4E Country Assessment, South Africa </w:t>
                      </w:r>
                      <w:r>
                        <w:rPr>
                          <w:noProof/>
                          <w:sz w:val="18"/>
                          <w:lang w:val="en-GB"/>
                        </w:rPr>
                        <w:t xml:space="preserve">(Dec 2016); en.lighten, United for Efficiency, </w:t>
                      </w:r>
                      <w:r w:rsidRPr="00656612">
                        <w:rPr>
                          <w:noProof/>
                          <w:sz w:val="18"/>
                          <w:lang w:val="en-GB"/>
                        </w:rPr>
                        <w:t>South Africa_Lighting_U4E Assessment_.xlsx</w:t>
                      </w:r>
                    </w:p>
                    <w:p w:rsidR="00540FEA" w:rsidRPr="0095594B" w:rsidRDefault="00540FEA" w:rsidP="004A4F75">
                      <w:pPr>
                        <w:rPr>
                          <w:noProof/>
                          <w:sz w:val="18"/>
                          <w:lang w:val="en-GB"/>
                        </w:rPr>
                      </w:pPr>
                      <w:r>
                        <w:rPr>
                          <w:noProof/>
                          <w:sz w:val="18"/>
                          <w:lang w:val="en-GB"/>
                        </w:rPr>
                        <w:t xml:space="preserve">Price of lamps (2018) taken from various website (makro.co.za; </w:t>
                      </w:r>
                      <w:r w:rsidRPr="004206BC">
                        <w:rPr>
                          <w:noProof/>
                          <w:sz w:val="18"/>
                          <w:lang w:val="en-GB"/>
                        </w:rPr>
                        <w:t>www.pricecheck.co.za</w:t>
                      </w:r>
                      <w:r>
                        <w:rPr>
                          <w:noProof/>
                          <w:sz w:val="18"/>
                          <w:lang w:val="en-GB"/>
                        </w:rPr>
                        <w:t xml:space="preserve">; livecopper.za; </w:t>
                      </w:r>
                      <w:r w:rsidRPr="004206BC">
                        <w:rPr>
                          <w:noProof/>
                          <w:sz w:val="18"/>
                          <w:lang w:val="en-GB"/>
                        </w:rPr>
                        <w:t>www.builders.co.za</w:t>
                      </w:r>
                      <w:r>
                        <w:rPr>
                          <w:noProof/>
                          <w:sz w:val="18"/>
                          <w:lang w:val="en-GB"/>
                        </w:rPr>
                        <w:t xml:space="preserve">; lightingwarehouse.za). </w:t>
                      </w:r>
                    </w:p>
                  </w:txbxContent>
                </v:textbox>
                <w10:wrap type="topAndBottom" anchorx="page" anchory="page"/>
              </v:shape>
            </w:pict>
          </mc:Fallback>
        </mc:AlternateContent>
      </w:r>
    </w:p>
    <w:p w:rsidR="004A4F75" w:rsidRPr="00353542" w:rsidRDefault="004A4F75" w:rsidP="004A4F75">
      <w:pPr>
        <w:spacing w:after="0"/>
        <w:rPr>
          <w:lang w:val="en-GB"/>
        </w:rPr>
      </w:pPr>
      <w:r w:rsidRPr="00353542">
        <w:rPr>
          <w:lang w:val="en-GB"/>
        </w:rPr>
        <w:t xml:space="preserve">UNDP has also conducted a separate analysis of potential energy savings and avoided GHG emissions using the methodology explained below. Using the same input </w:t>
      </w:r>
      <w:r w:rsidRPr="003B7D62">
        <w:rPr>
          <w:lang w:val="en-GB"/>
        </w:rPr>
        <w:t>data for lighting stock as the U4E assessment for the project (2017-202</w:t>
      </w:r>
      <w:r w:rsidRPr="004722F0">
        <w:rPr>
          <w:lang w:val="en-GB"/>
        </w:rPr>
        <w:t>1) and</w:t>
      </w:r>
      <w:r w:rsidRPr="00666B27">
        <w:rPr>
          <w:lang w:val="en-GB"/>
        </w:rPr>
        <w:t xml:space="preserve"> </w:t>
      </w:r>
      <w:r w:rsidR="0090492C" w:rsidRPr="00666B27">
        <w:rPr>
          <w:lang w:val="en-GB"/>
        </w:rPr>
        <w:t xml:space="preserve">similar </w:t>
      </w:r>
      <w:r w:rsidRPr="00666B27">
        <w:rPr>
          <w:lang w:val="en-GB"/>
        </w:rPr>
        <w:t>post-project timeframes of the project (2022 up to 2030, the U4E Country Assessment’s end year of 2030)</w:t>
      </w:r>
      <w:r w:rsidR="0090492C" w:rsidRPr="00666B27">
        <w:rPr>
          <w:lang w:val="en-GB"/>
        </w:rPr>
        <w:t xml:space="preserve">, the </w:t>
      </w:r>
      <w:r w:rsidRPr="00666B27">
        <w:rPr>
          <w:lang w:val="en-GB"/>
        </w:rPr>
        <w:t xml:space="preserve">estimated energy savings and avoided GHG emissions </w:t>
      </w:r>
      <w:r w:rsidR="0090492C" w:rsidRPr="00666B27">
        <w:rPr>
          <w:lang w:val="en-GB"/>
        </w:rPr>
        <w:t>calculated in this Annex F</w:t>
      </w:r>
      <w:r w:rsidRPr="00666B27">
        <w:rPr>
          <w:lang w:val="en-GB"/>
        </w:rPr>
        <w:t xml:space="preserve"> are roughly the same as the U4E Country Assessment. For distribution transformers the U4E assessment does not give baseline data for transformers</w:t>
      </w:r>
      <w:r w:rsidR="0090492C" w:rsidRPr="00666B27">
        <w:rPr>
          <w:lang w:val="en-GB"/>
        </w:rPr>
        <w:t xml:space="preserve">; the </w:t>
      </w:r>
      <w:r w:rsidRPr="00666B27">
        <w:rPr>
          <w:lang w:val="en-GB"/>
        </w:rPr>
        <w:t xml:space="preserve">GHG </w:t>
      </w:r>
      <w:r w:rsidR="0090492C" w:rsidRPr="00666B27">
        <w:rPr>
          <w:lang w:val="en-GB"/>
        </w:rPr>
        <w:t>calculation</w:t>
      </w:r>
      <w:r w:rsidRPr="00666B27">
        <w:rPr>
          <w:lang w:val="en-GB"/>
        </w:rPr>
        <w:t xml:space="preserve"> uses data from Eskom and NERSA reports (see </w:t>
      </w:r>
      <w:r w:rsidR="0090492C" w:rsidRPr="00353542">
        <w:rPr>
          <w:lang w:val="en-GB"/>
        </w:rPr>
        <w:fldChar w:fldCharType="begin"/>
      </w:r>
      <w:r w:rsidR="0090492C" w:rsidRPr="00666B27">
        <w:rPr>
          <w:lang w:val="en-GB"/>
        </w:rPr>
        <w:instrText xml:space="preserve"> REF _Ref292018 \h </w:instrText>
      </w:r>
      <w:r w:rsidR="0090492C" w:rsidRPr="00353542">
        <w:rPr>
          <w:lang w:val="en-GB"/>
        </w:rPr>
      </w:r>
      <w:r w:rsidR="0090492C" w:rsidRPr="00353542">
        <w:rPr>
          <w:lang w:val="en-GB"/>
        </w:rPr>
        <w:fldChar w:fldCharType="separate"/>
      </w:r>
      <w:r w:rsidR="00BB1E93" w:rsidRPr="00A21E05">
        <w:rPr>
          <w:rFonts w:ascii="Arial" w:hAnsi="Arial" w:cs="Arial"/>
          <w:color w:val="2E74B5"/>
          <w:sz w:val="18"/>
        </w:rPr>
        <w:t xml:space="preserve">Box </w:t>
      </w:r>
      <w:r w:rsidR="00BB1E93">
        <w:rPr>
          <w:rFonts w:ascii="Arial" w:hAnsi="Arial" w:cs="Arial"/>
          <w:noProof/>
          <w:color w:val="2E74B5"/>
          <w:sz w:val="18"/>
        </w:rPr>
        <w:t>41</w:t>
      </w:r>
      <w:r w:rsidR="0090492C" w:rsidRPr="00353542">
        <w:rPr>
          <w:lang w:val="en-GB"/>
        </w:rPr>
        <w:fldChar w:fldCharType="end"/>
      </w:r>
      <w:r w:rsidR="0090492C" w:rsidRPr="0057545E">
        <w:rPr>
          <w:lang w:val="en-GB"/>
        </w:rPr>
        <w:t>)</w:t>
      </w:r>
    </w:p>
    <w:p w:rsidR="004A4F75" w:rsidRPr="003B7D62" w:rsidRDefault="004A4F75" w:rsidP="004A4F75">
      <w:pPr>
        <w:spacing w:after="0"/>
        <w:rPr>
          <w:lang w:val="en-GB"/>
        </w:rPr>
      </w:pPr>
    </w:p>
    <w:p w:rsidR="004A4F75" w:rsidRPr="00666B27" w:rsidRDefault="004A4F75" w:rsidP="004A4F75">
      <w:pPr>
        <w:spacing w:after="0"/>
        <w:rPr>
          <w:lang w:val="en-GB"/>
        </w:rPr>
      </w:pPr>
      <w:r w:rsidRPr="004722F0">
        <w:rPr>
          <w:lang w:val="en-GB"/>
        </w:rPr>
        <w:t xml:space="preserve">The </w:t>
      </w:r>
      <w:r w:rsidRPr="00666B27">
        <w:rPr>
          <w:i/>
          <w:lang w:val="en-GB"/>
        </w:rPr>
        <w:t>direct GHG</w:t>
      </w:r>
      <w:r w:rsidRPr="00666B27">
        <w:rPr>
          <w:lang w:val="en-GB"/>
        </w:rPr>
        <w:t xml:space="preserve"> and </w:t>
      </w:r>
      <w:r w:rsidRPr="00666B27">
        <w:rPr>
          <w:i/>
          <w:lang w:val="en-GB"/>
        </w:rPr>
        <w:t>consequential GHG emissions reductions</w:t>
      </w:r>
      <w:r w:rsidRPr="00666B27">
        <w:rPr>
          <w:lang w:val="en-GB"/>
        </w:rPr>
        <w:t xml:space="preserve"> and energy savings are determined, guided by the latest directives on GHG emission methodologies (</w:t>
      </w:r>
      <w:r w:rsidRPr="00666B27">
        <w:rPr>
          <w:i/>
          <w:lang w:val="en-GB"/>
        </w:rPr>
        <w:t>GEF/C.48/Inf.09</w:t>
      </w:r>
      <w:r w:rsidRPr="00666B27">
        <w:rPr>
          <w:lang w:val="en-GB"/>
        </w:rPr>
        <w:t xml:space="preserve"> of May 2015).  The tables in </w:t>
      </w:r>
      <w:r w:rsidRPr="00353542">
        <w:rPr>
          <w:color w:val="0070C0"/>
          <w:lang w:val="en-GB"/>
        </w:rPr>
        <w:fldChar w:fldCharType="begin"/>
      </w:r>
      <w:r w:rsidRPr="00666B27">
        <w:rPr>
          <w:color w:val="0070C0"/>
          <w:lang w:val="en-GB"/>
        </w:rPr>
        <w:instrText xml:space="preserve"> REF _Ref497677274 \h  \* MERGEFORMAT </w:instrText>
      </w:r>
      <w:r w:rsidRPr="00353542">
        <w:rPr>
          <w:color w:val="0070C0"/>
          <w:lang w:val="en-GB"/>
        </w:rPr>
      </w:r>
      <w:r w:rsidRPr="00353542">
        <w:rPr>
          <w:color w:val="0070C0"/>
          <w:lang w:val="en-GB"/>
        </w:rPr>
        <w:fldChar w:fldCharType="separate"/>
      </w:r>
      <w:r w:rsidR="00BB1E93" w:rsidRPr="00BB1E93">
        <w:rPr>
          <w:rFonts w:ascii="Arial" w:hAnsi="Arial" w:cs="Arial"/>
          <w:color w:val="0070C0"/>
          <w:sz w:val="18"/>
          <w:lang w:val="en-GB"/>
        </w:rPr>
        <w:t xml:space="preserve">Box </w:t>
      </w:r>
      <w:r w:rsidR="00BB1E93" w:rsidRPr="00BB1E93">
        <w:rPr>
          <w:rFonts w:ascii="Arial" w:hAnsi="Arial" w:cs="Arial"/>
          <w:noProof/>
          <w:color w:val="0070C0"/>
          <w:sz w:val="18"/>
          <w:lang w:val="en-GB"/>
        </w:rPr>
        <w:t>44</w:t>
      </w:r>
      <w:r w:rsidRPr="00353542">
        <w:rPr>
          <w:color w:val="0070C0"/>
          <w:lang w:val="en-GB"/>
        </w:rPr>
        <w:fldChar w:fldCharType="end"/>
      </w:r>
      <w:r w:rsidRPr="0057545E">
        <w:rPr>
          <w:lang w:val="en-GB"/>
        </w:rPr>
        <w:t xml:space="preserve"> and</w:t>
      </w:r>
      <w:r w:rsidRPr="00353542">
        <w:rPr>
          <w:color w:val="0070C0"/>
          <w:lang w:val="en-GB"/>
        </w:rPr>
        <w:t xml:space="preserve"> </w:t>
      </w:r>
      <w:bookmarkStart w:id="321" w:name="_Hlk497677880"/>
      <w:r w:rsidRPr="00353542">
        <w:rPr>
          <w:color w:val="0070C0"/>
          <w:lang w:val="en-GB"/>
        </w:rPr>
        <w:fldChar w:fldCharType="begin"/>
      </w:r>
      <w:r w:rsidRPr="00666B27">
        <w:rPr>
          <w:color w:val="0070C0"/>
          <w:lang w:val="en-GB"/>
        </w:rPr>
        <w:instrText xml:space="preserve"> REF _Ref497677282 \h  \* MERGEFORMAT </w:instrText>
      </w:r>
      <w:r w:rsidRPr="00353542">
        <w:rPr>
          <w:color w:val="0070C0"/>
          <w:lang w:val="en-GB"/>
        </w:rPr>
      </w:r>
      <w:r w:rsidRPr="00353542">
        <w:rPr>
          <w:color w:val="0070C0"/>
          <w:lang w:val="en-GB"/>
        </w:rPr>
        <w:fldChar w:fldCharType="separate"/>
      </w:r>
      <w:r w:rsidR="00BB1E93" w:rsidRPr="00BB1E93">
        <w:rPr>
          <w:rFonts w:ascii="Arial" w:hAnsi="Arial" w:cs="Arial"/>
          <w:color w:val="0070C0"/>
          <w:sz w:val="18"/>
          <w:lang w:val="en-GB"/>
        </w:rPr>
        <w:t xml:space="preserve">Box </w:t>
      </w:r>
      <w:r w:rsidR="00BB1E93" w:rsidRPr="00BB1E93">
        <w:rPr>
          <w:rFonts w:ascii="Arial" w:hAnsi="Arial" w:cs="Arial"/>
          <w:noProof/>
          <w:color w:val="0070C0"/>
          <w:sz w:val="18"/>
          <w:lang w:val="en-GB"/>
        </w:rPr>
        <w:t>45</w:t>
      </w:r>
      <w:r w:rsidRPr="00353542">
        <w:rPr>
          <w:color w:val="0070C0"/>
          <w:lang w:val="en-GB"/>
        </w:rPr>
        <w:fldChar w:fldCharType="end"/>
      </w:r>
      <w:r w:rsidRPr="0057545E">
        <w:rPr>
          <w:lang w:val="en-GB"/>
        </w:rPr>
        <w:t xml:space="preserve"> </w:t>
      </w:r>
      <w:bookmarkEnd w:id="321"/>
      <w:r w:rsidRPr="0057545E">
        <w:rPr>
          <w:lang w:val="en-GB"/>
        </w:rPr>
        <w:t>show the energy consumption</w:t>
      </w:r>
      <w:r w:rsidRPr="00353542">
        <w:rPr>
          <w:lang w:val="en-GB"/>
        </w:rPr>
        <w:t xml:space="preserve"> in baseline and alternative scenario for lighting products and distribution transformers, the corresponding annual energy savings and GHG emission reduction. Also, the tables pr</w:t>
      </w:r>
      <w:r w:rsidRPr="003B7D62">
        <w:rPr>
          <w:lang w:val="en-GB"/>
        </w:rPr>
        <w:t>ovide an estimate of the peak power reduction and the avoided use of mercury a</w:t>
      </w:r>
      <w:r w:rsidRPr="004722F0">
        <w:rPr>
          <w:lang w:val="en-GB"/>
        </w:rPr>
        <w:t>nd/or release into the environment.</w:t>
      </w:r>
    </w:p>
    <w:p w:rsidR="000C237F" w:rsidRPr="00666B27" w:rsidRDefault="000C237F" w:rsidP="00F21F31">
      <w:pPr>
        <w:spacing w:after="0"/>
        <w:rPr>
          <w:u w:val="single"/>
          <w:lang w:val="en-GB"/>
        </w:rPr>
      </w:pPr>
    </w:p>
    <w:p w:rsidR="00EB411A" w:rsidRPr="0057545E" w:rsidRDefault="003A2690" w:rsidP="00F21F31">
      <w:pPr>
        <w:spacing w:after="0"/>
        <w:rPr>
          <w:lang w:val="en-GB"/>
        </w:rPr>
      </w:pPr>
      <w:r>
        <w:rPr>
          <w:noProof/>
        </w:rPr>
        <w:lastRenderedPageBreak/>
        <w:drawing>
          <wp:anchor distT="0" distB="0" distL="114300" distR="114300" simplePos="0" relativeHeight="251650048" behindDoc="0" locked="0" layoutInCell="1" allowOverlap="1">
            <wp:simplePos x="0" y="0"/>
            <wp:positionH relativeFrom="page">
              <wp:posOffset>568960</wp:posOffset>
            </wp:positionH>
            <wp:positionV relativeFrom="page">
              <wp:posOffset>762000</wp:posOffset>
            </wp:positionV>
            <wp:extent cx="5539740" cy="7670800"/>
            <wp:effectExtent l="0" t="0" r="0" b="0"/>
            <wp:wrapTopAndBottom/>
            <wp:docPr id="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539740" cy="76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45720" distB="45720" distL="114300" distR="114300" simplePos="0" relativeHeight="251645952" behindDoc="0" locked="0" layoutInCell="1" allowOverlap="1">
                <wp:simplePos x="0" y="0"/>
                <wp:positionH relativeFrom="margin">
                  <wp:posOffset>-252730</wp:posOffset>
                </wp:positionH>
                <wp:positionV relativeFrom="margin">
                  <wp:posOffset>-447040</wp:posOffset>
                </wp:positionV>
                <wp:extent cx="6882130" cy="8778240"/>
                <wp:effectExtent l="0" t="0" r="0" b="3810"/>
                <wp:wrapTopAndBottom/>
                <wp:docPr id="15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82130" cy="8778240"/>
                        </a:xfrm>
                        <a:prstGeom prst="rect">
                          <a:avLst/>
                        </a:prstGeom>
                        <a:noFill/>
                        <a:ln w="15875">
                          <a:solidFill>
                            <a:sysClr val="window" lastClr="FFFFFF">
                              <a:lumMod val="75000"/>
                            </a:sysClr>
                          </a:solidFill>
                        </a:ln>
                      </wps:spPr>
                      <wps:txbx>
                        <w:txbxContent>
                          <w:p w:rsidR="00540FEA" w:rsidRDefault="00540FEA" w:rsidP="00563DF2">
                            <w:pPr>
                              <w:pStyle w:val="Caption"/>
                              <w:rPr>
                                <w:noProof/>
                                <w:sz w:val="19"/>
                                <w:szCs w:val="19"/>
                              </w:rPr>
                            </w:pPr>
                            <w:bookmarkStart w:id="322" w:name="_Ref535847044"/>
                            <w:bookmarkStart w:id="323" w:name="_Toc17986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43</w:t>
                            </w:r>
                            <w:r w:rsidRPr="00A21E05">
                              <w:rPr>
                                <w:rFonts w:ascii="Arial" w:hAnsi="Arial" w:cs="Arial"/>
                                <w:color w:val="2E74B5"/>
                                <w:sz w:val="18"/>
                              </w:rPr>
                              <w:fldChar w:fldCharType="end"/>
                            </w:r>
                            <w:bookmarkEnd w:id="322"/>
                            <w:r>
                              <w:rPr>
                                <w:rFonts w:ascii="Arial" w:hAnsi="Arial" w:cs="Arial"/>
                                <w:color w:val="2E74B5"/>
                                <w:sz w:val="18"/>
                              </w:rPr>
                              <w:tab/>
                            </w:r>
                            <w:r w:rsidRPr="00563DF2">
                              <w:rPr>
                                <w:rFonts w:ascii="Arial" w:hAnsi="Arial" w:cs="Arial"/>
                                <w:color w:val="2E74B5"/>
                                <w:sz w:val="18"/>
                              </w:rPr>
                              <w:t xml:space="preserve">Assumptions and base data calculations, LED lighting, </w:t>
                            </w:r>
                            <w:r>
                              <w:rPr>
                                <w:rFonts w:ascii="Arial" w:hAnsi="Arial" w:cs="Arial"/>
                                <w:color w:val="2E74B5"/>
                                <w:sz w:val="18"/>
                              </w:rPr>
                              <w:t>energy consumption per device</w:t>
                            </w:r>
                            <w:bookmarkEnd w:id="323"/>
                          </w:p>
                          <w:p w:rsidR="00540FEA" w:rsidRDefault="00540FEA" w:rsidP="00D66F85">
                            <w:pPr>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217ECB">
                            <w:pPr>
                              <w:rPr>
                                <w:noProof/>
                                <w:sz w:val="19"/>
                                <w:szCs w:val="19"/>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r>
                              <w:rPr>
                                <w:noProof/>
                                <w:sz w:val="18"/>
                                <w:szCs w:val="18"/>
                              </w:rPr>
                              <w:t xml:space="preserve">Source: </w:t>
                            </w:r>
                            <w:r w:rsidRPr="00656612">
                              <w:rPr>
                                <w:noProof/>
                                <w:sz w:val="18"/>
                                <w:lang w:val="en-GB"/>
                              </w:rPr>
                              <w:t>ESKOM website, Historical average price and increase (2017), transmission and distribution losses (2014). Exchange rates from OANDA website</w:t>
                            </w:r>
                            <w:r>
                              <w:rPr>
                                <w:noProof/>
                                <w:sz w:val="18"/>
                                <w:lang w:val="en-GB"/>
                              </w:rPr>
                              <w:t xml:space="preserve">; </w:t>
                            </w:r>
                            <w:r>
                              <w:rPr>
                                <w:noProof/>
                                <w:sz w:val="18"/>
                                <w:szCs w:val="18"/>
                              </w:rPr>
                              <w:t xml:space="preserve"> </w:t>
                            </w:r>
                            <w:r>
                              <w:rPr>
                                <w:i/>
                                <w:noProof/>
                                <w:sz w:val="18"/>
                                <w:szCs w:val="18"/>
                              </w:rPr>
                              <w:t xml:space="preserve">South Africa’s Grid Emission Factor, </w:t>
                            </w:r>
                            <w:r>
                              <w:rPr>
                                <w:noProof/>
                                <w:sz w:val="18"/>
                                <w:szCs w:val="18"/>
                              </w:rPr>
                              <w:t>National Business Initiative (2013).</w:t>
                            </w:r>
                          </w:p>
                          <w:p w:rsidR="00540FEA" w:rsidRDefault="00540FEA" w:rsidP="00D66F85">
                            <w:pPr>
                              <w:rPr>
                                <w:noProof/>
                                <w:sz w:val="19"/>
                                <w:szCs w:val="19"/>
                              </w:rPr>
                            </w:pPr>
                            <w:r w:rsidRPr="00217ECB">
                              <w:rPr>
                                <w:noProof/>
                                <w:sz w:val="19"/>
                                <w:szCs w:val="19"/>
                              </w:rPr>
                              <w:t>Using the market data of</w:t>
                            </w:r>
                            <w:r>
                              <w:rPr>
                                <w:noProof/>
                                <w:sz w:val="19"/>
                                <w:szCs w:val="19"/>
                              </w:rPr>
                              <w:t xml:space="preserve"> </w:t>
                            </w:r>
                            <w:r>
                              <w:rPr>
                                <w:noProof/>
                                <w:sz w:val="19"/>
                                <w:szCs w:val="19"/>
                              </w:rPr>
                              <w:fldChar w:fldCharType="begin"/>
                            </w:r>
                            <w:r>
                              <w:rPr>
                                <w:noProof/>
                                <w:sz w:val="19"/>
                                <w:szCs w:val="19"/>
                              </w:rPr>
                              <w:instrText xml:space="preserve"> REF _Ref535843143 \h </w:instrText>
                            </w:r>
                            <w:r>
                              <w:rPr>
                                <w:noProof/>
                                <w:sz w:val="19"/>
                                <w:szCs w:val="19"/>
                              </w:rPr>
                            </w:r>
                            <w:r>
                              <w:rPr>
                                <w:noProof/>
                                <w:sz w:val="19"/>
                                <w:szCs w:val="19"/>
                              </w:rPr>
                              <w:fldChar w:fldCharType="separate"/>
                            </w:r>
                            <w:r w:rsidRPr="00A21E05">
                              <w:rPr>
                                <w:rFonts w:ascii="Arial" w:hAnsi="Arial" w:cs="Arial"/>
                                <w:color w:val="2E74B5"/>
                                <w:sz w:val="18"/>
                              </w:rPr>
                              <w:t xml:space="preserve">Box </w:t>
                            </w:r>
                            <w:r>
                              <w:rPr>
                                <w:rFonts w:ascii="Arial" w:hAnsi="Arial" w:cs="Arial"/>
                                <w:noProof/>
                                <w:color w:val="2E74B5"/>
                                <w:sz w:val="18"/>
                              </w:rPr>
                              <w:t>42</w:t>
                            </w:r>
                            <w:r>
                              <w:rPr>
                                <w:noProof/>
                                <w:sz w:val="19"/>
                                <w:szCs w:val="19"/>
                              </w:rPr>
                              <w:fldChar w:fldCharType="end"/>
                            </w:r>
                            <w:r w:rsidRPr="00217ECB">
                              <w:rPr>
                                <w:noProof/>
                                <w:sz w:val="19"/>
                                <w:szCs w:val="19"/>
                              </w:rPr>
                              <w:t xml:space="preserve">, and assumptions on lifetime and average wattage of the lamp, the tables show the calculation of energy and monetary savings per type of replacement: a) LED replacing CFL and incandescent, b) tubular LED replacing fluorescent tubular lamps (TLs), c) LED replacing a halogen lamp, and d) LED replacing HPS (high-pressure sodium) and mercury vapour (MV) lamps, used in street lighting and other applications. The annual consunmption data are used as input fort the annual energy consumption calculations of </w:t>
                            </w:r>
                            <w:r>
                              <w:rPr>
                                <w:noProof/>
                                <w:sz w:val="19"/>
                                <w:szCs w:val="19"/>
                              </w:rPr>
                              <w:fldChar w:fldCharType="begin"/>
                            </w:r>
                            <w:r>
                              <w:rPr>
                                <w:noProof/>
                                <w:sz w:val="19"/>
                                <w:szCs w:val="19"/>
                              </w:rPr>
                              <w:instrText xml:space="preserve"> REF _Ref497677274 \h </w:instrText>
                            </w:r>
                            <w:r>
                              <w:rPr>
                                <w:noProof/>
                                <w:sz w:val="19"/>
                                <w:szCs w:val="19"/>
                              </w:rPr>
                            </w:r>
                            <w:r>
                              <w:rPr>
                                <w:noProof/>
                                <w:sz w:val="19"/>
                                <w:szCs w:val="19"/>
                              </w:rPr>
                              <w:fldChar w:fldCharType="separate"/>
                            </w:r>
                            <w:r w:rsidRPr="00D856AB">
                              <w:rPr>
                                <w:rFonts w:ascii="Arial" w:hAnsi="Arial" w:cs="Arial"/>
                                <w:b/>
                                <w:color w:val="2E74B5"/>
                                <w:sz w:val="18"/>
                                <w:lang w:val="en-GB"/>
                              </w:rPr>
                              <w:t xml:space="preserve">Box </w:t>
                            </w:r>
                            <w:r>
                              <w:rPr>
                                <w:rFonts w:ascii="Arial" w:hAnsi="Arial" w:cs="Arial"/>
                                <w:b/>
                                <w:noProof/>
                                <w:color w:val="2E74B5"/>
                                <w:sz w:val="18"/>
                                <w:lang w:val="en-GB"/>
                              </w:rPr>
                              <w:t>44</w:t>
                            </w:r>
                            <w:r>
                              <w:rPr>
                                <w:noProof/>
                                <w:sz w:val="19"/>
                                <w:szCs w:val="19"/>
                              </w:rPr>
                              <w:fldChar w:fldCharType="end"/>
                            </w:r>
                            <w:r w:rsidRPr="00217ECB">
                              <w:rPr>
                                <w:noProof/>
                                <w:sz w:val="19"/>
                                <w:szCs w:val="19"/>
                              </w:rPr>
                              <w:t xml:space="preserve"> (= consumption per lamps x number of lamps in yr 20XY)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left:0;text-align:left;margin-left:-19.9pt;margin-top:-35.2pt;width:541.9pt;height:691.2pt;z-index:25164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" filled="f" strokecolor="#bfbfbf" strokeweight="1.25pt">
                <v:textbox>
                  <w:txbxContent>
                    <w:p w:rsidR="00540FEA" w:rsidRDefault="00540FEA" w:rsidP="00563DF2">
                      <w:pPr>
                        <w:pStyle w:val="Caption"/>
                        <w:rPr>
                          <w:noProof/>
                          <w:sz w:val="19"/>
                          <w:szCs w:val="19"/>
                        </w:rPr>
                      </w:pPr>
                      <w:bookmarkStart w:id="387" w:name="_Ref535847044"/>
                      <w:bookmarkStart w:id="388" w:name="_Toc179867"/>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43</w:t>
                      </w:r>
                      <w:r w:rsidRPr="00A21E05">
                        <w:rPr>
                          <w:rFonts w:ascii="Arial" w:hAnsi="Arial" w:cs="Arial"/>
                          <w:color w:val="2E74B5"/>
                          <w:sz w:val="18"/>
                        </w:rPr>
                        <w:fldChar w:fldCharType="end"/>
                      </w:r>
                      <w:bookmarkEnd w:id="387"/>
                      <w:r>
                        <w:rPr>
                          <w:rFonts w:ascii="Arial" w:hAnsi="Arial" w:cs="Arial"/>
                          <w:color w:val="2E74B5"/>
                          <w:sz w:val="18"/>
                        </w:rPr>
                        <w:tab/>
                      </w:r>
                      <w:r w:rsidRPr="00563DF2">
                        <w:rPr>
                          <w:rFonts w:ascii="Arial" w:hAnsi="Arial" w:cs="Arial"/>
                          <w:color w:val="2E74B5"/>
                          <w:sz w:val="18"/>
                        </w:rPr>
                        <w:t xml:space="preserve">Assumptions and base data calculations, LED lighting, </w:t>
                      </w:r>
                      <w:r>
                        <w:rPr>
                          <w:rFonts w:ascii="Arial" w:hAnsi="Arial" w:cs="Arial"/>
                          <w:color w:val="2E74B5"/>
                          <w:sz w:val="18"/>
                        </w:rPr>
                        <w:t>energy consumption per device</w:t>
                      </w:r>
                      <w:bookmarkEnd w:id="388"/>
                    </w:p>
                    <w:p w:rsidR="00540FEA" w:rsidRDefault="00540FEA" w:rsidP="00D66F85">
                      <w:pPr>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F626FC">
                      <w:pPr>
                        <w:ind w:left="6237"/>
                        <w:rPr>
                          <w:noProof/>
                          <w:sz w:val="19"/>
                          <w:szCs w:val="19"/>
                        </w:rPr>
                      </w:pPr>
                    </w:p>
                    <w:p w:rsidR="00540FEA" w:rsidRDefault="00540FEA" w:rsidP="00217ECB">
                      <w:pPr>
                        <w:rPr>
                          <w:noProof/>
                          <w:sz w:val="19"/>
                          <w:szCs w:val="19"/>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p>
                    <w:p w:rsidR="00540FEA" w:rsidRDefault="00540FEA" w:rsidP="00217ECB">
                      <w:pPr>
                        <w:ind w:left="4536"/>
                        <w:rPr>
                          <w:noProof/>
                          <w:sz w:val="18"/>
                          <w:szCs w:val="18"/>
                        </w:rPr>
                      </w:pPr>
                      <w:r>
                        <w:rPr>
                          <w:noProof/>
                          <w:sz w:val="18"/>
                          <w:szCs w:val="18"/>
                        </w:rPr>
                        <w:t xml:space="preserve">Source: </w:t>
                      </w:r>
                      <w:r w:rsidRPr="00656612">
                        <w:rPr>
                          <w:noProof/>
                          <w:sz w:val="18"/>
                          <w:lang w:val="en-GB"/>
                        </w:rPr>
                        <w:t>ESKOM website, Historical average price and increase (2017), transmission and distribution losses (2014). Exchange rates from OANDA website</w:t>
                      </w:r>
                      <w:r>
                        <w:rPr>
                          <w:noProof/>
                          <w:sz w:val="18"/>
                          <w:lang w:val="en-GB"/>
                        </w:rPr>
                        <w:t xml:space="preserve">; </w:t>
                      </w:r>
                      <w:r>
                        <w:rPr>
                          <w:noProof/>
                          <w:sz w:val="18"/>
                          <w:szCs w:val="18"/>
                        </w:rPr>
                        <w:t xml:space="preserve"> </w:t>
                      </w:r>
                      <w:r>
                        <w:rPr>
                          <w:i/>
                          <w:noProof/>
                          <w:sz w:val="18"/>
                          <w:szCs w:val="18"/>
                        </w:rPr>
                        <w:t xml:space="preserve">South Africa’s Grid Emission Factor, </w:t>
                      </w:r>
                      <w:r>
                        <w:rPr>
                          <w:noProof/>
                          <w:sz w:val="18"/>
                          <w:szCs w:val="18"/>
                        </w:rPr>
                        <w:t>National Business Initiative (2013).</w:t>
                      </w:r>
                    </w:p>
                    <w:p w:rsidR="00540FEA" w:rsidRDefault="00540FEA" w:rsidP="00D66F85">
                      <w:pPr>
                        <w:rPr>
                          <w:noProof/>
                          <w:sz w:val="19"/>
                          <w:szCs w:val="19"/>
                        </w:rPr>
                      </w:pPr>
                      <w:r w:rsidRPr="00217ECB">
                        <w:rPr>
                          <w:noProof/>
                          <w:sz w:val="19"/>
                          <w:szCs w:val="19"/>
                        </w:rPr>
                        <w:t>Using the market data of</w:t>
                      </w:r>
                      <w:r>
                        <w:rPr>
                          <w:noProof/>
                          <w:sz w:val="19"/>
                          <w:szCs w:val="19"/>
                        </w:rPr>
                        <w:t xml:space="preserve"> </w:t>
                      </w:r>
                      <w:r>
                        <w:rPr>
                          <w:noProof/>
                          <w:sz w:val="19"/>
                          <w:szCs w:val="19"/>
                        </w:rPr>
                        <w:fldChar w:fldCharType="begin"/>
                      </w:r>
                      <w:r>
                        <w:rPr>
                          <w:noProof/>
                          <w:sz w:val="19"/>
                          <w:szCs w:val="19"/>
                        </w:rPr>
                        <w:instrText xml:space="preserve"> REF _Ref535843143 \h </w:instrText>
                      </w:r>
                      <w:r>
                        <w:rPr>
                          <w:noProof/>
                          <w:sz w:val="19"/>
                          <w:szCs w:val="19"/>
                        </w:rPr>
                      </w:r>
                      <w:r>
                        <w:rPr>
                          <w:noProof/>
                          <w:sz w:val="19"/>
                          <w:szCs w:val="19"/>
                        </w:rPr>
                        <w:fldChar w:fldCharType="separate"/>
                      </w:r>
                      <w:r w:rsidRPr="00A21E05">
                        <w:rPr>
                          <w:rFonts w:ascii="Arial" w:hAnsi="Arial" w:cs="Arial"/>
                          <w:color w:val="2E74B5"/>
                          <w:sz w:val="18"/>
                        </w:rPr>
                        <w:t xml:space="preserve">Box </w:t>
                      </w:r>
                      <w:r>
                        <w:rPr>
                          <w:rFonts w:ascii="Arial" w:hAnsi="Arial" w:cs="Arial"/>
                          <w:noProof/>
                          <w:color w:val="2E74B5"/>
                          <w:sz w:val="18"/>
                        </w:rPr>
                        <w:t>42</w:t>
                      </w:r>
                      <w:r>
                        <w:rPr>
                          <w:noProof/>
                          <w:sz w:val="19"/>
                          <w:szCs w:val="19"/>
                        </w:rPr>
                        <w:fldChar w:fldCharType="end"/>
                      </w:r>
                      <w:r w:rsidRPr="00217ECB">
                        <w:rPr>
                          <w:noProof/>
                          <w:sz w:val="19"/>
                          <w:szCs w:val="19"/>
                        </w:rPr>
                        <w:t xml:space="preserve">, and assumptions on lifetime and average wattage of the lamp, the tables show the calculation of energy and monetary savings per type of replacement: a) LED replacing CFL and incandescent, b) tubular LED replacing fluorescent tubular lamps (TLs), c) LED replacing a halogen lamp, and d) LED replacing HPS (high-pressure sodium) and mercury vapour (MV) lamps, used in street lighting and other applications. The annual consunmption data are used as input fort the annual energy consumption calculations of </w:t>
                      </w:r>
                      <w:r>
                        <w:rPr>
                          <w:noProof/>
                          <w:sz w:val="19"/>
                          <w:szCs w:val="19"/>
                        </w:rPr>
                        <w:fldChar w:fldCharType="begin"/>
                      </w:r>
                      <w:r>
                        <w:rPr>
                          <w:noProof/>
                          <w:sz w:val="19"/>
                          <w:szCs w:val="19"/>
                        </w:rPr>
                        <w:instrText xml:space="preserve"> REF _Ref497677274 \h </w:instrText>
                      </w:r>
                      <w:r>
                        <w:rPr>
                          <w:noProof/>
                          <w:sz w:val="19"/>
                          <w:szCs w:val="19"/>
                        </w:rPr>
                      </w:r>
                      <w:r>
                        <w:rPr>
                          <w:noProof/>
                          <w:sz w:val="19"/>
                          <w:szCs w:val="19"/>
                        </w:rPr>
                        <w:fldChar w:fldCharType="separate"/>
                      </w:r>
                      <w:r w:rsidRPr="00D856AB">
                        <w:rPr>
                          <w:rFonts w:ascii="Arial" w:hAnsi="Arial" w:cs="Arial"/>
                          <w:b/>
                          <w:color w:val="2E74B5"/>
                          <w:sz w:val="18"/>
                          <w:lang w:val="en-GB"/>
                        </w:rPr>
                        <w:t xml:space="preserve">Box </w:t>
                      </w:r>
                      <w:r>
                        <w:rPr>
                          <w:rFonts w:ascii="Arial" w:hAnsi="Arial" w:cs="Arial"/>
                          <w:b/>
                          <w:noProof/>
                          <w:color w:val="2E74B5"/>
                          <w:sz w:val="18"/>
                          <w:lang w:val="en-GB"/>
                        </w:rPr>
                        <w:t>44</w:t>
                      </w:r>
                      <w:r>
                        <w:rPr>
                          <w:noProof/>
                          <w:sz w:val="19"/>
                          <w:szCs w:val="19"/>
                        </w:rPr>
                        <w:fldChar w:fldCharType="end"/>
                      </w:r>
                      <w:r w:rsidRPr="00217ECB">
                        <w:rPr>
                          <w:noProof/>
                          <w:sz w:val="19"/>
                          <w:szCs w:val="19"/>
                        </w:rPr>
                        <w:t xml:space="preserve"> (= consumption per lamps x number of lamps in yr 20XY)</w:t>
                      </w:r>
                    </w:p>
                  </w:txbxContent>
                </v:textbox>
                <w10:wrap type="topAndBottom" anchorx="margin" anchory="margin"/>
              </v:shape>
            </w:pict>
          </mc:Fallback>
        </mc:AlternateContent>
      </w:r>
    </w:p>
    <w:p w:rsidR="00684F83" w:rsidRPr="00666B27" w:rsidRDefault="00684F83" w:rsidP="00F21F31">
      <w:pPr>
        <w:spacing w:after="0"/>
        <w:rPr>
          <w:lang w:val="en-GB"/>
        </w:rPr>
        <w:sectPr w:rsidR="00684F83" w:rsidRPr="00666B27" w:rsidSect="00AF7C2A">
          <w:pgSz w:w="12240" w:h="15840" w:code="1"/>
          <w:pgMar w:top="1440" w:right="1134" w:bottom="1440" w:left="1134" w:header="720" w:footer="720" w:gutter="0"/>
          <w:cols w:space="720"/>
          <w:docGrid w:linePitch="360"/>
        </w:sectPr>
      </w:pPr>
    </w:p>
    <w:p w:rsidR="005D3530" w:rsidRPr="004722F0" w:rsidRDefault="005D3530" w:rsidP="00F21F31">
      <w:pPr>
        <w:spacing w:after="0"/>
        <w:rPr>
          <w:rFonts w:ascii="Arial" w:hAnsi="Arial" w:cs="Arial"/>
          <w:b/>
          <w:color w:val="2E74B5"/>
          <w:sz w:val="18"/>
          <w:lang w:val="en-GB"/>
        </w:rPr>
      </w:pPr>
      <w:bookmarkStart w:id="324" w:name="_Ref497677274"/>
      <w:bookmarkStart w:id="325" w:name="_Toc179868"/>
      <w:r w:rsidRPr="00666B27">
        <w:rPr>
          <w:rFonts w:ascii="Arial" w:hAnsi="Arial" w:cs="Arial"/>
          <w:b/>
          <w:color w:val="2E74B5"/>
          <w:sz w:val="18"/>
          <w:lang w:val="en-GB"/>
        </w:rPr>
        <w:lastRenderedPageBreak/>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90492C" w:rsidRPr="00353542">
        <w:rPr>
          <w:rFonts w:ascii="Arial" w:hAnsi="Arial" w:cs="Arial"/>
          <w:b/>
          <w:noProof/>
          <w:color w:val="2E74B5"/>
          <w:sz w:val="18"/>
          <w:lang w:val="en-GB"/>
        </w:rPr>
        <w:t>44</w:t>
      </w:r>
      <w:r w:rsidRPr="00353542">
        <w:rPr>
          <w:rFonts w:ascii="Arial" w:hAnsi="Arial" w:cs="Arial"/>
          <w:b/>
          <w:color w:val="2E74B5"/>
          <w:sz w:val="18"/>
          <w:lang w:val="en-GB"/>
        </w:rPr>
        <w:fldChar w:fldCharType="end"/>
      </w:r>
      <w:bookmarkEnd w:id="324"/>
      <w:r w:rsidRPr="0057545E">
        <w:rPr>
          <w:rFonts w:ascii="Arial" w:hAnsi="Arial" w:cs="Arial"/>
          <w:b/>
          <w:color w:val="2E74B5"/>
          <w:sz w:val="18"/>
          <w:lang w:val="en-GB"/>
        </w:rPr>
        <w:tab/>
      </w:r>
      <w:bookmarkStart w:id="326" w:name="_Hlk497669021"/>
      <w:r w:rsidRPr="0057545E">
        <w:rPr>
          <w:rFonts w:ascii="Arial" w:hAnsi="Arial" w:cs="Arial"/>
          <w:b/>
          <w:color w:val="2E74B5"/>
          <w:sz w:val="18"/>
          <w:lang w:val="en-GB"/>
        </w:rPr>
        <w:t xml:space="preserve">LED and other lamps stock South Africa – energy </w:t>
      </w:r>
      <w:r w:rsidRPr="00353542">
        <w:rPr>
          <w:rFonts w:ascii="Arial" w:hAnsi="Arial" w:cs="Arial"/>
          <w:b/>
          <w:color w:val="2E74B5"/>
          <w:sz w:val="18"/>
          <w:lang w:val="en-GB"/>
        </w:rPr>
        <w:t>consumption and GHG emissions in baseline and GEF alternativ</w:t>
      </w:r>
      <w:r w:rsidRPr="003B7D62">
        <w:rPr>
          <w:rFonts w:ascii="Arial" w:hAnsi="Arial" w:cs="Arial"/>
          <w:b/>
          <w:color w:val="2E74B5"/>
          <w:sz w:val="18"/>
          <w:lang w:val="en-GB"/>
        </w:rPr>
        <w:t>e scenario over 2017-2030</w:t>
      </w:r>
      <w:bookmarkEnd w:id="325"/>
      <w:bookmarkEnd w:id="326"/>
    </w:p>
    <w:p w:rsidR="00AB1783" w:rsidRPr="00666B27" w:rsidRDefault="00AB1783" w:rsidP="00F21F31">
      <w:pPr>
        <w:spacing w:after="0"/>
        <w:rPr>
          <w:rFonts w:ascii="Arial" w:hAnsi="Arial" w:cs="Arial"/>
          <w:color w:val="2E74B5"/>
          <w:sz w:val="18"/>
          <w:lang w:val="en-GB"/>
        </w:rPr>
      </w:pPr>
    </w:p>
    <w:p w:rsidR="005D3530" w:rsidRPr="0057545E" w:rsidRDefault="003A2690" w:rsidP="00F21F31">
      <w:pPr>
        <w:spacing w:after="0"/>
        <w:rPr>
          <w:rFonts w:ascii="Arial" w:hAnsi="Arial" w:cs="Arial"/>
          <w:color w:val="2E74B5"/>
          <w:sz w:val="18"/>
          <w:lang w:val="en-GB"/>
        </w:rPr>
      </w:pPr>
      <w:r w:rsidRPr="00F737AD">
        <w:rPr>
          <w:noProof/>
          <w:lang w:val="en-GB"/>
        </w:rPr>
        <w:drawing>
          <wp:inline distT="0" distB="0" distL="0" distR="0">
            <wp:extent cx="7904480" cy="5679440"/>
            <wp:effectExtent l="0" t="0" r="0" b="0"/>
            <wp:docPr id="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7904480" cy="5679440"/>
                    </a:xfrm>
                    <a:prstGeom prst="rect">
                      <a:avLst/>
                    </a:prstGeom>
                    <a:noFill/>
                    <a:ln>
                      <a:noFill/>
                    </a:ln>
                  </pic:spPr>
                </pic:pic>
              </a:graphicData>
            </a:graphic>
          </wp:inline>
        </w:drawing>
      </w:r>
    </w:p>
    <w:p w:rsidR="005D3530" w:rsidRPr="0057545E" w:rsidRDefault="005D3530" w:rsidP="00F21F31">
      <w:pPr>
        <w:spacing w:after="0"/>
        <w:rPr>
          <w:lang w:val="en-GB"/>
        </w:rPr>
      </w:pPr>
    </w:p>
    <w:p w:rsidR="005D3530" w:rsidRPr="00666B27" w:rsidRDefault="003F0660" w:rsidP="00F21F31">
      <w:pPr>
        <w:spacing w:after="0"/>
        <w:rPr>
          <w:sz w:val="18"/>
          <w:lang w:val="en-GB"/>
        </w:rPr>
      </w:pPr>
      <w:r w:rsidRPr="00353542">
        <w:rPr>
          <w:sz w:val="18"/>
          <w:lang w:val="en-GB"/>
        </w:rPr>
        <w:t xml:space="preserve">Note: In the </w:t>
      </w:r>
      <w:r w:rsidRPr="003B7D62">
        <w:rPr>
          <w:noProof/>
          <w:sz w:val="18"/>
          <w:lang w:val="en-GB"/>
        </w:rPr>
        <w:t>calculation</w:t>
      </w:r>
      <w:r w:rsidRPr="004722F0">
        <w:rPr>
          <w:sz w:val="18"/>
          <w:lang w:val="en-GB"/>
        </w:rPr>
        <w:t xml:space="preserve"> the following lifetime</w:t>
      </w:r>
      <w:r w:rsidRPr="00666B27">
        <w:rPr>
          <w:sz w:val="18"/>
          <w:lang w:val="en-GB"/>
        </w:rPr>
        <w:t xml:space="preserve"> of lamps is assumed: incandescent, 1200 hours; CFL: 10000 hours; halogen: 2200 hours, LFL: 16500 hours; LFL-T5: 20000 hours; LED: 30000 hours; LED tube: 40000 hours, HID-mercury </w:t>
      </w:r>
      <w:r w:rsidRPr="00666B27">
        <w:rPr>
          <w:noProof/>
          <w:sz w:val="18"/>
          <w:lang w:val="en-GB"/>
        </w:rPr>
        <w:t>vapour</w:t>
      </w:r>
      <w:r w:rsidRPr="00666B27">
        <w:rPr>
          <w:sz w:val="18"/>
          <w:lang w:val="en-GB"/>
        </w:rPr>
        <w:t>: 18000 hours; HID-HPS: 20000 hours.</w:t>
      </w:r>
    </w:p>
    <w:p w:rsidR="003F0660" w:rsidRPr="00666B27" w:rsidRDefault="003F0660" w:rsidP="00F21F31">
      <w:pPr>
        <w:spacing w:after="0"/>
        <w:rPr>
          <w:lang w:val="en-GB"/>
        </w:rPr>
      </w:pPr>
    </w:p>
    <w:p w:rsidR="005D3530" w:rsidRPr="00666B27" w:rsidRDefault="005D3530" w:rsidP="00F21F31">
      <w:pPr>
        <w:spacing w:after="0"/>
        <w:rPr>
          <w:b/>
          <w:lang w:val="en-GB"/>
        </w:rPr>
      </w:pPr>
      <w:bookmarkStart w:id="327" w:name="_Ref497677282"/>
      <w:bookmarkStart w:id="328" w:name="_Hlk497682868"/>
      <w:bookmarkStart w:id="329" w:name="_Toc179869"/>
      <w:r w:rsidRPr="00666B27">
        <w:rPr>
          <w:rFonts w:ascii="Arial" w:hAnsi="Arial" w:cs="Arial"/>
          <w:b/>
          <w:color w:val="2E74B5"/>
          <w:sz w:val="18"/>
          <w:lang w:val="en-GB"/>
        </w:rPr>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90492C" w:rsidRPr="00353542">
        <w:rPr>
          <w:rFonts w:ascii="Arial" w:hAnsi="Arial" w:cs="Arial"/>
          <w:b/>
          <w:noProof/>
          <w:color w:val="2E74B5"/>
          <w:sz w:val="18"/>
          <w:lang w:val="en-GB"/>
        </w:rPr>
        <w:t>45</w:t>
      </w:r>
      <w:r w:rsidRPr="00353542">
        <w:rPr>
          <w:rFonts w:ascii="Arial" w:hAnsi="Arial" w:cs="Arial"/>
          <w:b/>
          <w:color w:val="2E74B5"/>
          <w:sz w:val="18"/>
          <w:lang w:val="en-GB"/>
        </w:rPr>
        <w:fldChar w:fldCharType="end"/>
      </w:r>
      <w:bookmarkEnd w:id="327"/>
      <w:r w:rsidRPr="0057545E">
        <w:rPr>
          <w:rFonts w:ascii="Arial" w:hAnsi="Arial" w:cs="Arial"/>
          <w:b/>
          <w:color w:val="2E74B5"/>
          <w:sz w:val="18"/>
          <w:lang w:val="en-GB"/>
        </w:rPr>
        <w:tab/>
        <w:t>Distribution transformers stock South Africa – energy con</w:t>
      </w:r>
      <w:bookmarkEnd w:id="328"/>
      <w:r w:rsidRPr="0057545E">
        <w:rPr>
          <w:rFonts w:ascii="Arial" w:hAnsi="Arial" w:cs="Arial"/>
          <w:b/>
          <w:color w:val="2E74B5"/>
          <w:sz w:val="18"/>
          <w:lang w:val="en-GB"/>
        </w:rPr>
        <w:t>sumption and GHG emissions in baseline and GEF alternative scenari</w:t>
      </w:r>
      <w:r w:rsidRPr="00353542">
        <w:rPr>
          <w:rFonts w:ascii="Arial" w:hAnsi="Arial" w:cs="Arial"/>
          <w:b/>
          <w:color w:val="2E74B5"/>
          <w:sz w:val="18"/>
          <w:lang w:val="en-GB"/>
        </w:rPr>
        <w:t>o</w:t>
      </w:r>
      <w:r w:rsidR="00AB1783" w:rsidRPr="003B7D62">
        <w:rPr>
          <w:rFonts w:ascii="Arial" w:hAnsi="Arial" w:cs="Arial"/>
          <w:b/>
          <w:color w:val="2E74B5"/>
          <w:sz w:val="18"/>
          <w:lang w:val="en-GB"/>
        </w:rPr>
        <w:t xml:space="preserve">, </w:t>
      </w:r>
      <w:r w:rsidRPr="004722F0">
        <w:rPr>
          <w:rFonts w:ascii="Arial" w:hAnsi="Arial" w:cs="Arial"/>
          <w:b/>
          <w:color w:val="2E74B5"/>
          <w:sz w:val="18"/>
          <w:lang w:val="en-GB"/>
        </w:rPr>
        <w:t>2017-2030</w:t>
      </w:r>
      <w:bookmarkEnd w:id="329"/>
    </w:p>
    <w:p w:rsidR="00EB411A" w:rsidRPr="00666B27" w:rsidRDefault="00EB411A" w:rsidP="00F21F31">
      <w:pPr>
        <w:spacing w:after="0"/>
        <w:rPr>
          <w:lang w:val="en-GB"/>
        </w:rPr>
      </w:pPr>
    </w:p>
    <w:p w:rsidR="00AB1783" w:rsidRPr="0057545E" w:rsidRDefault="003A2690" w:rsidP="00F21F31">
      <w:pPr>
        <w:spacing w:after="0"/>
        <w:rPr>
          <w:sz w:val="18"/>
          <w:lang w:val="en-GB" w:eastAsia="en-GB"/>
        </w:rPr>
      </w:pPr>
      <w:r w:rsidRPr="00F737AD">
        <w:rPr>
          <w:noProof/>
          <w:lang w:val="en-GB"/>
        </w:rPr>
        <w:drawing>
          <wp:inline distT="0" distB="0" distL="0" distR="0">
            <wp:extent cx="6939280" cy="1036320"/>
            <wp:effectExtent l="0" t="0" r="0" b="0"/>
            <wp:docPr id="6" name="Pictur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6939280" cy="1036320"/>
                    </a:xfrm>
                    <a:prstGeom prst="rect">
                      <a:avLst/>
                    </a:prstGeom>
                    <a:noFill/>
                    <a:ln>
                      <a:noFill/>
                    </a:ln>
                  </pic:spPr>
                </pic:pic>
              </a:graphicData>
            </a:graphic>
          </wp:inline>
        </w:drawing>
      </w:r>
    </w:p>
    <w:p w:rsidR="003F0660" w:rsidRPr="004722F0" w:rsidRDefault="003F0660" w:rsidP="00F21F31">
      <w:pPr>
        <w:spacing w:after="0"/>
        <w:rPr>
          <w:sz w:val="18"/>
          <w:lang w:val="en-GB" w:eastAsia="en-GB"/>
        </w:rPr>
      </w:pPr>
      <w:r w:rsidRPr="00353542">
        <w:rPr>
          <w:sz w:val="18"/>
          <w:lang w:val="en-GB" w:eastAsia="en-GB"/>
        </w:rPr>
        <w:t>Note: The energy savings at plant’s gate fol</w:t>
      </w:r>
      <w:r w:rsidRPr="003B7D62">
        <w:rPr>
          <w:sz w:val="18"/>
          <w:lang w:val="en-GB" w:eastAsia="en-GB"/>
        </w:rPr>
        <w:t>low from multiplying the calculated annual energy savings by (1+T) for transformers and (1+T+D) for the lighting products, where T: % transmission losses and D: distribution losses.</w:t>
      </w:r>
    </w:p>
    <w:p w:rsidR="005F0C5B" w:rsidRPr="00666B27" w:rsidRDefault="005F0C5B" w:rsidP="00F21F31">
      <w:pPr>
        <w:spacing w:after="0"/>
        <w:rPr>
          <w:lang w:val="en-GB" w:eastAsia="en-GB"/>
        </w:rPr>
      </w:pPr>
    </w:p>
    <w:p w:rsidR="005F0C5B" w:rsidRPr="00353542" w:rsidRDefault="005F0C5B" w:rsidP="00F21F31">
      <w:pPr>
        <w:spacing w:after="0"/>
        <w:rPr>
          <w:rFonts w:ascii="Arial" w:hAnsi="Arial" w:cs="Arial"/>
          <w:b/>
          <w:color w:val="2E74B5"/>
          <w:sz w:val="18"/>
          <w:lang w:val="en-GB"/>
        </w:rPr>
      </w:pPr>
      <w:bookmarkStart w:id="330" w:name="_Toc179870"/>
      <w:r w:rsidRPr="00666B27">
        <w:rPr>
          <w:rFonts w:ascii="Arial" w:hAnsi="Arial" w:cs="Arial"/>
          <w:b/>
          <w:color w:val="2E74B5"/>
          <w:sz w:val="18"/>
          <w:lang w:val="en-GB"/>
        </w:rPr>
        <w:t xml:space="preserve">Box </w:t>
      </w:r>
      <w:r w:rsidRPr="00353542">
        <w:rPr>
          <w:rFonts w:ascii="Arial" w:hAnsi="Arial" w:cs="Arial"/>
          <w:b/>
          <w:color w:val="2E74B5"/>
          <w:sz w:val="18"/>
          <w:lang w:val="en-GB"/>
        </w:rPr>
        <w:fldChar w:fldCharType="begin"/>
      </w:r>
      <w:r w:rsidRPr="00666B27">
        <w:rPr>
          <w:rFonts w:ascii="Arial" w:hAnsi="Arial" w:cs="Arial"/>
          <w:b/>
          <w:color w:val="2E74B5"/>
          <w:sz w:val="18"/>
          <w:lang w:val="en-GB"/>
        </w:rPr>
        <w:instrText xml:space="preserve"> SEQ Box \* ARABIC </w:instrText>
      </w:r>
      <w:r w:rsidRPr="00353542">
        <w:rPr>
          <w:rFonts w:ascii="Arial" w:hAnsi="Arial" w:cs="Arial"/>
          <w:b/>
          <w:color w:val="2E74B5"/>
          <w:sz w:val="18"/>
          <w:lang w:val="en-GB"/>
        </w:rPr>
        <w:fldChar w:fldCharType="separate"/>
      </w:r>
      <w:r w:rsidR="0090492C" w:rsidRPr="00353542">
        <w:rPr>
          <w:rFonts w:ascii="Arial" w:hAnsi="Arial" w:cs="Arial"/>
          <w:b/>
          <w:noProof/>
          <w:color w:val="2E74B5"/>
          <w:sz w:val="18"/>
          <w:lang w:val="en-GB"/>
        </w:rPr>
        <w:t>46</w:t>
      </w:r>
      <w:r w:rsidRPr="00353542">
        <w:rPr>
          <w:rFonts w:ascii="Arial" w:hAnsi="Arial" w:cs="Arial"/>
          <w:b/>
          <w:color w:val="2E74B5"/>
          <w:sz w:val="18"/>
          <w:lang w:val="en-GB"/>
        </w:rPr>
        <w:fldChar w:fldCharType="end"/>
      </w:r>
      <w:r w:rsidRPr="0057545E">
        <w:rPr>
          <w:rFonts w:ascii="Arial" w:hAnsi="Arial" w:cs="Arial"/>
          <w:b/>
          <w:color w:val="2E74B5"/>
          <w:sz w:val="18"/>
          <w:lang w:val="en-GB"/>
        </w:rPr>
        <w:tab/>
        <w:t>Peak power demand reduction and avoided mercury content</w:t>
      </w:r>
      <w:bookmarkEnd w:id="330"/>
    </w:p>
    <w:p w:rsidR="001859BD" w:rsidRPr="003B7D62" w:rsidRDefault="001859BD" w:rsidP="00F21F31">
      <w:pPr>
        <w:spacing w:after="0"/>
        <w:rPr>
          <w:lang w:val="en-GB" w:eastAsia="en-GB"/>
        </w:rPr>
      </w:pPr>
    </w:p>
    <w:p w:rsidR="00A73A1C" w:rsidRPr="0057545E" w:rsidRDefault="003A2690" w:rsidP="00F21F31">
      <w:pPr>
        <w:spacing w:after="0"/>
        <w:rPr>
          <w:lang w:val="en-GB" w:eastAsia="en-GB"/>
        </w:rPr>
        <w:sectPr w:rsidR="00A73A1C" w:rsidRPr="0057545E" w:rsidSect="005D3530">
          <w:pgSz w:w="15840" w:h="12240" w:orient="landscape" w:code="1"/>
          <w:pgMar w:top="1134" w:right="1440" w:bottom="1134" w:left="1440" w:header="720" w:footer="720" w:gutter="0"/>
          <w:cols w:space="720"/>
          <w:docGrid w:linePitch="360"/>
        </w:sectPr>
      </w:pPr>
      <w:r w:rsidRPr="00F737AD">
        <w:rPr>
          <w:noProof/>
          <w:lang w:val="en-GB"/>
        </w:rPr>
        <w:drawing>
          <wp:inline distT="0" distB="0" distL="0" distR="0">
            <wp:extent cx="7091680" cy="3230880"/>
            <wp:effectExtent l="0" t="0" r="0" b="0"/>
            <wp:docPr id="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7091680" cy="3230880"/>
                    </a:xfrm>
                    <a:prstGeom prst="rect">
                      <a:avLst/>
                    </a:prstGeom>
                    <a:noFill/>
                    <a:ln>
                      <a:noFill/>
                    </a:ln>
                  </pic:spPr>
                </pic:pic>
              </a:graphicData>
            </a:graphic>
          </wp:inline>
        </w:drawing>
      </w:r>
    </w:p>
    <w:p w:rsidR="005F0C5B" w:rsidRPr="00666B27" w:rsidRDefault="003A2690" w:rsidP="005F0C5B">
      <w:pPr>
        <w:spacing w:after="0"/>
        <w:rPr>
          <w:lang w:val="en-GB" w:eastAsia="en-GB"/>
        </w:rPr>
      </w:pPr>
      <w:r>
        <w:rPr>
          <w:noProof/>
        </w:rPr>
        <w:lastRenderedPageBreak/>
        <mc:AlternateContent>
          <mc:Choice Requires="wps">
            <w:drawing>
              <wp:anchor distT="45720" distB="45720" distL="114300" distR="114300" simplePos="0" relativeHeight="251648000" behindDoc="0" locked="0" layoutInCell="1" allowOverlap="1">
                <wp:simplePos x="0" y="0"/>
                <wp:positionH relativeFrom="margin">
                  <wp:posOffset>-212090</wp:posOffset>
                </wp:positionH>
                <wp:positionV relativeFrom="margin">
                  <wp:align>bottom</wp:align>
                </wp:positionV>
                <wp:extent cx="6739890" cy="7081520"/>
                <wp:effectExtent l="0" t="0" r="3810" b="5080"/>
                <wp:wrapTopAndBottom/>
                <wp:docPr id="263" name="Text Box 2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39890" cy="7081520"/>
                        </a:xfrm>
                        <a:prstGeom prst="rect">
                          <a:avLst/>
                        </a:prstGeom>
                        <a:noFill/>
                        <a:ln w="15875">
                          <a:solidFill>
                            <a:sysClr val="window" lastClr="FFFFFF">
                              <a:lumMod val="75000"/>
                            </a:sysClr>
                          </a:solidFill>
                        </a:ln>
                      </wps:spPr>
                      <wps:txbx>
                        <w:txbxContent>
                          <w:p w:rsidR="00540FEA" w:rsidRDefault="00540FEA" w:rsidP="00AB1783">
                            <w:pPr>
                              <w:pStyle w:val="Caption"/>
                              <w:rPr>
                                <w:rFonts w:ascii="Arial" w:hAnsi="Arial" w:cs="Arial"/>
                                <w:color w:val="2E74B5"/>
                                <w:sz w:val="18"/>
                              </w:rPr>
                            </w:pPr>
                            <w:bookmarkStart w:id="331" w:name="_Toc17987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47</w:t>
                            </w:r>
                            <w:r w:rsidRPr="00A21E05">
                              <w:rPr>
                                <w:rFonts w:ascii="Arial" w:hAnsi="Arial" w:cs="Arial"/>
                                <w:color w:val="2E74B5"/>
                                <w:sz w:val="18"/>
                              </w:rPr>
                              <w:fldChar w:fldCharType="end"/>
                            </w:r>
                            <w:r>
                              <w:rPr>
                                <w:rFonts w:ascii="Arial" w:hAnsi="Arial" w:cs="Arial"/>
                                <w:color w:val="2E74B5"/>
                                <w:sz w:val="18"/>
                              </w:rPr>
                              <w:tab/>
                              <w:t>Monetary savings due to replacement per type of lamp</w:t>
                            </w:r>
                            <w:bookmarkEnd w:id="331"/>
                          </w:p>
                          <w:p w:rsidR="00540FEA" w:rsidRDefault="00540FEA" w:rsidP="00AB1783">
                            <w:pPr>
                              <w:rPr>
                                <w:noProof/>
                              </w:rPr>
                            </w:pPr>
                          </w:p>
                          <w:p w:rsidR="00540FEA" w:rsidRDefault="00540FEA" w:rsidP="00AB1783">
                            <w:pPr>
                              <w:rPr>
                                <w:noProof/>
                              </w:rPr>
                            </w:pPr>
                            <w:r w:rsidRPr="00676649">
                              <w:rPr>
                                <w:noProof/>
                              </w:rPr>
                              <w:drawing>
                                <wp:inline distT="0" distB="0" distL="0" distR="0">
                                  <wp:extent cx="4805680" cy="3027680"/>
                                  <wp:effectExtent l="0" t="0" r="0" b="0"/>
                                  <wp:docPr id="47"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4805680" cy="3027680"/>
                                          </a:xfrm>
                                          <a:prstGeom prst="rect">
                                            <a:avLst/>
                                          </a:prstGeom>
                                          <a:noFill/>
                                          <a:ln>
                                            <a:noFill/>
                                          </a:ln>
                                        </pic:spPr>
                                      </pic:pic>
                                    </a:graphicData>
                                  </a:graphic>
                                </wp:inline>
                              </w:drawing>
                            </w:r>
                          </w:p>
                          <w:p w:rsidR="00540FEA" w:rsidRPr="004C0D28" w:rsidRDefault="00540FEA" w:rsidP="00AB1783">
                            <w:pPr>
                              <w:rPr>
                                <w:noProof/>
                                <w:lang w:val="en-GB"/>
                              </w:rPr>
                            </w:pPr>
                          </w:p>
                          <w:p w:rsidR="00540FEA" w:rsidRPr="003A7211" w:rsidRDefault="00540FEA" w:rsidP="003A7211">
                            <w:pPr>
                              <w:ind w:left="4820"/>
                              <w:rPr>
                                <w:sz w:val="19"/>
                                <w:szCs w:val="19"/>
                                <w:lang w:val="en-GB" w:eastAsia="en-GB"/>
                              </w:rPr>
                            </w:pPr>
                            <w:r w:rsidRPr="003A7211">
                              <w:rPr>
                                <w:sz w:val="19"/>
                                <w:szCs w:val="19"/>
                                <w:lang w:val="en-GB" w:eastAsia="en-GB"/>
                              </w:rPr>
                              <w:t xml:space="preserve">Based on the energy consumption estimates, lifetime, and tariff assumptions and calculations of </w:t>
                            </w:r>
                            <w:r w:rsidRPr="003A7211">
                              <w:rPr>
                                <w:sz w:val="19"/>
                                <w:szCs w:val="19"/>
                                <w:lang w:val="en-GB" w:eastAsia="en-GB"/>
                              </w:rPr>
                              <w:fldChar w:fldCharType="begin"/>
                            </w:r>
                            <w:r w:rsidRPr="003A7211">
                              <w:rPr>
                                <w:sz w:val="19"/>
                                <w:szCs w:val="19"/>
                                <w:lang w:val="en-GB" w:eastAsia="en-GB"/>
                              </w:rPr>
                              <w:instrText xml:space="preserve"> REF _Ref535847044 \h </w:instrText>
                            </w:r>
                            <w:r>
                              <w:rPr>
                                <w:sz w:val="19"/>
                                <w:szCs w:val="19"/>
                                <w:lang w:val="en-GB" w:eastAsia="en-GB"/>
                              </w:rPr>
                              <w:instrText xml:space="preserve"> \* MERGEFORMAT </w:instrText>
                            </w:r>
                            <w:r w:rsidRPr="003A7211">
                              <w:rPr>
                                <w:sz w:val="19"/>
                                <w:szCs w:val="19"/>
                                <w:lang w:val="en-GB" w:eastAsia="en-GB"/>
                              </w:rPr>
                            </w:r>
                            <w:r w:rsidRPr="003A7211">
                              <w:rPr>
                                <w:sz w:val="19"/>
                                <w:szCs w:val="19"/>
                                <w:lang w:val="en-GB" w:eastAsia="en-GB"/>
                              </w:rPr>
                              <w:fldChar w:fldCharType="separate"/>
                            </w:r>
                            <w:r w:rsidRPr="0090492C">
                              <w:rPr>
                                <w:rFonts w:ascii="Arial" w:hAnsi="Arial" w:cs="Arial"/>
                                <w:color w:val="2E74B5"/>
                                <w:sz w:val="19"/>
                                <w:szCs w:val="19"/>
                              </w:rPr>
                              <w:t xml:space="preserve">Box </w:t>
                            </w:r>
                            <w:r w:rsidRPr="0090492C">
                              <w:rPr>
                                <w:rFonts w:ascii="Arial" w:hAnsi="Arial" w:cs="Arial"/>
                                <w:noProof/>
                                <w:color w:val="2E74B5"/>
                                <w:sz w:val="19"/>
                                <w:szCs w:val="19"/>
                              </w:rPr>
                              <w:t>43</w:t>
                            </w:r>
                            <w:r w:rsidRPr="003A7211">
                              <w:rPr>
                                <w:sz w:val="19"/>
                                <w:szCs w:val="19"/>
                                <w:lang w:val="en-GB" w:eastAsia="en-GB"/>
                              </w:rPr>
                              <w:fldChar w:fldCharType="end"/>
                            </w:r>
                            <w:r w:rsidRPr="003A7211">
                              <w:rPr>
                                <w:sz w:val="19"/>
                                <w:szCs w:val="19"/>
                                <w:lang w:val="en-GB" w:eastAsia="en-GB"/>
                              </w:rPr>
                              <w:t xml:space="preserve">, the table above provides estimates of </w:t>
                            </w:r>
                            <w:r w:rsidRPr="003A7211">
                              <w:rPr>
                                <w:b/>
                                <w:sz w:val="19"/>
                                <w:szCs w:val="19"/>
                                <w:lang w:val="en-GB" w:eastAsia="en-GB"/>
                              </w:rPr>
                              <w:t>monetary savings</w:t>
                            </w:r>
                            <w:r w:rsidRPr="003A7211">
                              <w:rPr>
                                <w:sz w:val="19"/>
                                <w:szCs w:val="19"/>
                                <w:lang w:val="en-GB" w:eastAsia="en-GB"/>
                              </w:rPr>
                              <w:t xml:space="preserve"> of switching an efficient lamp for a less efficient one (in USD per lamp per year) for different lamp replacement combinations.</w:t>
                            </w:r>
                          </w:p>
                          <w:p w:rsidR="00540FEA" w:rsidRPr="003A7211" w:rsidRDefault="00540FEA" w:rsidP="003A7211">
                            <w:pPr>
                              <w:tabs>
                                <w:tab w:val="left" w:pos="5103"/>
                              </w:tabs>
                              <w:ind w:left="5103" w:hanging="283"/>
                              <w:rPr>
                                <w:i/>
                                <w:noProof/>
                                <w:sz w:val="19"/>
                                <w:szCs w:val="19"/>
                                <w:lang w:val="en-GB"/>
                              </w:rPr>
                            </w:pPr>
                            <w:r w:rsidRPr="003A7211">
                              <w:rPr>
                                <w:i/>
                                <w:noProof/>
                                <w:sz w:val="19"/>
                                <w:szCs w:val="19"/>
                                <w:lang w:val="en-GB"/>
                              </w:rPr>
                              <w:t>Notes:</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For comparing lamps, the residential Eskom tariff is used, for street lighting the public tariff</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Annualised cost are calculated by multiplying the purchase price with the capital recovery factor CFF = I * (1+i)</w:t>
                            </w:r>
                            <w:r w:rsidRPr="003A7211">
                              <w:rPr>
                                <w:noProof/>
                                <w:sz w:val="19"/>
                                <w:szCs w:val="19"/>
                                <w:vertAlign w:val="superscript"/>
                                <w:lang w:val="en-GB"/>
                              </w:rPr>
                              <w:t>n</w:t>
                            </w:r>
                            <w:r w:rsidRPr="003A7211">
                              <w:rPr>
                                <w:noProof/>
                                <w:sz w:val="19"/>
                                <w:szCs w:val="19"/>
                                <w:lang w:val="en-GB"/>
                              </w:rPr>
                              <w:t xml:space="preserve"> / ((1+i)</w:t>
                            </w:r>
                            <w:r w:rsidRPr="003A7211">
                              <w:rPr>
                                <w:noProof/>
                                <w:sz w:val="19"/>
                                <w:szCs w:val="19"/>
                                <w:vertAlign w:val="superscript"/>
                                <w:lang w:val="en-GB"/>
                              </w:rPr>
                              <w:t>n</w:t>
                            </w:r>
                            <w:r w:rsidRPr="003A7211">
                              <w:rPr>
                                <w:noProof/>
                                <w:sz w:val="19"/>
                                <w:szCs w:val="19"/>
                                <w:lang w:val="en-GB"/>
                              </w:rPr>
                              <w:t>-1) with I = discount rate = 10% and n = lifetime of the lamp</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 xml:space="preserve">Street lighting is compared not by using the cost of the lamp, but the cost of the luminaire (plus lamp). Cost data are based on the before-mentioned CSA </w:t>
                            </w:r>
                            <w:r w:rsidRPr="003A7211">
                              <w:rPr>
                                <w:i/>
                                <w:noProof/>
                                <w:sz w:val="19"/>
                                <w:szCs w:val="19"/>
                                <w:lang w:val="en-GB"/>
                              </w:rPr>
                              <w:t xml:space="preserve">Public Lighting Guide </w:t>
                            </w:r>
                            <w:r w:rsidRPr="003A7211">
                              <w:rPr>
                                <w:noProof/>
                                <w:sz w:val="19"/>
                                <w:szCs w:val="19"/>
                                <w:lang w:val="en-GB"/>
                              </w:rPr>
                              <w:t>(2012) and the calculations in the table on the left.</w:t>
                            </w:r>
                          </w:p>
                          <w:p w:rsidR="00540FEA" w:rsidRPr="003A7211" w:rsidRDefault="00540FEA" w:rsidP="003A7211">
                            <w:pPr>
                              <w:tabs>
                                <w:tab w:val="left" w:pos="5103"/>
                              </w:tabs>
                              <w:ind w:left="5103" w:hanging="283"/>
                              <w:rPr>
                                <w:noProof/>
                                <w:lang w:val="en-GB"/>
                              </w:rPr>
                            </w:pPr>
                          </w:p>
                          <w:p w:rsidR="00540FEA" w:rsidRDefault="00540FEA" w:rsidP="00AB1783">
                            <w:pPr>
                              <w:rPr>
                                <w:noProof/>
                              </w:rPr>
                            </w:pPr>
                          </w:p>
                          <w:p w:rsidR="00540FEA" w:rsidRDefault="00540FEA" w:rsidP="00AB1783">
                            <w:pPr>
                              <w:rPr>
                                <w:noProof/>
                              </w:rPr>
                            </w:pPr>
                          </w:p>
                          <w:p w:rsidR="00540FEA" w:rsidRDefault="00540FEA" w:rsidP="00AB1783">
                            <w:pPr>
                              <w:rPr>
                                <w:noProof/>
                              </w:rPr>
                            </w:pPr>
                          </w:p>
                          <w:p w:rsidR="00540FEA" w:rsidRDefault="00540FEA" w:rsidP="00AB1783">
                            <w:pPr>
                              <w:rPr>
                                <w:noProof/>
                              </w:rPr>
                            </w:pPr>
                          </w:p>
                          <w:p w:rsidR="00540FEA" w:rsidRDefault="00540FEA" w:rsidP="00AB1783">
                            <w:pPr>
                              <w:rPr>
                                <w:noProof/>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left:0;text-align:left;margin-left:-16.7pt;margin-top:0;width:530.7pt;height:557.6pt;z-index:251648000;visibility:visible;mso-wrap-style:square;mso-width-percent:0;mso-height-percent:0;mso-wrap-distance-left:9pt;mso-wrap-distance-top:3.6pt;mso-wrap-distance-right:9pt;mso-wrap-distance-bottom:3.6pt;mso-position-horizontal:absolute;mso-position-horizontal-relative:margin;mso-position-vertical:bottom;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" filled="f" strokecolor="#bfbfbf" strokeweight="1.25pt">
                <v:textbox>
                  <w:txbxContent>
                    <w:p w:rsidR="00540FEA" w:rsidRDefault="00540FEA" w:rsidP="00AB1783">
                      <w:pPr>
                        <w:pStyle w:val="Caption"/>
                        <w:rPr>
                          <w:rFonts w:ascii="Arial" w:hAnsi="Arial" w:cs="Arial"/>
                          <w:color w:val="2E74B5"/>
                          <w:sz w:val="18"/>
                        </w:rPr>
                      </w:pPr>
                      <w:bookmarkStart w:id="397" w:name="_Toc179871"/>
                      <w:r w:rsidRPr="00A21E05">
                        <w:rPr>
                          <w:rFonts w:ascii="Arial" w:hAnsi="Arial" w:cs="Arial"/>
                          <w:color w:val="2E74B5"/>
                          <w:sz w:val="18"/>
                        </w:rPr>
                        <w:t xml:space="preserve">Box </w:t>
                      </w:r>
                      <w:r w:rsidRPr="00A21E05">
                        <w:rPr>
                          <w:rFonts w:ascii="Arial" w:hAnsi="Arial" w:cs="Arial"/>
                          <w:color w:val="2E74B5"/>
                          <w:sz w:val="18"/>
                        </w:rPr>
                        <w:fldChar w:fldCharType="begin"/>
                      </w:r>
                      <w:r w:rsidRPr="00A21E05">
                        <w:rPr>
                          <w:rFonts w:ascii="Arial" w:hAnsi="Arial" w:cs="Arial"/>
                          <w:color w:val="2E74B5"/>
                          <w:sz w:val="18"/>
                        </w:rPr>
                        <w:instrText xml:space="preserve"> SEQ Box \* ARABIC </w:instrText>
                      </w:r>
                      <w:r w:rsidRPr="00A21E05">
                        <w:rPr>
                          <w:rFonts w:ascii="Arial" w:hAnsi="Arial" w:cs="Arial"/>
                          <w:color w:val="2E74B5"/>
                          <w:sz w:val="18"/>
                        </w:rPr>
                        <w:fldChar w:fldCharType="separate"/>
                      </w:r>
                      <w:r>
                        <w:rPr>
                          <w:rFonts w:ascii="Arial" w:hAnsi="Arial" w:cs="Arial"/>
                          <w:noProof/>
                          <w:color w:val="2E74B5"/>
                          <w:sz w:val="18"/>
                        </w:rPr>
                        <w:t>47</w:t>
                      </w:r>
                      <w:r w:rsidRPr="00A21E05">
                        <w:rPr>
                          <w:rFonts w:ascii="Arial" w:hAnsi="Arial" w:cs="Arial"/>
                          <w:color w:val="2E74B5"/>
                          <w:sz w:val="18"/>
                        </w:rPr>
                        <w:fldChar w:fldCharType="end"/>
                      </w:r>
                      <w:r>
                        <w:rPr>
                          <w:rFonts w:ascii="Arial" w:hAnsi="Arial" w:cs="Arial"/>
                          <w:color w:val="2E74B5"/>
                          <w:sz w:val="18"/>
                        </w:rPr>
                        <w:tab/>
                        <w:t>Monetary savings due to replacement per type of lamp</w:t>
                      </w:r>
                      <w:bookmarkEnd w:id="397"/>
                    </w:p>
                    <w:p w:rsidR="00540FEA" w:rsidRDefault="00540FEA" w:rsidP="00AB1783">
                      <w:pPr>
                        <w:rPr>
                          <w:noProof/>
                        </w:rPr>
                      </w:pPr>
                    </w:p>
                    <w:p w:rsidR="00540FEA" w:rsidRDefault="00540FEA" w:rsidP="00AB1783">
                      <w:pPr>
                        <w:rPr>
                          <w:noProof/>
                        </w:rPr>
                      </w:pPr>
                      <w:r w:rsidRPr="00676649">
                        <w:rPr>
                          <w:noProof/>
                        </w:rPr>
                        <w:drawing>
                          <wp:inline distT="0" distB="0" distL="0" distR="0">
                            <wp:extent cx="4805680" cy="3027680"/>
                            <wp:effectExtent l="0" t="0" r="0" b="0"/>
                            <wp:docPr id="47"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4805680" cy="3027680"/>
                                    </a:xfrm>
                                    <a:prstGeom prst="rect">
                                      <a:avLst/>
                                    </a:prstGeom>
                                    <a:noFill/>
                                    <a:ln>
                                      <a:noFill/>
                                    </a:ln>
                                  </pic:spPr>
                                </pic:pic>
                              </a:graphicData>
                            </a:graphic>
                          </wp:inline>
                        </w:drawing>
                      </w:r>
                    </w:p>
                    <w:p w:rsidR="00540FEA" w:rsidRPr="004C0D28" w:rsidRDefault="00540FEA" w:rsidP="00AB1783">
                      <w:pPr>
                        <w:rPr>
                          <w:noProof/>
                          <w:lang w:val="en-GB"/>
                        </w:rPr>
                      </w:pPr>
                    </w:p>
                    <w:p w:rsidR="00540FEA" w:rsidRPr="003A7211" w:rsidRDefault="00540FEA" w:rsidP="003A7211">
                      <w:pPr>
                        <w:ind w:left="4820"/>
                        <w:rPr>
                          <w:sz w:val="19"/>
                          <w:szCs w:val="19"/>
                          <w:lang w:val="en-GB" w:eastAsia="en-GB"/>
                        </w:rPr>
                      </w:pPr>
                      <w:r w:rsidRPr="003A7211">
                        <w:rPr>
                          <w:sz w:val="19"/>
                          <w:szCs w:val="19"/>
                          <w:lang w:val="en-GB" w:eastAsia="en-GB"/>
                        </w:rPr>
                        <w:t xml:space="preserve">Based on the energy consumption estimates, lifetime, and tariff assumptions and calculations of </w:t>
                      </w:r>
                      <w:r w:rsidRPr="003A7211">
                        <w:rPr>
                          <w:sz w:val="19"/>
                          <w:szCs w:val="19"/>
                          <w:lang w:val="en-GB" w:eastAsia="en-GB"/>
                        </w:rPr>
                        <w:fldChar w:fldCharType="begin"/>
                      </w:r>
                      <w:r w:rsidRPr="003A7211">
                        <w:rPr>
                          <w:sz w:val="19"/>
                          <w:szCs w:val="19"/>
                          <w:lang w:val="en-GB" w:eastAsia="en-GB"/>
                        </w:rPr>
                        <w:instrText xml:space="preserve"> REF _Ref535847044 \h </w:instrText>
                      </w:r>
                      <w:r>
                        <w:rPr>
                          <w:sz w:val="19"/>
                          <w:szCs w:val="19"/>
                          <w:lang w:val="en-GB" w:eastAsia="en-GB"/>
                        </w:rPr>
                        <w:instrText xml:space="preserve"> \* MERGEFORMAT </w:instrText>
                      </w:r>
                      <w:r w:rsidRPr="003A7211">
                        <w:rPr>
                          <w:sz w:val="19"/>
                          <w:szCs w:val="19"/>
                          <w:lang w:val="en-GB" w:eastAsia="en-GB"/>
                        </w:rPr>
                      </w:r>
                      <w:r w:rsidRPr="003A7211">
                        <w:rPr>
                          <w:sz w:val="19"/>
                          <w:szCs w:val="19"/>
                          <w:lang w:val="en-GB" w:eastAsia="en-GB"/>
                        </w:rPr>
                        <w:fldChar w:fldCharType="separate"/>
                      </w:r>
                      <w:r w:rsidRPr="0090492C">
                        <w:rPr>
                          <w:rFonts w:ascii="Arial" w:hAnsi="Arial" w:cs="Arial"/>
                          <w:color w:val="2E74B5"/>
                          <w:sz w:val="19"/>
                          <w:szCs w:val="19"/>
                        </w:rPr>
                        <w:t xml:space="preserve">Box </w:t>
                      </w:r>
                      <w:r w:rsidRPr="0090492C">
                        <w:rPr>
                          <w:rFonts w:ascii="Arial" w:hAnsi="Arial" w:cs="Arial"/>
                          <w:noProof/>
                          <w:color w:val="2E74B5"/>
                          <w:sz w:val="19"/>
                          <w:szCs w:val="19"/>
                        </w:rPr>
                        <w:t>43</w:t>
                      </w:r>
                      <w:r w:rsidRPr="003A7211">
                        <w:rPr>
                          <w:sz w:val="19"/>
                          <w:szCs w:val="19"/>
                          <w:lang w:val="en-GB" w:eastAsia="en-GB"/>
                        </w:rPr>
                        <w:fldChar w:fldCharType="end"/>
                      </w:r>
                      <w:r w:rsidRPr="003A7211">
                        <w:rPr>
                          <w:sz w:val="19"/>
                          <w:szCs w:val="19"/>
                          <w:lang w:val="en-GB" w:eastAsia="en-GB"/>
                        </w:rPr>
                        <w:t xml:space="preserve">, the table above provides estimates of </w:t>
                      </w:r>
                      <w:r w:rsidRPr="003A7211">
                        <w:rPr>
                          <w:b/>
                          <w:sz w:val="19"/>
                          <w:szCs w:val="19"/>
                          <w:lang w:val="en-GB" w:eastAsia="en-GB"/>
                        </w:rPr>
                        <w:t>monetary savings</w:t>
                      </w:r>
                      <w:r w:rsidRPr="003A7211">
                        <w:rPr>
                          <w:sz w:val="19"/>
                          <w:szCs w:val="19"/>
                          <w:lang w:val="en-GB" w:eastAsia="en-GB"/>
                        </w:rPr>
                        <w:t xml:space="preserve"> of switching an efficient lamp for a less efficient one (in USD per lamp per year) for different lamp replacement combinations.</w:t>
                      </w:r>
                    </w:p>
                    <w:p w:rsidR="00540FEA" w:rsidRPr="003A7211" w:rsidRDefault="00540FEA" w:rsidP="003A7211">
                      <w:pPr>
                        <w:tabs>
                          <w:tab w:val="left" w:pos="5103"/>
                        </w:tabs>
                        <w:ind w:left="5103" w:hanging="283"/>
                        <w:rPr>
                          <w:i/>
                          <w:noProof/>
                          <w:sz w:val="19"/>
                          <w:szCs w:val="19"/>
                          <w:lang w:val="en-GB"/>
                        </w:rPr>
                      </w:pPr>
                      <w:r w:rsidRPr="003A7211">
                        <w:rPr>
                          <w:i/>
                          <w:noProof/>
                          <w:sz w:val="19"/>
                          <w:szCs w:val="19"/>
                          <w:lang w:val="en-GB"/>
                        </w:rPr>
                        <w:t>Notes:</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For comparing lamps, the residential Eskom tariff is used, for street lighting the public tariff</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Annualised cost are calculated by multiplying the purchase price with the capital recovery factor CFF = I * (1+i)</w:t>
                      </w:r>
                      <w:r w:rsidRPr="003A7211">
                        <w:rPr>
                          <w:noProof/>
                          <w:sz w:val="19"/>
                          <w:szCs w:val="19"/>
                          <w:vertAlign w:val="superscript"/>
                          <w:lang w:val="en-GB"/>
                        </w:rPr>
                        <w:t>n</w:t>
                      </w:r>
                      <w:r w:rsidRPr="003A7211">
                        <w:rPr>
                          <w:noProof/>
                          <w:sz w:val="19"/>
                          <w:szCs w:val="19"/>
                          <w:lang w:val="en-GB"/>
                        </w:rPr>
                        <w:t xml:space="preserve"> / ((1+i)</w:t>
                      </w:r>
                      <w:r w:rsidRPr="003A7211">
                        <w:rPr>
                          <w:noProof/>
                          <w:sz w:val="19"/>
                          <w:szCs w:val="19"/>
                          <w:vertAlign w:val="superscript"/>
                          <w:lang w:val="en-GB"/>
                        </w:rPr>
                        <w:t>n</w:t>
                      </w:r>
                      <w:r w:rsidRPr="003A7211">
                        <w:rPr>
                          <w:noProof/>
                          <w:sz w:val="19"/>
                          <w:szCs w:val="19"/>
                          <w:lang w:val="en-GB"/>
                        </w:rPr>
                        <w:t>-1) with I = discount rate = 10% and n = lifetime of the lamp</w:t>
                      </w:r>
                    </w:p>
                    <w:p w:rsidR="00540FEA" w:rsidRPr="003A7211" w:rsidRDefault="00540FEA" w:rsidP="00731F0C">
                      <w:pPr>
                        <w:numPr>
                          <w:ilvl w:val="0"/>
                          <w:numId w:val="34"/>
                        </w:numPr>
                        <w:tabs>
                          <w:tab w:val="left" w:pos="5103"/>
                        </w:tabs>
                        <w:ind w:left="5103" w:hanging="283"/>
                        <w:rPr>
                          <w:noProof/>
                          <w:sz w:val="19"/>
                          <w:szCs w:val="19"/>
                          <w:lang w:val="en-GB"/>
                        </w:rPr>
                      </w:pPr>
                      <w:r w:rsidRPr="003A7211">
                        <w:rPr>
                          <w:noProof/>
                          <w:sz w:val="19"/>
                          <w:szCs w:val="19"/>
                          <w:lang w:val="en-GB"/>
                        </w:rPr>
                        <w:t xml:space="preserve">Street lighting is compared not by using the cost of the lamp, but the cost of the luminaire (plus lamp). Cost data are based on the before-mentioned CSA </w:t>
                      </w:r>
                      <w:r w:rsidRPr="003A7211">
                        <w:rPr>
                          <w:i/>
                          <w:noProof/>
                          <w:sz w:val="19"/>
                          <w:szCs w:val="19"/>
                          <w:lang w:val="en-GB"/>
                        </w:rPr>
                        <w:t xml:space="preserve">Public Lighting Guide </w:t>
                      </w:r>
                      <w:r w:rsidRPr="003A7211">
                        <w:rPr>
                          <w:noProof/>
                          <w:sz w:val="19"/>
                          <w:szCs w:val="19"/>
                          <w:lang w:val="en-GB"/>
                        </w:rPr>
                        <w:t>(2012) and the calculations in the table on the left.</w:t>
                      </w:r>
                    </w:p>
                    <w:p w:rsidR="00540FEA" w:rsidRPr="003A7211" w:rsidRDefault="00540FEA" w:rsidP="003A7211">
                      <w:pPr>
                        <w:tabs>
                          <w:tab w:val="left" w:pos="5103"/>
                        </w:tabs>
                        <w:ind w:left="5103" w:hanging="283"/>
                        <w:rPr>
                          <w:noProof/>
                          <w:lang w:val="en-GB"/>
                        </w:rPr>
                      </w:pPr>
                    </w:p>
                    <w:p w:rsidR="00540FEA" w:rsidRDefault="00540FEA" w:rsidP="00AB1783">
                      <w:pPr>
                        <w:rPr>
                          <w:noProof/>
                        </w:rPr>
                      </w:pPr>
                    </w:p>
                    <w:p w:rsidR="00540FEA" w:rsidRDefault="00540FEA" w:rsidP="00AB1783">
                      <w:pPr>
                        <w:rPr>
                          <w:noProof/>
                        </w:rPr>
                      </w:pPr>
                    </w:p>
                    <w:p w:rsidR="00540FEA" w:rsidRDefault="00540FEA" w:rsidP="00AB1783">
                      <w:pPr>
                        <w:rPr>
                          <w:noProof/>
                        </w:rPr>
                      </w:pPr>
                    </w:p>
                    <w:p w:rsidR="00540FEA" w:rsidRDefault="00540FEA" w:rsidP="00AB1783">
                      <w:pPr>
                        <w:rPr>
                          <w:noProof/>
                        </w:rPr>
                      </w:pPr>
                    </w:p>
                    <w:p w:rsidR="00540FEA" w:rsidRDefault="00540FEA" w:rsidP="00AB1783">
                      <w:pPr>
                        <w:rPr>
                          <w:noProof/>
                        </w:rPr>
                      </w:pPr>
                    </w:p>
                  </w:txbxContent>
                </v:textbox>
                <w10:wrap type="topAndBottom" anchorx="margin" anchory="margin"/>
              </v:shape>
            </w:pict>
          </mc:Fallback>
        </mc:AlternateContent>
      </w:r>
      <w:r>
        <w:rPr>
          <w:noProof/>
        </w:rPr>
        <w:drawing>
          <wp:anchor distT="0" distB="0" distL="114300" distR="114300" simplePos="0" relativeHeight="251649024" behindDoc="0" locked="0" layoutInCell="1" allowOverlap="1">
            <wp:simplePos x="0" y="0"/>
            <wp:positionH relativeFrom="page">
              <wp:posOffset>619760</wp:posOffset>
            </wp:positionH>
            <wp:positionV relativeFrom="page">
              <wp:posOffset>5486400</wp:posOffset>
            </wp:positionV>
            <wp:extent cx="2885440" cy="3479800"/>
            <wp:effectExtent l="0" t="0" r="0" b="0"/>
            <wp:wrapTopAndBottom/>
            <wp:docPr id="14" name="Picture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2885440" cy="3479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F0C5B" w:rsidRPr="0057545E">
        <w:rPr>
          <w:lang w:val="en-GB" w:eastAsia="en-GB"/>
        </w:rPr>
        <w:t xml:space="preserve">The alternative scenario differs from the baseline scenario by </w:t>
      </w:r>
      <w:r w:rsidR="0090492C" w:rsidRPr="00353542">
        <w:rPr>
          <w:lang w:val="en-GB" w:eastAsia="en-GB"/>
        </w:rPr>
        <w:t xml:space="preserve">calculating </w:t>
      </w:r>
      <w:r w:rsidR="005F0C5B" w:rsidRPr="003B7D62">
        <w:rPr>
          <w:lang w:val="en-GB" w:eastAsia="en-GB"/>
        </w:rPr>
        <w:t>the market share of LEDs in the years 202</w:t>
      </w:r>
      <w:r w:rsidR="0090492C" w:rsidRPr="004722F0">
        <w:rPr>
          <w:lang w:val="en-GB" w:eastAsia="en-GB"/>
        </w:rPr>
        <w:t>2</w:t>
      </w:r>
      <w:r w:rsidR="005F0C5B" w:rsidRPr="00666B27">
        <w:rPr>
          <w:lang w:val="en-GB" w:eastAsia="en-GB"/>
        </w:rPr>
        <w:t xml:space="preserve"> and 2030 for three categories, a. incandescent, CFLs, halogen lamps and LEDs, b. tubular lamps (</w:t>
      </w:r>
      <w:r w:rsidR="005F0C5B" w:rsidRPr="00666B27">
        <w:rPr>
          <w:noProof/>
          <w:lang w:val="en-GB" w:eastAsia="en-GB"/>
        </w:rPr>
        <w:t>LFLs</w:t>
      </w:r>
      <w:r w:rsidR="005F0C5B" w:rsidRPr="00666B27">
        <w:rPr>
          <w:lang w:val="en-GB" w:eastAsia="en-GB"/>
        </w:rPr>
        <w:t xml:space="preserve"> and LED tubes) and c. high-power, outdoor and street lighting lamps (HID-MV, HID-HPS </w:t>
      </w:r>
      <w:r w:rsidR="005F0C5B" w:rsidRPr="00666B27">
        <w:rPr>
          <w:noProof/>
          <w:lang w:val="en-GB" w:eastAsia="en-GB"/>
        </w:rPr>
        <w:t>and</w:t>
      </w:r>
      <w:r w:rsidR="005F0C5B" w:rsidRPr="00666B27">
        <w:rPr>
          <w:lang w:val="en-GB" w:eastAsia="en-GB"/>
        </w:rPr>
        <w:t xml:space="preserve"> LEDs). The shares of the intermediate years 2018-2021 and 2023-2029 </w:t>
      </w:r>
      <w:r w:rsidR="0090492C" w:rsidRPr="00666B27">
        <w:rPr>
          <w:lang w:val="en-GB" w:eastAsia="en-GB"/>
        </w:rPr>
        <w:t xml:space="preserve">are </w:t>
      </w:r>
      <w:r w:rsidR="005F0C5B" w:rsidRPr="00666B27">
        <w:rPr>
          <w:lang w:val="en-GB" w:eastAsia="en-GB"/>
        </w:rPr>
        <w:t>determined by interpolation. One can observe that the total number of lighting points (i.e. installed lamps) in the baseline and the alternative scenario is the same, but that the distribution of lamps is shifted towards more energy efficient products in the alternative scenario</w:t>
      </w:r>
      <w:r w:rsidR="0090492C" w:rsidRPr="00666B27">
        <w:rPr>
          <w:lang w:val="en-GB" w:eastAsia="en-GB"/>
        </w:rPr>
        <w:t>.</w:t>
      </w:r>
    </w:p>
    <w:p w:rsidR="005F0C5B" w:rsidRPr="00666B27" w:rsidRDefault="005F0C5B" w:rsidP="005F0C5B">
      <w:pPr>
        <w:spacing w:after="0"/>
        <w:rPr>
          <w:lang w:val="en-GB" w:eastAsia="en-GB"/>
        </w:rPr>
      </w:pPr>
    </w:p>
    <w:p w:rsidR="003A7211" w:rsidRPr="00666B27" w:rsidRDefault="003A7211" w:rsidP="003A7211">
      <w:pPr>
        <w:spacing w:after="0"/>
        <w:rPr>
          <w:lang w:val="en-GB" w:eastAsia="en-GB"/>
        </w:rPr>
      </w:pPr>
      <w:r w:rsidRPr="00666B27">
        <w:rPr>
          <w:lang w:val="en-GB" w:eastAsia="en-GB"/>
        </w:rPr>
        <w:t xml:space="preserve">As </w:t>
      </w:r>
      <w:r w:rsidR="0090492C" w:rsidRPr="00666B27">
        <w:rPr>
          <w:lang w:val="en-GB" w:eastAsia="en-GB"/>
        </w:rPr>
        <w:t>fewer</w:t>
      </w:r>
      <w:r w:rsidRPr="00666B27">
        <w:rPr>
          <w:lang w:val="en-GB" w:eastAsia="en-GB"/>
        </w:rPr>
        <w:t xml:space="preserve"> fluorescent lamps are installed in the alternative scenario, this will result in </w:t>
      </w:r>
      <w:r w:rsidRPr="00666B27">
        <w:rPr>
          <w:b/>
          <w:lang w:val="en-GB" w:eastAsia="en-GB"/>
        </w:rPr>
        <w:t>avoided mercury content</w:t>
      </w:r>
      <w:r w:rsidRPr="00666B27">
        <w:rPr>
          <w:lang w:val="en-GB" w:eastAsia="en-GB"/>
        </w:rPr>
        <w:t xml:space="preserve"> (compact, linear and circular fluorescent lamps contain small amounts of mercury), starting with 3.13 tons in 2018 up to 5.03 tons of mercury in 2030 that would otherwise have been deposited into the environment (unless the mercury of these lamps is recovered in recycling facilities). Coal contains some small amounts of mercury, so the avoided use of coal </w:t>
      </w:r>
      <w:r w:rsidR="00FB2439" w:rsidRPr="00666B27">
        <w:rPr>
          <w:lang w:val="en-GB" w:eastAsia="en-GB"/>
        </w:rPr>
        <w:t>(</w:t>
      </w:r>
      <w:r w:rsidRPr="00666B27">
        <w:rPr>
          <w:lang w:val="en-GB" w:eastAsia="en-GB"/>
        </w:rPr>
        <w:t xml:space="preserve">due to lower electricity </w:t>
      </w:r>
      <w:r w:rsidRPr="00666B27">
        <w:rPr>
          <w:noProof/>
          <w:lang w:val="en-GB" w:eastAsia="en-GB"/>
        </w:rPr>
        <w:t>consumption</w:t>
      </w:r>
      <w:r w:rsidR="00FB2439" w:rsidRPr="00666B27">
        <w:rPr>
          <w:noProof/>
          <w:lang w:val="en-GB" w:eastAsia="en-GB"/>
        </w:rPr>
        <w:t>)</w:t>
      </w:r>
      <w:r w:rsidRPr="00666B27">
        <w:rPr>
          <w:lang w:val="en-GB" w:eastAsia="en-GB"/>
        </w:rPr>
        <w:t xml:space="preserve"> implies that less mercury is released into the environment.</w:t>
      </w:r>
    </w:p>
    <w:p w:rsidR="003F0660" w:rsidRPr="00666B27" w:rsidRDefault="003F0660" w:rsidP="00F21F31">
      <w:pPr>
        <w:spacing w:after="0"/>
        <w:rPr>
          <w:lang w:val="en-GB" w:eastAsia="en-GB"/>
        </w:rPr>
      </w:pPr>
    </w:p>
    <w:p w:rsidR="00AB1783" w:rsidRPr="00666B27" w:rsidRDefault="003A7211" w:rsidP="00F21F31">
      <w:pPr>
        <w:spacing w:after="0"/>
        <w:rPr>
          <w:i/>
          <w:lang w:val="en-GB" w:eastAsia="en-GB"/>
        </w:rPr>
      </w:pPr>
      <w:r w:rsidRPr="00666B27">
        <w:rPr>
          <w:lang w:val="en-GB" w:eastAsia="en-GB"/>
        </w:rPr>
        <w:t xml:space="preserve">Many lamps will be used during hours of </w:t>
      </w:r>
      <w:r w:rsidRPr="00666B27">
        <w:rPr>
          <w:b/>
          <w:lang w:val="en-GB" w:eastAsia="en-GB"/>
        </w:rPr>
        <w:t>peak power demand</w:t>
      </w:r>
      <w:r w:rsidRPr="00666B27">
        <w:rPr>
          <w:lang w:val="en-GB" w:eastAsia="en-GB"/>
        </w:rPr>
        <w:t xml:space="preserve"> (the proportion of time used during peak hours and off-peak is expressed by the ‘peak coincidence factor’), so the use of more efficient lamp technology will result in lowering the maximum power peak demand, an estimated 117 MW in 2018 (over the baseline) to about 559 MW in 2028, i.e. equivalent to the avoided construction and operation of a power plant.</w:t>
      </w:r>
    </w:p>
    <w:p w:rsidR="00AB1783" w:rsidRPr="00666B27" w:rsidRDefault="00AB1783" w:rsidP="00F21F31">
      <w:pPr>
        <w:spacing w:after="0"/>
        <w:rPr>
          <w:i/>
          <w:lang w:val="en-GB" w:eastAsia="en-GB"/>
        </w:rPr>
      </w:pPr>
    </w:p>
    <w:p w:rsidR="00AB1783" w:rsidRPr="00666B27" w:rsidRDefault="00AB1783" w:rsidP="00AB1783">
      <w:pPr>
        <w:spacing w:after="0"/>
        <w:rPr>
          <w:u w:val="single"/>
          <w:lang w:val="en-GB" w:eastAsia="en-GB"/>
        </w:rPr>
      </w:pPr>
      <w:r w:rsidRPr="00666B27">
        <w:rPr>
          <w:u w:val="single"/>
          <w:lang w:val="en-GB" w:eastAsia="en-GB"/>
        </w:rPr>
        <w:t>Greenhouse gas emission reduction</w:t>
      </w:r>
    </w:p>
    <w:p w:rsidR="000E43F5" w:rsidRPr="00666B27" w:rsidRDefault="000E43F5" w:rsidP="00AB1783">
      <w:pPr>
        <w:spacing w:after="0"/>
        <w:rPr>
          <w:u w:val="single"/>
          <w:lang w:val="en-GB" w:eastAsia="en-GB"/>
        </w:rPr>
      </w:pPr>
    </w:p>
    <w:p w:rsidR="000E43F5" w:rsidRPr="00666B27" w:rsidRDefault="000E43F5" w:rsidP="000E43F5">
      <w:pPr>
        <w:spacing w:after="0"/>
        <w:rPr>
          <w:lang w:val="en-GB" w:eastAsia="en-GB"/>
        </w:rPr>
      </w:pPr>
      <w:r w:rsidRPr="00666B27">
        <w:rPr>
          <w:lang w:val="en-GB" w:eastAsia="en-GB"/>
        </w:rPr>
        <w:t xml:space="preserve">For the </w:t>
      </w:r>
      <w:r w:rsidRPr="00666B27">
        <w:rPr>
          <w:b/>
          <w:lang w:val="en-GB" w:eastAsia="en-GB"/>
        </w:rPr>
        <w:t>emission factor</w:t>
      </w:r>
      <w:r w:rsidRPr="00666B27">
        <w:rPr>
          <w:lang w:val="en-GB" w:eastAsia="en-GB"/>
        </w:rPr>
        <w:t xml:space="preserve"> of the electricity </w:t>
      </w:r>
      <w:r w:rsidRPr="00666B27">
        <w:rPr>
          <w:noProof/>
          <w:lang w:val="en-GB" w:eastAsia="en-GB"/>
        </w:rPr>
        <w:t>grid</w:t>
      </w:r>
      <w:r w:rsidR="00FB2439" w:rsidRPr="00666B27">
        <w:rPr>
          <w:lang w:val="en-GB" w:eastAsia="en-GB"/>
        </w:rPr>
        <w:t>,</w:t>
      </w:r>
      <w:r w:rsidRPr="00666B27">
        <w:rPr>
          <w:lang w:val="en-GB" w:eastAsia="en-GB"/>
        </w:rPr>
        <w:t xml:space="preserve"> 0.94 kgCO</w:t>
      </w:r>
      <w:r w:rsidRPr="00666B27">
        <w:rPr>
          <w:vertAlign w:val="subscript"/>
          <w:lang w:val="en-GB" w:eastAsia="en-GB"/>
        </w:rPr>
        <w:t>2</w:t>
      </w:r>
      <w:r w:rsidRPr="00666B27">
        <w:rPr>
          <w:lang w:val="en-GB" w:eastAsia="en-GB"/>
        </w:rPr>
        <w:t xml:space="preserve">/MWh is used for </w:t>
      </w:r>
      <w:r w:rsidR="00FB2439" w:rsidRPr="00666B27">
        <w:rPr>
          <w:noProof/>
          <w:lang w:val="en-GB" w:eastAsia="en-GB"/>
        </w:rPr>
        <w:t xml:space="preserve">the </w:t>
      </w:r>
      <w:r w:rsidRPr="00666B27">
        <w:rPr>
          <w:noProof/>
          <w:lang w:val="en-GB" w:eastAsia="en-GB"/>
        </w:rPr>
        <w:t>base</w:t>
      </w:r>
      <w:r w:rsidRPr="00666B27">
        <w:rPr>
          <w:lang w:val="en-GB" w:eastAsia="en-GB"/>
        </w:rPr>
        <w:t xml:space="preserve"> year 2017</w:t>
      </w:r>
      <w:r w:rsidRPr="0057545E">
        <w:rPr>
          <w:rStyle w:val="FootnoteReference"/>
          <w:lang w:val="en-GB" w:eastAsia="en-GB"/>
        </w:rPr>
        <w:footnoteReference w:id="61"/>
      </w:r>
      <w:r w:rsidRPr="0057545E">
        <w:rPr>
          <w:lang w:val="en-GB" w:eastAsia="en-GB"/>
        </w:rPr>
        <w:t xml:space="preserve">. Following the baseline scenario of the </w:t>
      </w:r>
      <w:r w:rsidRPr="00353542">
        <w:rPr>
          <w:i/>
          <w:lang w:val="en-GB" w:eastAsia="en-GB"/>
        </w:rPr>
        <w:t xml:space="preserve">Integrated Resource Plan for Electricity 2010-2030 </w:t>
      </w:r>
      <w:r w:rsidRPr="003B7D62">
        <w:rPr>
          <w:lang w:val="en-GB" w:eastAsia="en-GB"/>
        </w:rPr>
        <w:t>of the Department of Energy, emission factors are used that slightly decline from year to year, which can be attributed to the slight increase of renewables in</w:t>
      </w:r>
      <w:r w:rsidRPr="004722F0">
        <w:rPr>
          <w:lang w:val="en-GB" w:eastAsia="en-GB"/>
        </w:rPr>
        <w:t xml:space="preserve"> South Africa’s power mix. </w:t>
      </w:r>
    </w:p>
    <w:p w:rsidR="00AB1783" w:rsidRPr="00666B27" w:rsidRDefault="00AB1783" w:rsidP="00AB1783">
      <w:pPr>
        <w:spacing w:after="0"/>
        <w:rPr>
          <w:lang w:val="en-GB" w:eastAsia="en-GB"/>
        </w:rPr>
      </w:pPr>
    </w:p>
    <w:p w:rsidR="00AB1783" w:rsidRPr="00666B27" w:rsidRDefault="00AB1783" w:rsidP="00AB1783">
      <w:pPr>
        <w:spacing w:after="0"/>
        <w:rPr>
          <w:lang w:val="en-GB" w:eastAsia="en-GB"/>
        </w:rPr>
      </w:pPr>
      <w:r w:rsidRPr="00666B27">
        <w:rPr>
          <w:lang w:val="en-GB" w:eastAsia="en-GB"/>
        </w:rPr>
        <w:t xml:space="preserve">Our calculations yield estimates of the potential electricity savings and avoided emissions similar to those of the U4E country assessment by the year 2030 (lighting: 12.3 </w:t>
      </w:r>
      <w:proofErr w:type="spellStart"/>
      <w:r w:rsidRPr="00666B27">
        <w:rPr>
          <w:lang w:val="en-GB" w:eastAsia="en-GB"/>
        </w:rPr>
        <w:t>TWh</w:t>
      </w:r>
      <w:proofErr w:type="spellEnd"/>
      <w:r w:rsidRPr="00666B27">
        <w:rPr>
          <w:lang w:val="en-GB" w:eastAsia="en-GB"/>
        </w:rPr>
        <w:t xml:space="preserve"> and 10.69 million tCO</w:t>
      </w:r>
      <w:r w:rsidRPr="00666B27">
        <w:rPr>
          <w:vertAlign w:val="subscript"/>
          <w:lang w:val="en-GB" w:eastAsia="en-GB"/>
        </w:rPr>
        <w:t>2</w:t>
      </w:r>
      <w:r w:rsidRPr="00666B27">
        <w:rPr>
          <w:lang w:val="en-GB" w:eastAsia="en-GB"/>
        </w:rPr>
        <w:t xml:space="preserve"> in comparison with U4E’s 10.45 </w:t>
      </w:r>
      <w:proofErr w:type="spellStart"/>
      <w:r w:rsidRPr="00666B27">
        <w:rPr>
          <w:lang w:val="en-GB" w:eastAsia="en-GB"/>
        </w:rPr>
        <w:t>TWh</w:t>
      </w:r>
      <w:proofErr w:type="spellEnd"/>
      <w:r w:rsidRPr="00666B27">
        <w:rPr>
          <w:lang w:val="en-GB" w:eastAsia="en-GB"/>
        </w:rPr>
        <w:t xml:space="preserve"> and 10.2 million tCO</w:t>
      </w:r>
      <w:r w:rsidRPr="00666B27">
        <w:rPr>
          <w:vertAlign w:val="subscript"/>
          <w:lang w:val="en-GB" w:eastAsia="en-GB"/>
        </w:rPr>
        <w:t>2</w:t>
      </w:r>
      <w:r w:rsidRPr="00666B27">
        <w:rPr>
          <w:lang w:val="en-GB" w:eastAsia="en-GB"/>
        </w:rPr>
        <w:t xml:space="preserve">; transformers: 4.36 </w:t>
      </w:r>
      <w:proofErr w:type="spellStart"/>
      <w:r w:rsidRPr="00666B27">
        <w:rPr>
          <w:lang w:val="en-GB" w:eastAsia="en-GB"/>
        </w:rPr>
        <w:t>TWh</w:t>
      </w:r>
      <w:proofErr w:type="spellEnd"/>
      <w:r w:rsidRPr="00666B27">
        <w:rPr>
          <w:lang w:val="en-GB" w:eastAsia="en-GB"/>
        </w:rPr>
        <w:t xml:space="preserve"> and 3.78 million tCO</w:t>
      </w:r>
      <w:r w:rsidRPr="00666B27">
        <w:rPr>
          <w:vertAlign w:val="subscript"/>
          <w:lang w:val="en-GB" w:eastAsia="en-GB"/>
        </w:rPr>
        <w:t>2</w:t>
      </w:r>
      <w:r w:rsidRPr="00666B27">
        <w:rPr>
          <w:lang w:val="en-GB" w:eastAsia="en-GB"/>
        </w:rPr>
        <w:t xml:space="preserve"> in comparison with U4E’s 5.1 </w:t>
      </w:r>
      <w:proofErr w:type="spellStart"/>
      <w:r w:rsidRPr="00666B27">
        <w:rPr>
          <w:lang w:val="en-GB" w:eastAsia="en-GB"/>
        </w:rPr>
        <w:t>TWh</w:t>
      </w:r>
      <w:proofErr w:type="spellEnd"/>
      <w:r w:rsidRPr="00666B27">
        <w:rPr>
          <w:lang w:val="en-GB" w:eastAsia="en-GB"/>
        </w:rPr>
        <w:t xml:space="preserve"> and 4.6 million tCO</w:t>
      </w:r>
      <w:r w:rsidRPr="00666B27">
        <w:rPr>
          <w:vertAlign w:val="subscript"/>
          <w:lang w:val="en-GB" w:eastAsia="en-GB"/>
        </w:rPr>
        <w:t>2</w:t>
      </w:r>
      <w:r w:rsidRPr="00666B27">
        <w:rPr>
          <w:lang w:val="en-GB" w:eastAsia="en-GB"/>
        </w:rPr>
        <w:t xml:space="preserve">), assuming a compliance rate of 100 percent.  </w:t>
      </w:r>
    </w:p>
    <w:p w:rsidR="00AB1783" w:rsidRPr="00666B27" w:rsidRDefault="00AB1783" w:rsidP="00AB1783">
      <w:pPr>
        <w:spacing w:after="0"/>
        <w:rPr>
          <w:lang w:val="en-GB" w:eastAsia="en-GB"/>
        </w:rPr>
      </w:pPr>
    </w:p>
    <w:p w:rsidR="00AB1783" w:rsidRPr="0057545E" w:rsidRDefault="003A2690" w:rsidP="00AB1783">
      <w:pPr>
        <w:spacing w:after="0"/>
        <w:rPr>
          <w:lang w:val="en-GB" w:eastAsia="en-GB"/>
        </w:rPr>
      </w:pPr>
      <w:r w:rsidRPr="00F737AD">
        <w:rPr>
          <w:noProof/>
          <w:lang w:val="en-GB"/>
        </w:rPr>
        <w:drawing>
          <wp:inline distT="0" distB="0" distL="0" distR="0">
            <wp:extent cx="5222240" cy="873760"/>
            <wp:effectExtent l="0" t="0" r="0" b="0"/>
            <wp:docPr id="8"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222240" cy="873760"/>
                    </a:xfrm>
                    <a:prstGeom prst="rect">
                      <a:avLst/>
                    </a:prstGeom>
                    <a:noFill/>
                    <a:ln>
                      <a:noFill/>
                    </a:ln>
                  </pic:spPr>
                </pic:pic>
              </a:graphicData>
            </a:graphic>
          </wp:inline>
        </w:drawing>
      </w:r>
    </w:p>
    <w:p w:rsidR="00AB1783" w:rsidRPr="00353542" w:rsidRDefault="00AB1783" w:rsidP="00AB1783">
      <w:pPr>
        <w:spacing w:after="0"/>
        <w:rPr>
          <w:lang w:val="en-GB" w:eastAsia="en-GB"/>
        </w:rPr>
      </w:pPr>
    </w:p>
    <w:p w:rsidR="00AB1783" w:rsidRPr="00666B27" w:rsidRDefault="00AB1783" w:rsidP="00AB1783">
      <w:pPr>
        <w:spacing w:after="0"/>
        <w:rPr>
          <w:lang w:val="en-GB" w:eastAsia="en-GB"/>
        </w:rPr>
      </w:pPr>
      <w:r w:rsidRPr="003B7D62">
        <w:rPr>
          <w:lang w:val="en-GB" w:eastAsia="en-GB"/>
        </w:rPr>
        <w:t xml:space="preserve">The project’s target for </w:t>
      </w:r>
      <w:r w:rsidRPr="004722F0">
        <w:rPr>
          <w:b/>
          <w:lang w:val="en-GB" w:eastAsia="en-GB"/>
        </w:rPr>
        <w:t xml:space="preserve">direct emissions reductions </w:t>
      </w:r>
      <w:r w:rsidRPr="00666B27">
        <w:rPr>
          <w:lang w:val="en-GB" w:eastAsia="en-GB"/>
        </w:rPr>
        <w:t xml:space="preserve">includes only for devices sold during the project period of 2017-2022 (“direct GHG emissions reductions”, what the GEF defines as the result of equipment sold during the project implementation period, for the lifetime of those appliances.) To avoid overstating what a realistic goal would be for the project, we adjusted the assumed </w:t>
      </w:r>
      <w:r w:rsidRPr="00666B27">
        <w:rPr>
          <w:i/>
          <w:lang w:val="en-GB" w:eastAsia="en-GB"/>
        </w:rPr>
        <w:t>compliance rate</w:t>
      </w:r>
      <w:r w:rsidRPr="00666B27">
        <w:rPr>
          <w:lang w:val="en-GB" w:eastAsia="en-GB"/>
        </w:rPr>
        <w:t xml:space="preserve"> down to </w:t>
      </w:r>
      <w:r w:rsidR="000E43F5" w:rsidRPr="00666B27">
        <w:rPr>
          <w:lang w:val="en-GB" w:eastAsia="en-GB"/>
        </w:rPr>
        <w:t>6</w:t>
      </w:r>
      <w:r w:rsidRPr="00666B27">
        <w:rPr>
          <w:lang w:val="en-GB" w:eastAsia="en-GB"/>
        </w:rPr>
        <w:t>0</w:t>
      </w:r>
      <w:r w:rsidR="000E43F5" w:rsidRPr="00666B27">
        <w:rPr>
          <w:lang w:val="en-GB" w:eastAsia="en-GB"/>
        </w:rPr>
        <w:t>%</w:t>
      </w:r>
      <w:r w:rsidR="00231BF4" w:rsidRPr="00666B27">
        <w:rPr>
          <w:lang w:val="en-GB" w:eastAsia="en-GB"/>
        </w:rPr>
        <w:t xml:space="preserve"> (</w:t>
      </w:r>
      <w:r w:rsidR="00231BF4" w:rsidRPr="00666B27">
        <w:rPr>
          <w:b/>
          <w:lang w:val="en-GB" w:eastAsia="en-GB"/>
        </w:rPr>
        <w:t>causality factor</w:t>
      </w:r>
      <w:r w:rsidR="00231BF4" w:rsidRPr="00666B27">
        <w:rPr>
          <w:lang w:val="en-GB" w:eastAsia="en-GB"/>
        </w:rPr>
        <w:t>)</w:t>
      </w:r>
      <w:r w:rsidRPr="00666B27">
        <w:rPr>
          <w:lang w:val="en-GB" w:eastAsia="en-GB"/>
        </w:rPr>
        <w:t>.  And so, the target for GHG emissions reduction from the sale during the project implementation period is 18.250 million tonnes of avoided CO</w:t>
      </w:r>
      <w:r w:rsidRPr="00666B27">
        <w:rPr>
          <w:vertAlign w:val="subscript"/>
          <w:lang w:val="en-GB" w:eastAsia="en-GB"/>
        </w:rPr>
        <w:t>2</w:t>
      </w:r>
      <w:r w:rsidRPr="00666B27">
        <w:rPr>
          <w:lang w:val="en-GB" w:eastAsia="en-GB"/>
        </w:rPr>
        <w:t xml:space="preserve"> emissions.  This figure is entered in the Project Results Framework and </w:t>
      </w:r>
      <w:r w:rsidR="00A25AD6" w:rsidRPr="00666B27">
        <w:rPr>
          <w:lang w:val="en-GB" w:eastAsia="en-GB"/>
        </w:rPr>
        <w:t>in the GEF Core Indicators template</w:t>
      </w:r>
      <w:r w:rsidRPr="00666B27">
        <w:rPr>
          <w:lang w:val="en-GB" w:eastAsia="en-GB"/>
        </w:rPr>
        <w:t>.</w:t>
      </w:r>
      <w:r w:rsidRPr="00666B27">
        <w:rPr>
          <w:lang w:val="en-GB"/>
        </w:rPr>
        <w:t xml:space="preserve"> </w:t>
      </w:r>
      <w:r w:rsidRPr="00666B27">
        <w:rPr>
          <w:b/>
          <w:lang w:val="en-GB" w:eastAsia="en-GB"/>
        </w:rPr>
        <w:t xml:space="preserve">Consequential emissions reductions </w:t>
      </w:r>
      <w:r w:rsidRPr="00666B27">
        <w:rPr>
          <w:lang w:val="en-GB" w:eastAsia="en-GB"/>
        </w:rPr>
        <w:t>were estimated during the during the period of influence (after the end of the project) about 106.345 million tonnes of avoided CO</w:t>
      </w:r>
      <w:r w:rsidRPr="00666B27">
        <w:rPr>
          <w:vertAlign w:val="subscript"/>
          <w:lang w:val="en-GB" w:eastAsia="en-GB"/>
        </w:rPr>
        <w:t>2</w:t>
      </w:r>
      <w:r w:rsidRPr="00666B27">
        <w:rPr>
          <w:lang w:val="en-GB" w:eastAsia="en-GB"/>
        </w:rPr>
        <w:t xml:space="preserve"> emissions from devices sold during 2023-2030. Using a smaller </w:t>
      </w:r>
      <w:r w:rsidRPr="00666B27">
        <w:rPr>
          <w:b/>
          <w:lang w:val="en-GB" w:eastAsia="en-GB"/>
        </w:rPr>
        <w:t>causality factor</w:t>
      </w:r>
      <w:r w:rsidRPr="00666B27">
        <w:rPr>
          <w:lang w:val="en-GB" w:eastAsia="en-GB"/>
        </w:rPr>
        <w:t xml:space="preserve"> </w:t>
      </w:r>
      <w:r w:rsidR="00A25AD6" w:rsidRPr="00666B27">
        <w:rPr>
          <w:lang w:val="en-GB" w:eastAsia="en-GB"/>
        </w:rPr>
        <w:t>(</w:t>
      </w:r>
      <w:r w:rsidRPr="00666B27">
        <w:rPr>
          <w:lang w:val="en-GB" w:eastAsia="en-GB"/>
        </w:rPr>
        <w:t xml:space="preserve">rate of </w:t>
      </w:r>
      <w:r w:rsidR="000E43F5" w:rsidRPr="00666B27">
        <w:rPr>
          <w:lang w:val="en-GB" w:eastAsia="en-GB"/>
        </w:rPr>
        <w:t>40</w:t>
      </w:r>
      <w:r w:rsidRPr="00666B27">
        <w:rPr>
          <w:lang w:val="en-GB" w:eastAsia="en-GB"/>
        </w:rPr>
        <w:t>%</w:t>
      </w:r>
      <w:r w:rsidR="00A25AD6" w:rsidRPr="00666B27">
        <w:rPr>
          <w:lang w:val="en-GB" w:eastAsia="en-GB"/>
        </w:rPr>
        <w:t xml:space="preserve">), </w:t>
      </w:r>
      <w:r w:rsidRPr="00666B27">
        <w:rPr>
          <w:lang w:val="en-GB" w:eastAsia="en-GB"/>
        </w:rPr>
        <w:t xml:space="preserve">the estimated consequential GHG emissions reduction is 63.807 million tonnes. This figure is entered in the </w:t>
      </w:r>
      <w:r w:rsidR="000E43F5" w:rsidRPr="00666B27">
        <w:rPr>
          <w:lang w:val="en-GB" w:eastAsia="en-GB"/>
        </w:rPr>
        <w:t>GEF Indicator Table on the next page</w:t>
      </w:r>
      <w:r w:rsidR="00A25AD6" w:rsidRPr="00666B27">
        <w:rPr>
          <w:lang w:val="en-GB" w:eastAsia="en-GB"/>
        </w:rPr>
        <w:t>.</w:t>
      </w:r>
    </w:p>
    <w:p w:rsidR="00AB1783" w:rsidRPr="00666B27" w:rsidRDefault="00AB1783" w:rsidP="00F21F31">
      <w:pPr>
        <w:spacing w:after="0"/>
        <w:rPr>
          <w:lang w:val="en-GB" w:eastAsia="en-GB"/>
        </w:rPr>
      </w:pPr>
    </w:p>
    <w:p w:rsidR="00AB1783" w:rsidRPr="0057545E" w:rsidRDefault="003A2690" w:rsidP="00F21F31">
      <w:pPr>
        <w:spacing w:after="0"/>
        <w:rPr>
          <w:lang w:val="en-GB" w:eastAsia="en-GB"/>
        </w:rPr>
      </w:pPr>
      <w:r w:rsidRPr="00F737AD">
        <w:rPr>
          <w:noProof/>
          <w:lang w:val="en-GB"/>
        </w:rPr>
        <w:drawing>
          <wp:inline distT="0" distB="0" distL="0" distR="0">
            <wp:extent cx="2712720" cy="873760"/>
            <wp:effectExtent l="0" t="0" r="0" b="0"/>
            <wp:docPr id="9"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2712720" cy="873760"/>
                    </a:xfrm>
                    <a:prstGeom prst="rect">
                      <a:avLst/>
                    </a:prstGeom>
                    <a:noFill/>
                    <a:ln>
                      <a:noFill/>
                    </a:ln>
                  </pic:spPr>
                </pic:pic>
              </a:graphicData>
            </a:graphic>
          </wp:inline>
        </w:drawing>
      </w:r>
    </w:p>
    <w:p w:rsidR="002666AF" w:rsidRPr="003B7D62" w:rsidRDefault="003F0660" w:rsidP="003F0660">
      <w:pPr>
        <w:pStyle w:val="HeadingA"/>
      </w:pPr>
      <w:r w:rsidRPr="00353542">
        <w:br w:type="page"/>
      </w:r>
    </w:p>
    <w:p w:rsidR="000E43F5" w:rsidRPr="00666B27" w:rsidRDefault="000E43F5" w:rsidP="00352E0D">
      <w:pPr>
        <w:rPr>
          <w:rFonts w:ascii="Arial" w:hAnsi="Arial" w:cs="Arial"/>
          <w:b/>
          <w:color w:val="002060"/>
          <w:lang w:val="en-GB"/>
        </w:rPr>
      </w:pPr>
      <w:bookmarkStart w:id="332" w:name="_Toc533527053"/>
      <w:r w:rsidRPr="003B7D62">
        <w:rPr>
          <w:rFonts w:ascii="Arial" w:hAnsi="Arial" w:cs="Arial"/>
          <w:b/>
          <w:color w:val="002060"/>
          <w:lang w:val="en-GB"/>
        </w:rPr>
        <w:lastRenderedPageBreak/>
        <w:t>GE</w:t>
      </w:r>
      <w:r w:rsidRPr="004722F0">
        <w:rPr>
          <w:rFonts w:ascii="Arial" w:hAnsi="Arial" w:cs="Arial"/>
          <w:b/>
          <w:color w:val="002060"/>
          <w:lang w:val="en-GB"/>
        </w:rPr>
        <w:t>F Core indicators</w:t>
      </w:r>
      <w:bookmarkEnd w:id="332"/>
    </w:p>
    <w:p w:rsidR="000E43F5" w:rsidRPr="00666B27" w:rsidRDefault="000E43F5" w:rsidP="000E43F5">
      <w:pPr>
        <w:rPr>
          <w:lang w:val="en-GB" w:eastAsia="en-GB"/>
        </w:rPr>
      </w:pPr>
    </w:p>
    <w:p w:rsidR="000E43F5" w:rsidRPr="00666B27" w:rsidRDefault="000E43F5" w:rsidP="000E43F5">
      <w:pPr>
        <w:rPr>
          <w:b/>
          <w:lang w:val="en-GB" w:eastAsia="en-GB"/>
        </w:rPr>
      </w:pPr>
      <w:bookmarkStart w:id="333" w:name="_Hlk533782933"/>
      <w:r w:rsidRPr="00666B27">
        <w:rPr>
          <w:b/>
          <w:lang w:val="en-GB" w:eastAsia="en-GB"/>
        </w:rPr>
        <w:t>Core indicator 6: Greenhouse gas emissions mitigated</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14"/>
        <w:gridCol w:w="1912"/>
        <w:gridCol w:w="1912"/>
        <w:gridCol w:w="1912"/>
        <w:gridCol w:w="1912"/>
      </w:tblGrid>
      <w:tr w:rsidR="00D80416" w:rsidRPr="0057545E" w:rsidTr="00F737AD">
        <w:tc>
          <w:tcPr>
            <w:tcW w:w="2314" w:type="dxa"/>
            <w:shd w:val="clear" w:color="auto" w:fill="DDDDDD"/>
          </w:tcPr>
          <w:p w:rsidR="000E43F5" w:rsidRPr="00F737AD" w:rsidRDefault="000E43F5"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GHG emission type</w:t>
            </w:r>
          </w:p>
        </w:tc>
        <w:tc>
          <w:tcPr>
            <w:tcW w:w="1912" w:type="dxa"/>
            <w:shd w:val="clear" w:color="auto" w:fill="DDDDDD"/>
          </w:tcPr>
          <w:p w:rsidR="000E43F5" w:rsidRPr="00F737AD" w:rsidRDefault="000E43F5"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Metric tons CO</w:t>
            </w:r>
            <w:r w:rsidRPr="00F737AD">
              <w:rPr>
                <w:rFonts w:eastAsia="Times New Roman"/>
                <w:b/>
                <w:color w:val="000000"/>
                <w:sz w:val="19"/>
                <w:szCs w:val="19"/>
                <w:vertAlign w:val="subscript"/>
                <w:lang w:val="en-GB"/>
              </w:rPr>
              <w:t>2</w:t>
            </w:r>
            <w:r w:rsidRPr="00F737AD">
              <w:rPr>
                <w:rFonts w:eastAsia="Times New Roman"/>
                <w:b/>
                <w:color w:val="000000"/>
                <w:sz w:val="19"/>
                <w:szCs w:val="19"/>
                <w:lang w:val="en-GB"/>
              </w:rPr>
              <w:t>-eq (expected at PIF)</w:t>
            </w:r>
          </w:p>
        </w:tc>
        <w:tc>
          <w:tcPr>
            <w:tcW w:w="1912" w:type="dxa"/>
            <w:shd w:val="clear" w:color="auto" w:fill="DDDDDD"/>
          </w:tcPr>
          <w:p w:rsidR="000E43F5" w:rsidRPr="00F737AD" w:rsidRDefault="000E43F5"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Metric tons CO</w:t>
            </w:r>
            <w:r w:rsidRPr="00F737AD">
              <w:rPr>
                <w:rFonts w:eastAsia="Times New Roman"/>
                <w:b/>
                <w:color w:val="000000"/>
                <w:sz w:val="19"/>
                <w:szCs w:val="19"/>
                <w:vertAlign w:val="subscript"/>
                <w:lang w:val="en-GB"/>
              </w:rPr>
              <w:t>2</w:t>
            </w:r>
            <w:r w:rsidRPr="00F737AD">
              <w:rPr>
                <w:rFonts w:eastAsia="Times New Roman"/>
                <w:b/>
                <w:color w:val="000000"/>
                <w:sz w:val="19"/>
                <w:szCs w:val="19"/>
                <w:lang w:val="en-GB"/>
              </w:rPr>
              <w:t>-eq (expected at CEO ER)</w:t>
            </w:r>
          </w:p>
        </w:tc>
        <w:tc>
          <w:tcPr>
            <w:tcW w:w="1912" w:type="dxa"/>
            <w:shd w:val="clear" w:color="auto" w:fill="DDDDDD"/>
          </w:tcPr>
          <w:p w:rsidR="000E43F5" w:rsidRPr="00F737AD" w:rsidRDefault="000E43F5"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Metric tons CO</w:t>
            </w:r>
            <w:r w:rsidRPr="00F737AD">
              <w:rPr>
                <w:rFonts w:eastAsia="Times New Roman"/>
                <w:b/>
                <w:color w:val="000000"/>
                <w:sz w:val="19"/>
                <w:szCs w:val="19"/>
                <w:vertAlign w:val="subscript"/>
                <w:lang w:val="en-GB"/>
              </w:rPr>
              <w:t>2</w:t>
            </w:r>
            <w:r w:rsidRPr="00F737AD">
              <w:rPr>
                <w:rFonts w:eastAsia="Times New Roman"/>
                <w:b/>
                <w:color w:val="000000"/>
                <w:sz w:val="19"/>
                <w:szCs w:val="19"/>
                <w:lang w:val="en-GB"/>
              </w:rPr>
              <w:t>-eq (expected at MTR)</w:t>
            </w:r>
          </w:p>
        </w:tc>
        <w:tc>
          <w:tcPr>
            <w:tcW w:w="1912" w:type="dxa"/>
            <w:shd w:val="clear" w:color="auto" w:fill="DDDDDD"/>
          </w:tcPr>
          <w:p w:rsidR="000E43F5" w:rsidRPr="00F737AD" w:rsidRDefault="000E43F5"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Metric tons CO</w:t>
            </w:r>
            <w:r w:rsidRPr="00F737AD">
              <w:rPr>
                <w:rFonts w:eastAsia="Times New Roman"/>
                <w:b/>
                <w:color w:val="000000"/>
                <w:sz w:val="19"/>
                <w:szCs w:val="19"/>
                <w:vertAlign w:val="subscript"/>
                <w:lang w:val="en-GB"/>
              </w:rPr>
              <w:t>2</w:t>
            </w:r>
            <w:r w:rsidRPr="00F737AD">
              <w:rPr>
                <w:rFonts w:eastAsia="Times New Roman"/>
                <w:b/>
                <w:color w:val="000000"/>
                <w:sz w:val="19"/>
                <w:szCs w:val="19"/>
                <w:lang w:val="en-GB"/>
              </w:rPr>
              <w:t>-eq (expected at TE)</w:t>
            </w:r>
          </w:p>
        </w:tc>
      </w:tr>
      <w:tr w:rsidR="00D80416" w:rsidRPr="0057545E" w:rsidTr="00F737AD">
        <w:tc>
          <w:tcPr>
            <w:tcW w:w="2314" w:type="dxa"/>
            <w:shd w:val="clear" w:color="auto" w:fill="DDDDDD"/>
          </w:tcPr>
          <w:p w:rsidR="000E43F5" w:rsidRPr="00F737AD" w:rsidRDefault="000E43F5"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Lifetime direct project GHG emissions mitigated</w:t>
            </w:r>
          </w:p>
        </w:tc>
        <w:tc>
          <w:tcPr>
            <w:tcW w:w="1912" w:type="dxa"/>
            <w:vMerge w:val="restart"/>
            <w:shd w:val="clear" w:color="auto" w:fill="auto"/>
          </w:tcPr>
          <w:p w:rsidR="008B2522" w:rsidRPr="00F737AD" w:rsidRDefault="00231BF4"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58.3</w:t>
            </w:r>
            <w:r w:rsidR="008B2522" w:rsidRPr="00F737AD">
              <w:rPr>
                <w:rFonts w:eastAsia="Times New Roman"/>
                <w:color w:val="000000"/>
                <w:sz w:val="19"/>
                <w:szCs w:val="19"/>
                <w:lang w:val="en-GB"/>
              </w:rPr>
              <w:t xml:space="preserve"> million</w:t>
            </w:r>
          </w:p>
          <w:p w:rsidR="008B2522" w:rsidRPr="00F737AD" w:rsidRDefault="008B2522"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(over 2020-2030)</w:t>
            </w:r>
          </w:p>
          <w:p w:rsidR="000E43F5" w:rsidRPr="00F737AD" w:rsidRDefault="008B2522"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 xml:space="preserve">See </w:t>
            </w:r>
            <w:r w:rsidR="0090492C" w:rsidRPr="00F737AD">
              <w:rPr>
                <w:rFonts w:eastAsia="Times New Roman"/>
                <w:color w:val="000000"/>
                <w:sz w:val="19"/>
                <w:szCs w:val="19"/>
                <w:lang w:val="en-GB"/>
              </w:rPr>
              <w:fldChar w:fldCharType="begin"/>
            </w:r>
            <w:r w:rsidR="0090492C" w:rsidRPr="00F737AD">
              <w:rPr>
                <w:rFonts w:eastAsia="Times New Roman"/>
                <w:color w:val="000000"/>
                <w:sz w:val="19"/>
                <w:szCs w:val="19"/>
                <w:lang w:val="en-GB"/>
              </w:rPr>
              <w:instrText xml:space="preserve"> REF _Ref536711499 \h  \* MERGEFORMAT </w:instrText>
            </w:r>
            <w:r w:rsidR="0090492C" w:rsidRPr="00F737AD">
              <w:rPr>
                <w:rFonts w:eastAsia="Times New Roman"/>
                <w:color w:val="000000"/>
                <w:sz w:val="19"/>
                <w:szCs w:val="19"/>
                <w:lang w:val="en-GB"/>
              </w:rPr>
            </w:r>
            <w:r w:rsidR="0090492C" w:rsidRPr="00F737AD">
              <w:rPr>
                <w:rFonts w:eastAsia="Times New Roman"/>
                <w:color w:val="000000"/>
                <w:sz w:val="19"/>
                <w:szCs w:val="19"/>
                <w:lang w:val="en-GB"/>
              </w:rPr>
              <w:fldChar w:fldCharType="separate"/>
            </w:r>
            <w:r w:rsidR="0090492C" w:rsidRPr="00F737AD">
              <w:rPr>
                <w:rFonts w:ascii="Arial" w:eastAsia="Times New Roman" w:hAnsi="Arial" w:cs="Arial"/>
                <w:color w:val="2E74B5"/>
                <w:sz w:val="18"/>
                <w:lang w:val="en-GB"/>
              </w:rPr>
              <w:t xml:space="preserve">Box </w:t>
            </w:r>
            <w:r w:rsidR="0090492C" w:rsidRPr="00F737AD">
              <w:rPr>
                <w:rFonts w:ascii="Arial" w:eastAsia="Times New Roman" w:hAnsi="Arial" w:cs="Arial"/>
                <w:noProof/>
                <w:color w:val="2E74B5"/>
                <w:sz w:val="18"/>
                <w:lang w:val="en-GB"/>
              </w:rPr>
              <w:t>48</w:t>
            </w:r>
            <w:r w:rsidR="0090492C" w:rsidRPr="00F737AD">
              <w:rPr>
                <w:rFonts w:eastAsia="Times New Roman"/>
                <w:color w:val="000000"/>
                <w:sz w:val="19"/>
                <w:szCs w:val="19"/>
                <w:lang w:val="en-GB"/>
              </w:rPr>
              <w:fldChar w:fldCharType="end"/>
            </w:r>
          </w:p>
        </w:tc>
        <w:tc>
          <w:tcPr>
            <w:tcW w:w="1912" w:type="dxa"/>
            <w:shd w:val="clear" w:color="auto" w:fill="auto"/>
          </w:tcPr>
          <w:p w:rsidR="000E43F5" w:rsidRPr="00F737AD" w:rsidRDefault="00231BF4"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15.23 million</w:t>
            </w:r>
          </w:p>
          <w:p w:rsidR="00231BF4" w:rsidRPr="00F737AD" w:rsidRDefault="00231BF4"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(over 2019-2022)</w:t>
            </w: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r>
      <w:tr w:rsidR="00D80416" w:rsidRPr="0057545E" w:rsidTr="00F737AD">
        <w:tc>
          <w:tcPr>
            <w:tcW w:w="2314" w:type="dxa"/>
            <w:shd w:val="clear" w:color="auto" w:fill="DDDDDD"/>
          </w:tcPr>
          <w:p w:rsidR="000E43F5" w:rsidRPr="00F737AD" w:rsidRDefault="000E43F5"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Lifetime direct post-project emissions mitigated</w:t>
            </w:r>
          </w:p>
        </w:tc>
        <w:tc>
          <w:tcPr>
            <w:tcW w:w="1912" w:type="dxa"/>
            <w:vMerge/>
            <w:shd w:val="clear" w:color="auto" w:fill="auto"/>
          </w:tcPr>
          <w:p w:rsidR="000E43F5" w:rsidRPr="00F737AD" w:rsidRDefault="000E43F5" w:rsidP="00F737AD">
            <w:pPr>
              <w:spacing w:after="0"/>
              <w:jc w:val="center"/>
              <w:rPr>
                <w:rFonts w:eastAsia="Times New Roman"/>
                <w:color w:val="000000"/>
                <w:sz w:val="19"/>
                <w:szCs w:val="19"/>
                <w:lang w:val="en-GB"/>
              </w:rPr>
            </w:pP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w:t>
            </w: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r>
      <w:tr w:rsidR="00D80416" w:rsidRPr="0057545E" w:rsidTr="00F737AD">
        <w:tc>
          <w:tcPr>
            <w:tcW w:w="2314" w:type="dxa"/>
            <w:shd w:val="clear" w:color="auto" w:fill="DDDDDD"/>
          </w:tcPr>
          <w:p w:rsidR="000E43F5" w:rsidRPr="00F737AD" w:rsidRDefault="000E43F5"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Lifetime indirect GHG emissions mitigated</w:t>
            </w:r>
          </w:p>
        </w:tc>
        <w:tc>
          <w:tcPr>
            <w:tcW w:w="1912" w:type="dxa"/>
            <w:vMerge/>
            <w:shd w:val="clear" w:color="auto" w:fill="auto"/>
          </w:tcPr>
          <w:p w:rsidR="000E43F5" w:rsidRPr="00F737AD" w:rsidRDefault="000E43F5" w:rsidP="00F737AD">
            <w:pPr>
              <w:spacing w:after="0"/>
              <w:jc w:val="center"/>
              <w:rPr>
                <w:rFonts w:eastAsia="Times New Roman"/>
                <w:color w:val="000000"/>
                <w:sz w:val="19"/>
                <w:szCs w:val="19"/>
                <w:lang w:val="en-GB"/>
              </w:rPr>
            </w:pPr>
          </w:p>
        </w:tc>
        <w:tc>
          <w:tcPr>
            <w:tcW w:w="1912" w:type="dxa"/>
            <w:shd w:val="clear" w:color="auto" w:fill="auto"/>
          </w:tcPr>
          <w:p w:rsidR="000E43F5" w:rsidRPr="00F737AD" w:rsidRDefault="00231BF4"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35.18 million</w:t>
            </w:r>
          </w:p>
          <w:p w:rsidR="00231BF4" w:rsidRPr="00F737AD" w:rsidRDefault="00231BF4"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(over 2023-2030)</w:t>
            </w: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c>
          <w:tcPr>
            <w:tcW w:w="1912" w:type="dxa"/>
            <w:shd w:val="clear" w:color="auto" w:fill="auto"/>
          </w:tcPr>
          <w:p w:rsidR="000E43F5" w:rsidRPr="00F737AD" w:rsidRDefault="000E43F5" w:rsidP="00F737AD">
            <w:pPr>
              <w:spacing w:after="0"/>
              <w:jc w:val="center"/>
              <w:rPr>
                <w:rFonts w:eastAsia="Times New Roman"/>
                <w:color w:val="000000"/>
                <w:sz w:val="19"/>
                <w:szCs w:val="19"/>
                <w:lang w:val="en-GB"/>
              </w:rPr>
            </w:pPr>
          </w:p>
        </w:tc>
      </w:tr>
    </w:tbl>
    <w:p w:rsidR="000E43F5" w:rsidRPr="0057545E" w:rsidRDefault="003A2690" w:rsidP="000E43F5">
      <w:pPr>
        <w:rPr>
          <w:lang w:val="en-GB" w:eastAsia="en-GB"/>
        </w:rPr>
      </w:pPr>
      <w:r>
        <w:rPr>
          <w:noProof/>
        </w:rPr>
        <mc:AlternateContent>
          <mc:Choice Requires="wps">
            <w:drawing>
              <wp:anchor distT="0" distB="0" distL="114300" distR="114300" simplePos="0" relativeHeight="251660288" behindDoc="0" locked="0" layoutInCell="1" allowOverlap="1">
                <wp:simplePos x="0" y="0"/>
                <wp:positionH relativeFrom="column">
                  <wp:posOffset>214630</wp:posOffset>
                </wp:positionH>
                <wp:positionV relativeFrom="paragraph">
                  <wp:posOffset>194310</wp:posOffset>
                </wp:positionV>
                <wp:extent cx="6134100" cy="3129915"/>
                <wp:effectExtent l="0" t="0" r="0" b="0"/>
                <wp:wrapSquare wrapText="bothSides"/>
                <wp:docPr id="62"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34100" cy="3129915"/>
                        </a:xfrm>
                        <a:prstGeom prst="rect">
                          <a:avLst/>
                        </a:prstGeom>
                        <a:noFill/>
                        <a:ln w="15875">
                          <a:solidFill>
                            <a:sysClr val="window" lastClr="FFFFFF">
                              <a:lumMod val="75000"/>
                            </a:sysClr>
                          </a:solidFill>
                        </a:ln>
                      </wps:spPr>
                      <wps:txbx>
                        <w:txbxContent>
                          <w:p w:rsidR="00540FEA" w:rsidRPr="00204E48" w:rsidRDefault="00540FEA" w:rsidP="00F12D45">
                            <w:pPr>
                              <w:tabs>
                                <w:tab w:val="left" w:pos="1134"/>
                              </w:tabs>
                              <w:spacing w:after="0"/>
                              <w:ind w:left="1701" w:hanging="567"/>
                              <w:rPr>
                                <w:rFonts w:ascii="Arial" w:hAnsi="Arial" w:cs="Arial"/>
                                <w:b/>
                                <w:color w:val="2E74B5"/>
                                <w:sz w:val="18"/>
                              </w:rPr>
                            </w:pPr>
                            <w:bookmarkStart w:id="334" w:name="_Ref536711499"/>
                            <w:bookmarkStart w:id="335" w:name="_Toc179872"/>
                            <w:r w:rsidRPr="00204E48">
                              <w:rPr>
                                <w:rFonts w:ascii="Arial" w:hAnsi="Arial" w:cs="Arial"/>
                                <w:b/>
                                <w:color w:val="2E74B5"/>
                                <w:sz w:val="18"/>
                              </w:rPr>
                              <w:t xml:space="preserve">Box </w:t>
                            </w:r>
                            <w:r w:rsidRPr="00204E48">
                              <w:rPr>
                                <w:rFonts w:ascii="Arial" w:hAnsi="Arial" w:cs="Arial"/>
                                <w:b/>
                                <w:color w:val="2E74B5"/>
                                <w:sz w:val="18"/>
                              </w:rPr>
                              <w:fldChar w:fldCharType="begin"/>
                            </w:r>
                            <w:r w:rsidRPr="00204E48">
                              <w:rPr>
                                <w:rFonts w:ascii="Arial" w:hAnsi="Arial" w:cs="Arial"/>
                                <w:b/>
                                <w:color w:val="2E74B5"/>
                                <w:sz w:val="18"/>
                              </w:rPr>
                              <w:instrText xml:space="preserve"> SEQ Box \* ARABIC </w:instrText>
                            </w:r>
                            <w:r w:rsidRPr="00204E48">
                              <w:rPr>
                                <w:rFonts w:ascii="Arial" w:hAnsi="Arial" w:cs="Arial"/>
                                <w:b/>
                                <w:color w:val="2E74B5"/>
                                <w:sz w:val="18"/>
                              </w:rPr>
                              <w:fldChar w:fldCharType="separate"/>
                            </w:r>
                            <w:r>
                              <w:rPr>
                                <w:rFonts w:ascii="Arial" w:hAnsi="Arial" w:cs="Arial"/>
                                <w:b/>
                                <w:noProof/>
                                <w:color w:val="2E74B5"/>
                                <w:sz w:val="18"/>
                              </w:rPr>
                              <w:t>48</w:t>
                            </w:r>
                            <w:r w:rsidRPr="00204E48">
                              <w:rPr>
                                <w:rFonts w:ascii="Arial" w:hAnsi="Arial" w:cs="Arial"/>
                                <w:b/>
                                <w:color w:val="2E74B5"/>
                                <w:sz w:val="18"/>
                              </w:rPr>
                              <w:fldChar w:fldCharType="end"/>
                            </w:r>
                            <w:bookmarkEnd w:id="334"/>
                            <w:r w:rsidRPr="00204E48">
                              <w:rPr>
                                <w:rFonts w:ascii="Arial" w:hAnsi="Arial" w:cs="Arial"/>
                                <w:b/>
                                <w:color w:val="2E74B5"/>
                                <w:sz w:val="18"/>
                              </w:rPr>
                              <w:tab/>
                              <w:t>Potential energy savings and</w:t>
                            </w:r>
                            <w:r>
                              <w:rPr>
                                <w:rFonts w:ascii="Arial" w:hAnsi="Arial" w:cs="Arial"/>
                                <w:b/>
                                <w:color w:val="2E74B5"/>
                                <w:sz w:val="18"/>
                              </w:rPr>
                              <w:t xml:space="preserve"> avoided emissions in South Africa</w:t>
                            </w:r>
                            <w:r w:rsidRPr="00204E48">
                              <w:rPr>
                                <w:rFonts w:ascii="Arial" w:hAnsi="Arial" w:cs="Arial"/>
                                <w:b/>
                                <w:color w:val="2E74B5"/>
                                <w:sz w:val="18"/>
                              </w:rPr>
                              <w:t xml:space="preserve"> in 2030</w:t>
                            </w:r>
                            <w:bookmarkEnd w:id="335"/>
                            <w:r>
                              <w:rPr>
                                <w:rFonts w:ascii="Arial" w:hAnsi="Arial" w:cs="Arial"/>
                                <w:b/>
                                <w:color w:val="2E74B5"/>
                                <w:sz w:val="18"/>
                              </w:rPr>
                              <w:t xml:space="preserve"> </w:t>
                            </w:r>
                          </w:p>
                          <w:p w:rsidR="00540FEA" w:rsidRPr="00204E48" w:rsidRDefault="00540FEA" w:rsidP="008B2522">
                            <w:pPr>
                              <w:spacing w:after="0"/>
                              <w:rPr>
                                <w:b/>
                                <w:noProof/>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6"/>
                              <w:gridCol w:w="1499"/>
                              <w:gridCol w:w="1780"/>
                              <w:gridCol w:w="1962"/>
                            </w:tblGrid>
                            <w:tr w:rsidR="00540FEA" w:rsidRPr="00204E48" w:rsidTr="00C10172">
                              <w:trPr>
                                <w:jc w:val="center"/>
                              </w:trPr>
                              <w:tc>
                                <w:tcPr>
                                  <w:tcW w:w="2446" w:type="dxa"/>
                                  <w:shd w:val="clear" w:color="auto" w:fill="auto"/>
                                </w:tcPr>
                                <w:p w:rsidR="00540FEA" w:rsidRPr="00204E48" w:rsidRDefault="00540FEA" w:rsidP="00C10172">
                                  <w:pPr>
                                    <w:spacing w:after="0"/>
                                    <w:jc w:val="left"/>
                                    <w:rPr>
                                      <w:b/>
                                      <w:noProof/>
                                      <w:sz w:val="18"/>
                                      <w:szCs w:val="20"/>
                                    </w:rPr>
                                  </w:pPr>
                                  <w:r w:rsidRPr="00204E48">
                                    <w:rPr>
                                      <w:b/>
                                      <w:noProof/>
                                      <w:sz w:val="18"/>
                                      <w:szCs w:val="20"/>
                                    </w:rPr>
                                    <w:t>Equipment/Appliance Type</w:t>
                                  </w:r>
                                </w:p>
                              </w:tc>
                              <w:tc>
                                <w:tcPr>
                                  <w:tcW w:w="1499" w:type="dxa"/>
                                  <w:shd w:val="clear" w:color="auto" w:fill="auto"/>
                                </w:tcPr>
                                <w:p w:rsidR="00540FEA" w:rsidRPr="00204E48" w:rsidRDefault="00540FEA" w:rsidP="00C10172">
                                  <w:pPr>
                                    <w:spacing w:after="0"/>
                                    <w:jc w:val="left"/>
                                    <w:rPr>
                                      <w:b/>
                                      <w:noProof/>
                                      <w:sz w:val="18"/>
                                      <w:szCs w:val="20"/>
                                    </w:rPr>
                                  </w:pPr>
                                  <w:r w:rsidRPr="00204E48">
                                    <w:rPr>
                                      <w:b/>
                                      <w:noProof/>
                                      <w:sz w:val="18"/>
                                      <w:szCs w:val="20"/>
                                    </w:rPr>
                                    <w:t xml:space="preserve">Energy savings </w:t>
                                  </w:r>
                                  <w:r w:rsidRPr="00204E48">
                                    <w:rPr>
                                      <w:noProof/>
                                      <w:sz w:val="18"/>
                                      <w:szCs w:val="20"/>
                                    </w:rPr>
                                    <w:t>(GWh/yr)</w:t>
                                  </w:r>
                                </w:p>
                              </w:tc>
                              <w:tc>
                                <w:tcPr>
                                  <w:tcW w:w="1780" w:type="dxa"/>
                                  <w:tcBorders>
                                    <w:bottom w:val="single" w:sz="4" w:space="0" w:color="auto"/>
                                  </w:tcBorders>
                                  <w:shd w:val="clear" w:color="auto" w:fill="auto"/>
                                </w:tcPr>
                                <w:p w:rsidR="00540FEA" w:rsidRPr="00204E48" w:rsidRDefault="00540FEA" w:rsidP="00C10172">
                                  <w:pPr>
                                    <w:spacing w:after="0"/>
                                    <w:jc w:val="left"/>
                                    <w:rPr>
                                      <w:b/>
                                      <w:noProof/>
                                      <w:sz w:val="18"/>
                                      <w:szCs w:val="20"/>
                                    </w:rPr>
                                  </w:pPr>
                                  <w:r w:rsidRPr="00204E48">
                                    <w:rPr>
                                      <w:b/>
                                      <w:noProof/>
                                      <w:sz w:val="18"/>
                                      <w:szCs w:val="20"/>
                                    </w:rPr>
                                    <w:t>Avoided CO</w:t>
                                  </w:r>
                                  <w:r w:rsidRPr="00204E48">
                                    <w:rPr>
                                      <w:b/>
                                      <w:noProof/>
                                      <w:sz w:val="18"/>
                                      <w:szCs w:val="20"/>
                                      <w:vertAlign w:val="subscript"/>
                                    </w:rPr>
                                    <w:t>2</w:t>
                                  </w:r>
                                  <w:r w:rsidRPr="00204E48">
                                    <w:rPr>
                                      <w:b/>
                                      <w:noProof/>
                                      <w:sz w:val="18"/>
                                      <w:szCs w:val="20"/>
                                    </w:rPr>
                                    <w:t xml:space="preserve"> emissions </w:t>
                                  </w:r>
                                  <w:r w:rsidRPr="00204E48">
                                    <w:rPr>
                                      <w:b/>
                                      <w:noProof/>
                                      <w:sz w:val="18"/>
                                      <w:szCs w:val="20"/>
                                    </w:rPr>
                                    <w:br/>
                                  </w:r>
                                  <w:r w:rsidRPr="00204E48">
                                    <w:rPr>
                                      <w:noProof/>
                                      <w:sz w:val="18"/>
                                      <w:szCs w:val="20"/>
                                    </w:rPr>
                                    <w:t>(thousand tonnes/yr)</w:t>
                                  </w:r>
                                </w:p>
                              </w:tc>
                              <w:tc>
                                <w:tcPr>
                                  <w:tcW w:w="1962" w:type="dxa"/>
                                  <w:tcBorders>
                                    <w:bottom w:val="single" w:sz="4" w:space="0" w:color="auto"/>
                                  </w:tcBorders>
                                </w:tcPr>
                                <w:p w:rsidR="00540FEA" w:rsidRPr="00204E48" w:rsidRDefault="00540FEA" w:rsidP="00C10172">
                                  <w:pPr>
                                    <w:spacing w:after="0"/>
                                    <w:jc w:val="left"/>
                                    <w:rPr>
                                      <w:b/>
                                      <w:noProof/>
                                      <w:sz w:val="18"/>
                                      <w:szCs w:val="20"/>
                                    </w:rPr>
                                  </w:pPr>
                                  <w:r w:rsidRPr="00204E48">
                                    <w:rPr>
                                      <w:b/>
                                      <w:noProof/>
                                      <w:sz w:val="18"/>
                                      <w:szCs w:val="20"/>
                                    </w:rPr>
                                    <w:t>Cumulative CO</w:t>
                                  </w:r>
                                  <w:r w:rsidRPr="00204E48">
                                    <w:rPr>
                                      <w:b/>
                                      <w:noProof/>
                                      <w:sz w:val="18"/>
                                      <w:szCs w:val="20"/>
                                      <w:vertAlign w:val="subscript"/>
                                    </w:rPr>
                                    <w:t>2</w:t>
                                  </w:r>
                                  <w:r w:rsidRPr="00204E48">
                                    <w:rPr>
                                      <w:b/>
                                      <w:noProof/>
                                      <w:sz w:val="18"/>
                                      <w:szCs w:val="20"/>
                                    </w:rPr>
                                    <w:t xml:space="preserve"> emissions reductions, 2020-2030 </w:t>
                                  </w:r>
                                  <w:r w:rsidRPr="00204E48">
                                    <w:rPr>
                                      <w:b/>
                                      <w:noProof/>
                                      <w:sz w:val="18"/>
                                      <w:szCs w:val="20"/>
                                    </w:rPr>
                                    <w:br/>
                                  </w:r>
                                  <w:r w:rsidRPr="00204E48">
                                    <w:rPr>
                                      <w:noProof/>
                                      <w:sz w:val="18"/>
                                      <w:szCs w:val="20"/>
                                    </w:rPr>
                                    <w:t>(million tonnes)</w:t>
                                  </w:r>
                                </w:p>
                              </w:tc>
                            </w:tr>
                            <w:tr w:rsidR="00540FEA" w:rsidRPr="00204E48" w:rsidTr="00C10172">
                              <w:trPr>
                                <w:jc w:val="center"/>
                              </w:trPr>
                              <w:tc>
                                <w:tcPr>
                                  <w:tcW w:w="2446" w:type="dxa"/>
                                  <w:shd w:val="clear" w:color="auto" w:fill="auto"/>
                                </w:tcPr>
                                <w:p w:rsidR="00540FEA" w:rsidRPr="00204E48" w:rsidRDefault="00540FEA" w:rsidP="00C10172">
                                  <w:pPr>
                                    <w:spacing w:after="0"/>
                                    <w:jc w:val="left"/>
                                    <w:rPr>
                                      <w:noProof/>
                                      <w:sz w:val="18"/>
                                      <w:szCs w:val="20"/>
                                    </w:rPr>
                                  </w:pPr>
                                  <w:r>
                                    <w:rPr>
                                      <w:noProof/>
                                      <w:sz w:val="18"/>
                                      <w:szCs w:val="20"/>
                                    </w:rPr>
                                    <w:t>Lighting</w:t>
                                  </w:r>
                                </w:p>
                              </w:tc>
                              <w:tc>
                                <w:tcPr>
                                  <w:tcW w:w="1499" w:type="dxa"/>
                                  <w:shd w:val="clear" w:color="auto" w:fill="auto"/>
                                </w:tcPr>
                                <w:p w:rsidR="00540FEA" w:rsidRPr="00204E48" w:rsidRDefault="00540FEA" w:rsidP="00C10172">
                                  <w:pPr>
                                    <w:spacing w:after="0"/>
                                    <w:jc w:val="left"/>
                                    <w:rPr>
                                      <w:noProof/>
                                      <w:sz w:val="18"/>
                                      <w:szCs w:val="20"/>
                                    </w:rPr>
                                  </w:pPr>
                                  <w:r>
                                    <w:rPr>
                                      <w:noProof/>
                                      <w:sz w:val="18"/>
                                      <w:szCs w:val="20"/>
                                    </w:rPr>
                                    <w:t>10,448</w:t>
                                  </w:r>
                                </w:p>
                              </w:tc>
                              <w:tc>
                                <w:tcPr>
                                  <w:tcW w:w="1780" w:type="dxa"/>
                                  <w:shd w:val="clear" w:color="auto" w:fill="FFFF99"/>
                                </w:tcPr>
                                <w:p w:rsidR="00540FEA" w:rsidRPr="00204E48" w:rsidRDefault="00540FEA" w:rsidP="00C10172">
                                  <w:pPr>
                                    <w:spacing w:after="0"/>
                                    <w:jc w:val="left"/>
                                    <w:rPr>
                                      <w:noProof/>
                                      <w:sz w:val="18"/>
                                      <w:szCs w:val="20"/>
                                    </w:rPr>
                                  </w:pPr>
                                  <w:r>
                                    <w:rPr>
                                      <w:noProof/>
                                      <w:sz w:val="18"/>
                                      <w:szCs w:val="20"/>
                                    </w:rPr>
                                    <w:t>10,365</w:t>
                                  </w:r>
                                </w:p>
                              </w:tc>
                              <w:tc>
                                <w:tcPr>
                                  <w:tcW w:w="1962" w:type="dxa"/>
                                  <w:shd w:val="clear" w:color="auto" w:fill="FFFF99"/>
                                </w:tcPr>
                                <w:p w:rsidR="00540FEA" w:rsidRPr="00204E48" w:rsidRDefault="00540FEA" w:rsidP="00C10172">
                                  <w:pPr>
                                    <w:spacing w:after="0"/>
                                    <w:jc w:val="left"/>
                                    <w:rPr>
                                      <w:noProof/>
                                      <w:sz w:val="18"/>
                                      <w:szCs w:val="20"/>
                                    </w:rPr>
                                  </w:pPr>
                                  <w:r>
                                    <w:rPr>
                                      <w:noProof/>
                                      <w:sz w:val="18"/>
                                      <w:szCs w:val="20"/>
                                    </w:rPr>
                                    <w:t>89.6</w:t>
                                  </w:r>
                                </w:p>
                              </w:tc>
                            </w:tr>
                            <w:tr w:rsidR="00540FEA" w:rsidRPr="00204E48" w:rsidTr="00C10172">
                              <w:trPr>
                                <w:jc w:val="center"/>
                              </w:trPr>
                              <w:tc>
                                <w:tcPr>
                                  <w:tcW w:w="2446" w:type="dxa"/>
                                  <w:shd w:val="clear" w:color="auto" w:fill="auto"/>
                                </w:tcPr>
                                <w:p w:rsidR="00540FEA" w:rsidRPr="00204E48" w:rsidRDefault="00540FEA" w:rsidP="00C10172">
                                  <w:pPr>
                                    <w:spacing w:after="0"/>
                                    <w:jc w:val="left"/>
                                    <w:rPr>
                                      <w:noProof/>
                                      <w:sz w:val="18"/>
                                      <w:szCs w:val="20"/>
                                    </w:rPr>
                                  </w:pPr>
                                  <w:r w:rsidRPr="00204E48">
                                    <w:rPr>
                                      <w:noProof/>
                                      <w:sz w:val="18"/>
                                      <w:szCs w:val="20"/>
                                    </w:rPr>
                                    <w:t>Distribution transformers</w:t>
                                  </w:r>
                                </w:p>
                              </w:tc>
                              <w:tc>
                                <w:tcPr>
                                  <w:tcW w:w="1499" w:type="dxa"/>
                                  <w:shd w:val="clear" w:color="auto" w:fill="auto"/>
                                </w:tcPr>
                                <w:p w:rsidR="00540FEA" w:rsidRPr="00204E48" w:rsidRDefault="00540FEA" w:rsidP="00C10172">
                                  <w:pPr>
                                    <w:spacing w:after="0"/>
                                    <w:jc w:val="left"/>
                                    <w:rPr>
                                      <w:noProof/>
                                      <w:sz w:val="18"/>
                                      <w:szCs w:val="20"/>
                                    </w:rPr>
                                  </w:pPr>
                                  <w:r>
                                    <w:rPr>
                                      <w:noProof/>
                                      <w:sz w:val="18"/>
                                      <w:szCs w:val="20"/>
                                    </w:rPr>
                                    <w:t>5,109</w:t>
                                  </w:r>
                                </w:p>
                              </w:tc>
                              <w:tc>
                                <w:tcPr>
                                  <w:tcW w:w="1780" w:type="dxa"/>
                                  <w:shd w:val="clear" w:color="auto" w:fill="FFFF99"/>
                                </w:tcPr>
                                <w:p w:rsidR="00540FEA" w:rsidRPr="00204E48" w:rsidRDefault="00540FEA" w:rsidP="00C10172">
                                  <w:pPr>
                                    <w:spacing w:after="0"/>
                                    <w:jc w:val="left"/>
                                    <w:rPr>
                                      <w:noProof/>
                                      <w:sz w:val="18"/>
                                      <w:szCs w:val="20"/>
                                    </w:rPr>
                                  </w:pPr>
                                  <w:r>
                                    <w:rPr>
                                      <w:noProof/>
                                      <w:sz w:val="18"/>
                                      <w:szCs w:val="20"/>
                                    </w:rPr>
                                    <w:t>4,604</w:t>
                                  </w:r>
                                </w:p>
                              </w:tc>
                              <w:tc>
                                <w:tcPr>
                                  <w:tcW w:w="1962" w:type="dxa"/>
                                  <w:shd w:val="clear" w:color="auto" w:fill="FFFF99"/>
                                </w:tcPr>
                                <w:p w:rsidR="00540FEA" w:rsidRPr="00204E48" w:rsidRDefault="00540FEA" w:rsidP="00C10172">
                                  <w:pPr>
                                    <w:spacing w:after="0"/>
                                    <w:jc w:val="left"/>
                                    <w:rPr>
                                      <w:noProof/>
                                      <w:sz w:val="18"/>
                                      <w:szCs w:val="20"/>
                                    </w:rPr>
                                  </w:pPr>
                                  <w:r>
                                    <w:rPr>
                                      <w:noProof/>
                                      <w:sz w:val="18"/>
                                      <w:szCs w:val="20"/>
                                    </w:rPr>
                                    <w:t>27.0</w:t>
                                  </w:r>
                                </w:p>
                              </w:tc>
                            </w:tr>
                            <w:tr w:rsidR="00540FEA" w:rsidRPr="00204E48" w:rsidTr="00C10172">
                              <w:trPr>
                                <w:trHeight w:val="179"/>
                                <w:jc w:val="center"/>
                              </w:trPr>
                              <w:tc>
                                <w:tcPr>
                                  <w:tcW w:w="2446" w:type="dxa"/>
                                  <w:shd w:val="clear" w:color="auto" w:fill="auto"/>
                                </w:tcPr>
                                <w:p w:rsidR="00540FEA" w:rsidRPr="00204E48" w:rsidRDefault="00540FEA" w:rsidP="00C10172">
                                  <w:pPr>
                                    <w:spacing w:after="0"/>
                                    <w:jc w:val="left"/>
                                    <w:rPr>
                                      <w:b/>
                                      <w:noProof/>
                                      <w:sz w:val="18"/>
                                      <w:szCs w:val="20"/>
                                    </w:rPr>
                                  </w:pPr>
                                  <w:r w:rsidRPr="00204E48">
                                    <w:rPr>
                                      <w:b/>
                                      <w:noProof/>
                                      <w:sz w:val="18"/>
                                      <w:szCs w:val="20"/>
                                    </w:rPr>
                                    <w:t>TOTAL</w:t>
                                  </w:r>
                                </w:p>
                              </w:tc>
                              <w:tc>
                                <w:tcPr>
                                  <w:tcW w:w="1499" w:type="dxa"/>
                                  <w:shd w:val="clear" w:color="auto" w:fill="auto"/>
                                </w:tcPr>
                                <w:p w:rsidR="00540FEA" w:rsidRPr="00204E48" w:rsidRDefault="00540FEA" w:rsidP="00C10172">
                                  <w:pPr>
                                    <w:spacing w:after="0"/>
                                    <w:jc w:val="left"/>
                                    <w:rPr>
                                      <w:b/>
                                      <w:noProof/>
                                      <w:sz w:val="18"/>
                                      <w:szCs w:val="20"/>
                                    </w:rPr>
                                  </w:pPr>
                                  <w:r>
                                    <w:rPr>
                                      <w:b/>
                                      <w:noProof/>
                                      <w:sz w:val="18"/>
                                      <w:szCs w:val="20"/>
                                    </w:rPr>
                                    <w:t>15,557</w:t>
                                  </w:r>
                                </w:p>
                              </w:tc>
                              <w:tc>
                                <w:tcPr>
                                  <w:tcW w:w="1780" w:type="dxa"/>
                                  <w:shd w:val="clear" w:color="auto" w:fill="FFFF99"/>
                                </w:tcPr>
                                <w:p w:rsidR="00540FEA" w:rsidRPr="00204E48" w:rsidRDefault="00540FEA" w:rsidP="00C10172">
                                  <w:pPr>
                                    <w:spacing w:after="0"/>
                                    <w:jc w:val="left"/>
                                    <w:rPr>
                                      <w:b/>
                                      <w:noProof/>
                                      <w:sz w:val="18"/>
                                      <w:szCs w:val="20"/>
                                    </w:rPr>
                                  </w:pPr>
                                  <w:r>
                                    <w:rPr>
                                      <w:b/>
                                      <w:noProof/>
                                      <w:sz w:val="18"/>
                                      <w:szCs w:val="20"/>
                                    </w:rPr>
                                    <w:t>14,969</w:t>
                                  </w:r>
                                </w:p>
                              </w:tc>
                              <w:tc>
                                <w:tcPr>
                                  <w:tcW w:w="1962" w:type="dxa"/>
                                  <w:shd w:val="clear" w:color="auto" w:fill="FFFF99"/>
                                </w:tcPr>
                                <w:p w:rsidR="00540FEA" w:rsidRPr="00204E48" w:rsidRDefault="00540FEA" w:rsidP="00C10172">
                                  <w:pPr>
                                    <w:spacing w:after="0"/>
                                    <w:jc w:val="left"/>
                                    <w:rPr>
                                      <w:b/>
                                      <w:noProof/>
                                      <w:sz w:val="18"/>
                                      <w:szCs w:val="20"/>
                                    </w:rPr>
                                  </w:pPr>
                                  <w:r w:rsidRPr="00204E48">
                                    <w:rPr>
                                      <w:b/>
                                      <w:noProof/>
                                      <w:sz w:val="18"/>
                                      <w:szCs w:val="20"/>
                                    </w:rPr>
                                    <w:t>1</w:t>
                                  </w:r>
                                  <w:r>
                                    <w:rPr>
                                      <w:b/>
                                      <w:noProof/>
                                      <w:sz w:val="18"/>
                                      <w:szCs w:val="20"/>
                                    </w:rPr>
                                    <w:t>16</w:t>
                                  </w:r>
                                  <w:r w:rsidRPr="00204E48">
                                    <w:rPr>
                                      <w:b/>
                                      <w:noProof/>
                                      <w:sz w:val="18"/>
                                      <w:szCs w:val="20"/>
                                    </w:rPr>
                                    <w:t>.6</w:t>
                                  </w:r>
                                </w:p>
                              </w:tc>
                            </w:tr>
                          </w:tbl>
                          <w:p w:rsidR="00540FEA" w:rsidRPr="00204E48" w:rsidRDefault="00540FEA" w:rsidP="008B2522">
                            <w:pPr>
                              <w:spacing w:after="0"/>
                              <w:ind w:left="993"/>
                              <w:rPr>
                                <w:noProof/>
                                <w:szCs w:val="20"/>
                              </w:rPr>
                            </w:pPr>
                            <w:r>
                              <w:rPr>
                                <w:noProof/>
                                <w:szCs w:val="20"/>
                              </w:rPr>
                              <w:tab/>
                            </w:r>
                            <w:r w:rsidRPr="00204E48">
                              <w:rPr>
                                <w:noProof/>
                                <w:szCs w:val="20"/>
                              </w:rPr>
                              <w:t xml:space="preserve"> </w:t>
                            </w:r>
                          </w:p>
                          <w:p w:rsidR="00540FEA" w:rsidRPr="004D58B9" w:rsidRDefault="00540FEA" w:rsidP="0038146D">
                            <w:pPr>
                              <w:ind w:left="284" w:right="474"/>
                              <w:rPr>
                                <w:sz w:val="18"/>
                                <w:szCs w:val="18"/>
                                <w:lang w:eastAsia="en-GB"/>
                              </w:rPr>
                            </w:pPr>
                            <w:r w:rsidRPr="00231BF4">
                              <w:rPr>
                                <w:sz w:val="18"/>
                                <w:szCs w:val="18"/>
                                <w:lang w:eastAsia="en-GB"/>
                              </w:rPr>
                              <w:t>Under the umbrella of the global project “Leapfrogging markets to high efficiency products (appliances, including lighting, and electrical equipment”, no official PIF was formulated for the South Africa ‘child’ project. Instead a ‘child concept note’ was formulated that does not give an estimate of the direct project and indirect lifetime GHG emission reduction, except for mentioning annual GHG reduction in th</w:t>
                            </w:r>
                            <w:r>
                              <w:rPr>
                                <w:sz w:val="18"/>
                                <w:szCs w:val="18"/>
                                <w:lang w:eastAsia="en-GB"/>
                              </w:rPr>
                              <w:t xml:space="preserve">e </w:t>
                            </w:r>
                            <w:r w:rsidRPr="00231BF4">
                              <w:rPr>
                                <w:sz w:val="18"/>
                                <w:szCs w:val="18"/>
                                <w:lang w:eastAsia="en-GB"/>
                              </w:rPr>
                              <w:t>year 2030 of about 17 million tCO</w:t>
                            </w:r>
                            <w:r w:rsidRPr="00231BF4">
                              <w:rPr>
                                <w:sz w:val="18"/>
                                <w:szCs w:val="18"/>
                                <w:vertAlign w:val="subscript"/>
                                <w:lang w:eastAsia="en-GB"/>
                              </w:rPr>
                              <w:t>2</w:t>
                            </w:r>
                            <w:r w:rsidRPr="00231BF4">
                              <w:rPr>
                                <w:sz w:val="18"/>
                                <w:szCs w:val="18"/>
                                <w:lang w:eastAsia="en-GB"/>
                              </w:rPr>
                              <w:t xml:space="preserve"> approximately. This rough estimate itself is based on calculations (based on minimum energy performance standards assumptions consistent with current world best practices: “best MEPS”) presented in the U4E </w:t>
                            </w:r>
                            <w:r w:rsidRPr="00231BF4">
                              <w:rPr>
                                <w:noProof/>
                                <w:sz w:val="18"/>
                                <w:szCs w:val="18"/>
                              </w:rPr>
                              <w:t xml:space="preserve">United for Efficiency </w:t>
                            </w:r>
                            <w:r w:rsidRPr="00231BF4">
                              <w:rPr>
                                <w:i/>
                                <w:noProof/>
                                <w:sz w:val="18"/>
                                <w:szCs w:val="18"/>
                              </w:rPr>
                              <w:t xml:space="preserve">South Africa Country Assessment </w:t>
                            </w:r>
                            <w:r w:rsidRPr="00231BF4">
                              <w:rPr>
                                <w:noProof/>
                                <w:sz w:val="18"/>
                                <w:szCs w:val="18"/>
                              </w:rPr>
                              <w:t>(</w:t>
                            </w:r>
                            <w:r>
                              <w:rPr>
                                <w:noProof/>
                                <w:sz w:val="18"/>
                                <w:szCs w:val="18"/>
                              </w:rPr>
                              <w:t>for assumptions and data sources, see</w:t>
                            </w:r>
                            <w:r w:rsidRPr="00231BF4">
                              <w:rPr>
                                <w:noProof/>
                                <w:sz w:val="18"/>
                                <w:szCs w:val="18"/>
                              </w:rPr>
                              <w:t xml:space="preserve"> </w:t>
                            </w:r>
                            <w:r w:rsidRPr="00231BF4">
                              <w:rPr>
                                <w:sz w:val="18"/>
                                <w:szCs w:val="18"/>
                                <w:lang w:eastAsia="en-GB"/>
                              </w:rPr>
                              <w:t xml:space="preserve"> </w:t>
                            </w:r>
                            <w:hyperlink r:id="rId166" w:history="1">
                              <w:r w:rsidRPr="00231BF4">
                                <w:rPr>
                                  <w:rStyle w:val="Hyperlink"/>
                                  <w:sz w:val="18"/>
                                  <w:szCs w:val="18"/>
                                </w:rPr>
                                <w:t>http://united4efficiency.org/countries/country-assessments/</w:t>
                              </w:r>
                            </w:hyperlink>
                            <w:r w:rsidRPr="00231BF4">
                              <w:rPr>
                                <w:sz w:val="18"/>
                                <w:szCs w:val="18"/>
                                <w:lang w:eastAsia="en-GB"/>
                              </w:rPr>
                              <w:t xml:space="preserve"> (see table). As these calculations do give a cumulative GHG emission reduction, the figure </w:t>
                            </w:r>
                            <w:r>
                              <w:rPr>
                                <w:sz w:val="18"/>
                                <w:szCs w:val="18"/>
                                <w:lang w:eastAsia="en-GB"/>
                              </w:rPr>
                              <w:t xml:space="preserve">from the Country Assessment </w:t>
                            </w:r>
                            <w:r w:rsidRPr="00231BF4">
                              <w:rPr>
                                <w:sz w:val="18"/>
                                <w:szCs w:val="18"/>
                                <w:lang w:eastAsia="en-GB"/>
                              </w:rPr>
                              <w:t xml:space="preserve">is used </w:t>
                            </w:r>
                            <w:r>
                              <w:rPr>
                                <w:sz w:val="18"/>
                                <w:szCs w:val="18"/>
                                <w:lang w:eastAsia="en-GB"/>
                              </w:rPr>
                              <w:t xml:space="preserve">(multiplied by a </w:t>
                            </w:r>
                            <w:r w:rsidRPr="006E6A6F">
                              <w:rPr>
                                <w:i/>
                                <w:sz w:val="18"/>
                                <w:szCs w:val="18"/>
                                <w:lang w:eastAsia="en-GB"/>
                              </w:rPr>
                              <w:t>compliance factor of 50%)</w:t>
                            </w:r>
                            <w:r>
                              <w:rPr>
                                <w:sz w:val="18"/>
                                <w:szCs w:val="18"/>
                                <w:lang w:eastAsia="en-GB"/>
                              </w:rPr>
                              <w:t xml:space="preserve"> </w:t>
                            </w:r>
                            <w:r w:rsidRPr="00231BF4">
                              <w:rPr>
                                <w:sz w:val="18"/>
                                <w:szCs w:val="18"/>
                                <w:lang w:eastAsia="en-GB"/>
                              </w:rPr>
                              <w:t>as the value for ‘Core Indicator 6’ at PIF stage</w:t>
                            </w:r>
                            <w:r>
                              <w:rPr>
                                <w:sz w:val="18"/>
                                <w:szCs w:val="18"/>
                                <w:lang w:eastAsia="en-GB"/>
                              </w:rPr>
                              <w:t>. The PIF value of 58.3 million tCO</w:t>
                            </w:r>
                            <w:r>
                              <w:rPr>
                                <w:sz w:val="18"/>
                                <w:szCs w:val="18"/>
                                <w:vertAlign w:val="subscript"/>
                                <w:lang w:eastAsia="en-GB"/>
                              </w:rPr>
                              <w:t>2</w:t>
                            </w:r>
                            <w:r>
                              <w:rPr>
                                <w:sz w:val="18"/>
                                <w:szCs w:val="18"/>
                                <w:lang w:eastAsia="en-GB"/>
                              </w:rPr>
                              <w:t xml:space="preserve"> over 2020-2030) compares with the lifetime direct + indirect CO</w:t>
                            </w:r>
                            <w:r>
                              <w:rPr>
                                <w:sz w:val="18"/>
                                <w:szCs w:val="18"/>
                                <w:vertAlign w:val="subscript"/>
                                <w:lang w:eastAsia="en-GB"/>
                              </w:rPr>
                              <w:t>2</w:t>
                            </w:r>
                            <w:r>
                              <w:rPr>
                                <w:sz w:val="18"/>
                                <w:szCs w:val="18"/>
                                <w:lang w:eastAsia="en-GB"/>
                              </w:rPr>
                              <w:t xml:space="preserve"> emission reduction at CEO ER stage of 50.41 million tCO</w:t>
                            </w:r>
                            <w:r>
                              <w:rPr>
                                <w:sz w:val="18"/>
                                <w:szCs w:val="18"/>
                                <w:vertAlign w:val="subscript"/>
                                <w:lang w:eastAsia="en-GB"/>
                              </w:rPr>
                              <w:t>2</w:t>
                            </w:r>
                            <w:r>
                              <w:rPr>
                                <w:sz w:val="18"/>
                                <w:szCs w:val="18"/>
                                <w:lang w:eastAsia="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0</wp14:pctHeight>
                </wp14:sizeRelV>
              </wp:anchor>
            </w:drawing>
          </mc:Choice>
          <mc:Fallback>
            <w:pict>
              <v:shape id="Text Box 62" o:spid="_x0000_s1060" type="#_x0000_t202" style="position:absolute;left:0;text-align:left;margin-left:16.9pt;margin-top:15.3pt;width:483pt;height:246.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" filled="f" strokecolor="#bfbfbf" strokeweight="1.25pt">
                <v:path arrowok="t"/>
                <v:textbox style="mso-fit-shape-to-text:t">
                  <w:txbxContent>
                    <w:p w:rsidR="00540FEA" w:rsidRPr="00204E48" w:rsidRDefault="00540FEA" w:rsidP="00F12D45">
                      <w:pPr>
                        <w:tabs>
                          <w:tab w:val="left" w:pos="1134"/>
                        </w:tabs>
                        <w:spacing w:after="0"/>
                        <w:ind w:left="1701" w:hanging="567"/>
                        <w:rPr>
                          <w:rFonts w:ascii="Arial" w:hAnsi="Arial" w:cs="Arial"/>
                          <w:b/>
                          <w:color w:val="2E74B5"/>
                          <w:sz w:val="18"/>
                        </w:rPr>
                      </w:pPr>
                      <w:bookmarkStart w:id="336" w:name="_Ref536711499"/>
                      <w:bookmarkStart w:id="337" w:name="_Toc179872"/>
                      <w:r w:rsidRPr="00204E48">
                        <w:rPr>
                          <w:rFonts w:ascii="Arial" w:hAnsi="Arial" w:cs="Arial"/>
                          <w:b/>
                          <w:color w:val="2E74B5"/>
                          <w:sz w:val="18"/>
                        </w:rPr>
                        <w:t xml:space="preserve">Box </w:t>
                      </w:r>
                      <w:r w:rsidRPr="00204E48">
                        <w:rPr>
                          <w:rFonts w:ascii="Arial" w:hAnsi="Arial" w:cs="Arial"/>
                          <w:b/>
                          <w:color w:val="2E74B5"/>
                          <w:sz w:val="18"/>
                        </w:rPr>
                        <w:fldChar w:fldCharType="begin"/>
                      </w:r>
                      <w:r w:rsidRPr="00204E48">
                        <w:rPr>
                          <w:rFonts w:ascii="Arial" w:hAnsi="Arial" w:cs="Arial"/>
                          <w:b/>
                          <w:color w:val="2E74B5"/>
                          <w:sz w:val="18"/>
                        </w:rPr>
                        <w:instrText xml:space="preserve"> SEQ Box \* ARABIC </w:instrText>
                      </w:r>
                      <w:r w:rsidRPr="00204E48">
                        <w:rPr>
                          <w:rFonts w:ascii="Arial" w:hAnsi="Arial" w:cs="Arial"/>
                          <w:b/>
                          <w:color w:val="2E74B5"/>
                          <w:sz w:val="18"/>
                        </w:rPr>
                        <w:fldChar w:fldCharType="separate"/>
                      </w:r>
                      <w:r>
                        <w:rPr>
                          <w:rFonts w:ascii="Arial" w:hAnsi="Arial" w:cs="Arial"/>
                          <w:b/>
                          <w:noProof/>
                          <w:color w:val="2E74B5"/>
                          <w:sz w:val="18"/>
                        </w:rPr>
                        <w:t>48</w:t>
                      </w:r>
                      <w:r w:rsidRPr="00204E48">
                        <w:rPr>
                          <w:rFonts w:ascii="Arial" w:hAnsi="Arial" w:cs="Arial"/>
                          <w:b/>
                          <w:color w:val="2E74B5"/>
                          <w:sz w:val="18"/>
                        </w:rPr>
                        <w:fldChar w:fldCharType="end"/>
                      </w:r>
                      <w:bookmarkEnd w:id="336"/>
                      <w:r w:rsidRPr="00204E48">
                        <w:rPr>
                          <w:rFonts w:ascii="Arial" w:hAnsi="Arial" w:cs="Arial"/>
                          <w:b/>
                          <w:color w:val="2E74B5"/>
                          <w:sz w:val="18"/>
                        </w:rPr>
                        <w:tab/>
                        <w:t>Potential energy savings and</w:t>
                      </w:r>
                      <w:r>
                        <w:rPr>
                          <w:rFonts w:ascii="Arial" w:hAnsi="Arial" w:cs="Arial"/>
                          <w:b/>
                          <w:color w:val="2E74B5"/>
                          <w:sz w:val="18"/>
                        </w:rPr>
                        <w:t xml:space="preserve"> avoided emissions in South Africa</w:t>
                      </w:r>
                      <w:r w:rsidRPr="00204E48">
                        <w:rPr>
                          <w:rFonts w:ascii="Arial" w:hAnsi="Arial" w:cs="Arial"/>
                          <w:b/>
                          <w:color w:val="2E74B5"/>
                          <w:sz w:val="18"/>
                        </w:rPr>
                        <w:t xml:space="preserve"> in 2030</w:t>
                      </w:r>
                      <w:bookmarkEnd w:id="337"/>
                      <w:r>
                        <w:rPr>
                          <w:rFonts w:ascii="Arial" w:hAnsi="Arial" w:cs="Arial"/>
                          <w:b/>
                          <w:color w:val="2E74B5"/>
                          <w:sz w:val="18"/>
                        </w:rPr>
                        <w:t xml:space="preserve"> </w:t>
                      </w:r>
                    </w:p>
                    <w:p w:rsidR="00540FEA" w:rsidRPr="00204E48" w:rsidRDefault="00540FEA" w:rsidP="008B2522">
                      <w:pPr>
                        <w:spacing w:after="0"/>
                        <w:rPr>
                          <w:b/>
                          <w:noProof/>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6"/>
                        <w:gridCol w:w="1499"/>
                        <w:gridCol w:w="1780"/>
                        <w:gridCol w:w="1962"/>
                      </w:tblGrid>
                      <w:tr w:rsidR="00540FEA" w:rsidRPr="00204E48" w:rsidTr="00C10172">
                        <w:trPr>
                          <w:jc w:val="center"/>
                        </w:trPr>
                        <w:tc>
                          <w:tcPr>
                            <w:tcW w:w="2446" w:type="dxa"/>
                            <w:shd w:val="clear" w:color="auto" w:fill="auto"/>
                          </w:tcPr>
                          <w:p w:rsidR="00540FEA" w:rsidRPr="00204E48" w:rsidRDefault="00540FEA" w:rsidP="00C10172">
                            <w:pPr>
                              <w:spacing w:after="0"/>
                              <w:jc w:val="left"/>
                              <w:rPr>
                                <w:b/>
                                <w:noProof/>
                                <w:sz w:val="18"/>
                                <w:szCs w:val="20"/>
                              </w:rPr>
                            </w:pPr>
                            <w:r w:rsidRPr="00204E48">
                              <w:rPr>
                                <w:b/>
                                <w:noProof/>
                                <w:sz w:val="18"/>
                                <w:szCs w:val="20"/>
                              </w:rPr>
                              <w:t>Equipment/Appliance Type</w:t>
                            </w:r>
                          </w:p>
                        </w:tc>
                        <w:tc>
                          <w:tcPr>
                            <w:tcW w:w="1499" w:type="dxa"/>
                            <w:shd w:val="clear" w:color="auto" w:fill="auto"/>
                          </w:tcPr>
                          <w:p w:rsidR="00540FEA" w:rsidRPr="00204E48" w:rsidRDefault="00540FEA" w:rsidP="00C10172">
                            <w:pPr>
                              <w:spacing w:after="0"/>
                              <w:jc w:val="left"/>
                              <w:rPr>
                                <w:b/>
                                <w:noProof/>
                                <w:sz w:val="18"/>
                                <w:szCs w:val="20"/>
                              </w:rPr>
                            </w:pPr>
                            <w:r w:rsidRPr="00204E48">
                              <w:rPr>
                                <w:b/>
                                <w:noProof/>
                                <w:sz w:val="18"/>
                                <w:szCs w:val="20"/>
                              </w:rPr>
                              <w:t xml:space="preserve">Energy savings </w:t>
                            </w:r>
                            <w:r w:rsidRPr="00204E48">
                              <w:rPr>
                                <w:noProof/>
                                <w:sz w:val="18"/>
                                <w:szCs w:val="20"/>
                              </w:rPr>
                              <w:t>(GWh/yr)</w:t>
                            </w:r>
                          </w:p>
                        </w:tc>
                        <w:tc>
                          <w:tcPr>
                            <w:tcW w:w="1780" w:type="dxa"/>
                            <w:tcBorders>
                              <w:bottom w:val="single" w:sz="4" w:space="0" w:color="auto"/>
                            </w:tcBorders>
                            <w:shd w:val="clear" w:color="auto" w:fill="auto"/>
                          </w:tcPr>
                          <w:p w:rsidR="00540FEA" w:rsidRPr="00204E48" w:rsidRDefault="00540FEA" w:rsidP="00C10172">
                            <w:pPr>
                              <w:spacing w:after="0"/>
                              <w:jc w:val="left"/>
                              <w:rPr>
                                <w:b/>
                                <w:noProof/>
                                <w:sz w:val="18"/>
                                <w:szCs w:val="20"/>
                              </w:rPr>
                            </w:pPr>
                            <w:r w:rsidRPr="00204E48">
                              <w:rPr>
                                <w:b/>
                                <w:noProof/>
                                <w:sz w:val="18"/>
                                <w:szCs w:val="20"/>
                              </w:rPr>
                              <w:t>Avoided CO</w:t>
                            </w:r>
                            <w:r w:rsidRPr="00204E48">
                              <w:rPr>
                                <w:b/>
                                <w:noProof/>
                                <w:sz w:val="18"/>
                                <w:szCs w:val="20"/>
                                <w:vertAlign w:val="subscript"/>
                              </w:rPr>
                              <w:t>2</w:t>
                            </w:r>
                            <w:r w:rsidRPr="00204E48">
                              <w:rPr>
                                <w:b/>
                                <w:noProof/>
                                <w:sz w:val="18"/>
                                <w:szCs w:val="20"/>
                              </w:rPr>
                              <w:t xml:space="preserve"> emissions </w:t>
                            </w:r>
                            <w:r w:rsidRPr="00204E48">
                              <w:rPr>
                                <w:b/>
                                <w:noProof/>
                                <w:sz w:val="18"/>
                                <w:szCs w:val="20"/>
                              </w:rPr>
                              <w:br/>
                            </w:r>
                            <w:r w:rsidRPr="00204E48">
                              <w:rPr>
                                <w:noProof/>
                                <w:sz w:val="18"/>
                                <w:szCs w:val="20"/>
                              </w:rPr>
                              <w:t>(thousand tonnes/yr)</w:t>
                            </w:r>
                          </w:p>
                        </w:tc>
                        <w:tc>
                          <w:tcPr>
                            <w:tcW w:w="1962" w:type="dxa"/>
                            <w:tcBorders>
                              <w:bottom w:val="single" w:sz="4" w:space="0" w:color="auto"/>
                            </w:tcBorders>
                          </w:tcPr>
                          <w:p w:rsidR="00540FEA" w:rsidRPr="00204E48" w:rsidRDefault="00540FEA" w:rsidP="00C10172">
                            <w:pPr>
                              <w:spacing w:after="0"/>
                              <w:jc w:val="left"/>
                              <w:rPr>
                                <w:b/>
                                <w:noProof/>
                                <w:sz w:val="18"/>
                                <w:szCs w:val="20"/>
                              </w:rPr>
                            </w:pPr>
                            <w:r w:rsidRPr="00204E48">
                              <w:rPr>
                                <w:b/>
                                <w:noProof/>
                                <w:sz w:val="18"/>
                                <w:szCs w:val="20"/>
                              </w:rPr>
                              <w:t>Cumulative CO</w:t>
                            </w:r>
                            <w:r w:rsidRPr="00204E48">
                              <w:rPr>
                                <w:b/>
                                <w:noProof/>
                                <w:sz w:val="18"/>
                                <w:szCs w:val="20"/>
                                <w:vertAlign w:val="subscript"/>
                              </w:rPr>
                              <w:t>2</w:t>
                            </w:r>
                            <w:r w:rsidRPr="00204E48">
                              <w:rPr>
                                <w:b/>
                                <w:noProof/>
                                <w:sz w:val="18"/>
                                <w:szCs w:val="20"/>
                              </w:rPr>
                              <w:t xml:space="preserve"> emissions reductions, 2020-2030 </w:t>
                            </w:r>
                            <w:r w:rsidRPr="00204E48">
                              <w:rPr>
                                <w:b/>
                                <w:noProof/>
                                <w:sz w:val="18"/>
                                <w:szCs w:val="20"/>
                              </w:rPr>
                              <w:br/>
                            </w:r>
                            <w:r w:rsidRPr="00204E48">
                              <w:rPr>
                                <w:noProof/>
                                <w:sz w:val="18"/>
                                <w:szCs w:val="20"/>
                              </w:rPr>
                              <w:t>(million tonnes)</w:t>
                            </w:r>
                          </w:p>
                        </w:tc>
                      </w:tr>
                      <w:tr w:rsidR="00540FEA" w:rsidRPr="00204E48" w:rsidTr="00C10172">
                        <w:trPr>
                          <w:jc w:val="center"/>
                        </w:trPr>
                        <w:tc>
                          <w:tcPr>
                            <w:tcW w:w="2446" w:type="dxa"/>
                            <w:shd w:val="clear" w:color="auto" w:fill="auto"/>
                          </w:tcPr>
                          <w:p w:rsidR="00540FEA" w:rsidRPr="00204E48" w:rsidRDefault="00540FEA" w:rsidP="00C10172">
                            <w:pPr>
                              <w:spacing w:after="0"/>
                              <w:jc w:val="left"/>
                              <w:rPr>
                                <w:noProof/>
                                <w:sz w:val="18"/>
                                <w:szCs w:val="20"/>
                              </w:rPr>
                            </w:pPr>
                            <w:r>
                              <w:rPr>
                                <w:noProof/>
                                <w:sz w:val="18"/>
                                <w:szCs w:val="20"/>
                              </w:rPr>
                              <w:t>Lighting</w:t>
                            </w:r>
                          </w:p>
                        </w:tc>
                        <w:tc>
                          <w:tcPr>
                            <w:tcW w:w="1499" w:type="dxa"/>
                            <w:shd w:val="clear" w:color="auto" w:fill="auto"/>
                          </w:tcPr>
                          <w:p w:rsidR="00540FEA" w:rsidRPr="00204E48" w:rsidRDefault="00540FEA" w:rsidP="00C10172">
                            <w:pPr>
                              <w:spacing w:after="0"/>
                              <w:jc w:val="left"/>
                              <w:rPr>
                                <w:noProof/>
                                <w:sz w:val="18"/>
                                <w:szCs w:val="20"/>
                              </w:rPr>
                            </w:pPr>
                            <w:r>
                              <w:rPr>
                                <w:noProof/>
                                <w:sz w:val="18"/>
                                <w:szCs w:val="20"/>
                              </w:rPr>
                              <w:t>10,448</w:t>
                            </w:r>
                          </w:p>
                        </w:tc>
                        <w:tc>
                          <w:tcPr>
                            <w:tcW w:w="1780" w:type="dxa"/>
                            <w:shd w:val="clear" w:color="auto" w:fill="FFFF99"/>
                          </w:tcPr>
                          <w:p w:rsidR="00540FEA" w:rsidRPr="00204E48" w:rsidRDefault="00540FEA" w:rsidP="00C10172">
                            <w:pPr>
                              <w:spacing w:after="0"/>
                              <w:jc w:val="left"/>
                              <w:rPr>
                                <w:noProof/>
                                <w:sz w:val="18"/>
                                <w:szCs w:val="20"/>
                              </w:rPr>
                            </w:pPr>
                            <w:r>
                              <w:rPr>
                                <w:noProof/>
                                <w:sz w:val="18"/>
                                <w:szCs w:val="20"/>
                              </w:rPr>
                              <w:t>10,365</w:t>
                            </w:r>
                          </w:p>
                        </w:tc>
                        <w:tc>
                          <w:tcPr>
                            <w:tcW w:w="1962" w:type="dxa"/>
                            <w:shd w:val="clear" w:color="auto" w:fill="FFFF99"/>
                          </w:tcPr>
                          <w:p w:rsidR="00540FEA" w:rsidRPr="00204E48" w:rsidRDefault="00540FEA" w:rsidP="00C10172">
                            <w:pPr>
                              <w:spacing w:after="0"/>
                              <w:jc w:val="left"/>
                              <w:rPr>
                                <w:noProof/>
                                <w:sz w:val="18"/>
                                <w:szCs w:val="20"/>
                              </w:rPr>
                            </w:pPr>
                            <w:r>
                              <w:rPr>
                                <w:noProof/>
                                <w:sz w:val="18"/>
                                <w:szCs w:val="20"/>
                              </w:rPr>
                              <w:t>89.6</w:t>
                            </w:r>
                          </w:p>
                        </w:tc>
                      </w:tr>
                      <w:tr w:rsidR="00540FEA" w:rsidRPr="00204E48" w:rsidTr="00C10172">
                        <w:trPr>
                          <w:jc w:val="center"/>
                        </w:trPr>
                        <w:tc>
                          <w:tcPr>
                            <w:tcW w:w="2446" w:type="dxa"/>
                            <w:shd w:val="clear" w:color="auto" w:fill="auto"/>
                          </w:tcPr>
                          <w:p w:rsidR="00540FEA" w:rsidRPr="00204E48" w:rsidRDefault="00540FEA" w:rsidP="00C10172">
                            <w:pPr>
                              <w:spacing w:after="0"/>
                              <w:jc w:val="left"/>
                              <w:rPr>
                                <w:noProof/>
                                <w:sz w:val="18"/>
                                <w:szCs w:val="20"/>
                              </w:rPr>
                            </w:pPr>
                            <w:r w:rsidRPr="00204E48">
                              <w:rPr>
                                <w:noProof/>
                                <w:sz w:val="18"/>
                                <w:szCs w:val="20"/>
                              </w:rPr>
                              <w:t>Distribution transformers</w:t>
                            </w:r>
                          </w:p>
                        </w:tc>
                        <w:tc>
                          <w:tcPr>
                            <w:tcW w:w="1499" w:type="dxa"/>
                            <w:shd w:val="clear" w:color="auto" w:fill="auto"/>
                          </w:tcPr>
                          <w:p w:rsidR="00540FEA" w:rsidRPr="00204E48" w:rsidRDefault="00540FEA" w:rsidP="00C10172">
                            <w:pPr>
                              <w:spacing w:after="0"/>
                              <w:jc w:val="left"/>
                              <w:rPr>
                                <w:noProof/>
                                <w:sz w:val="18"/>
                                <w:szCs w:val="20"/>
                              </w:rPr>
                            </w:pPr>
                            <w:r>
                              <w:rPr>
                                <w:noProof/>
                                <w:sz w:val="18"/>
                                <w:szCs w:val="20"/>
                              </w:rPr>
                              <w:t>5,109</w:t>
                            </w:r>
                          </w:p>
                        </w:tc>
                        <w:tc>
                          <w:tcPr>
                            <w:tcW w:w="1780" w:type="dxa"/>
                            <w:shd w:val="clear" w:color="auto" w:fill="FFFF99"/>
                          </w:tcPr>
                          <w:p w:rsidR="00540FEA" w:rsidRPr="00204E48" w:rsidRDefault="00540FEA" w:rsidP="00C10172">
                            <w:pPr>
                              <w:spacing w:after="0"/>
                              <w:jc w:val="left"/>
                              <w:rPr>
                                <w:noProof/>
                                <w:sz w:val="18"/>
                                <w:szCs w:val="20"/>
                              </w:rPr>
                            </w:pPr>
                            <w:r>
                              <w:rPr>
                                <w:noProof/>
                                <w:sz w:val="18"/>
                                <w:szCs w:val="20"/>
                              </w:rPr>
                              <w:t>4,604</w:t>
                            </w:r>
                          </w:p>
                        </w:tc>
                        <w:tc>
                          <w:tcPr>
                            <w:tcW w:w="1962" w:type="dxa"/>
                            <w:shd w:val="clear" w:color="auto" w:fill="FFFF99"/>
                          </w:tcPr>
                          <w:p w:rsidR="00540FEA" w:rsidRPr="00204E48" w:rsidRDefault="00540FEA" w:rsidP="00C10172">
                            <w:pPr>
                              <w:spacing w:after="0"/>
                              <w:jc w:val="left"/>
                              <w:rPr>
                                <w:noProof/>
                                <w:sz w:val="18"/>
                                <w:szCs w:val="20"/>
                              </w:rPr>
                            </w:pPr>
                            <w:r>
                              <w:rPr>
                                <w:noProof/>
                                <w:sz w:val="18"/>
                                <w:szCs w:val="20"/>
                              </w:rPr>
                              <w:t>27.0</w:t>
                            </w:r>
                          </w:p>
                        </w:tc>
                      </w:tr>
                      <w:tr w:rsidR="00540FEA" w:rsidRPr="00204E48" w:rsidTr="00C10172">
                        <w:trPr>
                          <w:trHeight w:val="179"/>
                          <w:jc w:val="center"/>
                        </w:trPr>
                        <w:tc>
                          <w:tcPr>
                            <w:tcW w:w="2446" w:type="dxa"/>
                            <w:shd w:val="clear" w:color="auto" w:fill="auto"/>
                          </w:tcPr>
                          <w:p w:rsidR="00540FEA" w:rsidRPr="00204E48" w:rsidRDefault="00540FEA" w:rsidP="00C10172">
                            <w:pPr>
                              <w:spacing w:after="0"/>
                              <w:jc w:val="left"/>
                              <w:rPr>
                                <w:b/>
                                <w:noProof/>
                                <w:sz w:val="18"/>
                                <w:szCs w:val="20"/>
                              </w:rPr>
                            </w:pPr>
                            <w:r w:rsidRPr="00204E48">
                              <w:rPr>
                                <w:b/>
                                <w:noProof/>
                                <w:sz w:val="18"/>
                                <w:szCs w:val="20"/>
                              </w:rPr>
                              <w:t>TOTAL</w:t>
                            </w:r>
                          </w:p>
                        </w:tc>
                        <w:tc>
                          <w:tcPr>
                            <w:tcW w:w="1499" w:type="dxa"/>
                            <w:shd w:val="clear" w:color="auto" w:fill="auto"/>
                          </w:tcPr>
                          <w:p w:rsidR="00540FEA" w:rsidRPr="00204E48" w:rsidRDefault="00540FEA" w:rsidP="00C10172">
                            <w:pPr>
                              <w:spacing w:after="0"/>
                              <w:jc w:val="left"/>
                              <w:rPr>
                                <w:b/>
                                <w:noProof/>
                                <w:sz w:val="18"/>
                                <w:szCs w:val="20"/>
                              </w:rPr>
                            </w:pPr>
                            <w:r>
                              <w:rPr>
                                <w:b/>
                                <w:noProof/>
                                <w:sz w:val="18"/>
                                <w:szCs w:val="20"/>
                              </w:rPr>
                              <w:t>15,557</w:t>
                            </w:r>
                          </w:p>
                        </w:tc>
                        <w:tc>
                          <w:tcPr>
                            <w:tcW w:w="1780" w:type="dxa"/>
                            <w:shd w:val="clear" w:color="auto" w:fill="FFFF99"/>
                          </w:tcPr>
                          <w:p w:rsidR="00540FEA" w:rsidRPr="00204E48" w:rsidRDefault="00540FEA" w:rsidP="00C10172">
                            <w:pPr>
                              <w:spacing w:after="0"/>
                              <w:jc w:val="left"/>
                              <w:rPr>
                                <w:b/>
                                <w:noProof/>
                                <w:sz w:val="18"/>
                                <w:szCs w:val="20"/>
                              </w:rPr>
                            </w:pPr>
                            <w:r>
                              <w:rPr>
                                <w:b/>
                                <w:noProof/>
                                <w:sz w:val="18"/>
                                <w:szCs w:val="20"/>
                              </w:rPr>
                              <w:t>14,969</w:t>
                            </w:r>
                          </w:p>
                        </w:tc>
                        <w:tc>
                          <w:tcPr>
                            <w:tcW w:w="1962" w:type="dxa"/>
                            <w:shd w:val="clear" w:color="auto" w:fill="FFFF99"/>
                          </w:tcPr>
                          <w:p w:rsidR="00540FEA" w:rsidRPr="00204E48" w:rsidRDefault="00540FEA" w:rsidP="00C10172">
                            <w:pPr>
                              <w:spacing w:after="0"/>
                              <w:jc w:val="left"/>
                              <w:rPr>
                                <w:b/>
                                <w:noProof/>
                                <w:sz w:val="18"/>
                                <w:szCs w:val="20"/>
                              </w:rPr>
                            </w:pPr>
                            <w:r w:rsidRPr="00204E48">
                              <w:rPr>
                                <w:b/>
                                <w:noProof/>
                                <w:sz w:val="18"/>
                                <w:szCs w:val="20"/>
                              </w:rPr>
                              <w:t>1</w:t>
                            </w:r>
                            <w:r>
                              <w:rPr>
                                <w:b/>
                                <w:noProof/>
                                <w:sz w:val="18"/>
                                <w:szCs w:val="20"/>
                              </w:rPr>
                              <w:t>16</w:t>
                            </w:r>
                            <w:r w:rsidRPr="00204E48">
                              <w:rPr>
                                <w:b/>
                                <w:noProof/>
                                <w:sz w:val="18"/>
                                <w:szCs w:val="20"/>
                              </w:rPr>
                              <w:t>.6</w:t>
                            </w:r>
                          </w:p>
                        </w:tc>
                      </w:tr>
                    </w:tbl>
                    <w:p w:rsidR="00540FEA" w:rsidRPr="00204E48" w:rsidRDefault="00540FEA" w:rsidP="008B2522">
                      <w:pPr>
                        <w:spacing w:after="0"/>
                        <w:ind w:left="993"/>
                        <w:rPr>
                          <w:noProof/>
                          <w:szCs w:val="20"/>
                        </w:rPr>
                      </w:pPr>
                      <w:r>
                        <w:rPr>
                          <w:noProof/>
                          <w:szCs w:val="20"/>
                        </w:rPr>
                        <w:tab/>
                      </w:r>
                      <w:r w:rsidRPr="00204E48">
                        <w:rPr>
                          <w:noProof/>
                          <w:szCs w:val="20"/>
                        </w:rPr>
                        <w:t xml:space="preserve"> </w:t>
                      </w:r>
                    </w:p>
                    <w:p w:rsidR="00540FEA" w:rsidRPr="004D58B9" w:rsidRDefault="00540FEA" w:rsidP="0038146D">
                      <w:pPr>
                        <w:ind w:left="284" w:right="474"/>
                        <w:rPr>
                          <w:sz w:val="18"/>
                          <w:szCs w:val="18"/>
                          <w:lang w:eastAsia="en-GB"/>
                        </w:rPr>
                      </w:pPr>
                      <w:r w:rsidRPr="00231BF4">
                        <w:rPr>
                          <w:sz w:val="18"/>
                          <w:szCs w:val="18"/>
                          <w:lang w:eastAsia="en-GB"/>
                        </w:rPr>
                        <w:t>Under the umbrella of the global project “Leapfrogging markets to high efficiency products (appliances, including lighting, and electrical equipment”, no official PIF was formulated for the South Africa ‘child’ project. Instead a ‘child concept note’ was formulated that does not give an estimate of the direct project and indirect lifetime GHG emission reduction, except for mentioning annual GHG reduction in th</w:t>
                      </w:r>
                      <w:r>
                        <w:rPr>
                          <w:sz w:val="18"/>
                          <w:szCs w:val="18"/>
                          <w:lang w:eastAsia="en-GB"/>
                        </w:rPr>
                        <w:t xml:space="preserve">e </w:t>
                      </w:r>
                      <w:r w:rsidRPr="00231BF4">
                        <w:rPr>
                          <w:sz w:val="18"/>
                          <w:szCs w:val="18"/>
                          <w:lang w:eastAsia="en-GB"/>
                        </w:rPr>
                        <w:t>year 2030 of about 17 million tCO</w:t>
                      </w:r>
                      <w:r w:rsidRPr="00231BF4">
                        <w:rPr>
                          <w:sz w:val="18"/>
                          <w:szCs w:val="18"/>
                          <w:vertAlign w:val="subscript"/>
                          <w:lang w:eastAsia="en-GB"/>
                        </w:rPr>
                        <w:t>2</w:t>
                      </w:r>
                      <w:r w:rsidRPr="00231BF4">
                        <w:rPr>
                          <w:sz w:val="18"/>
                          <w:szCs w:val="18"/>
                          <w:lang w:eastAsia="en-GB"/>
                        </w:rPr>
                        <w:t xml:space="preserve"> approximately. This rough estimate itself is based on calculations (based on minimum energy performance standards assumptions consistent with current world best practices: “best MEPS”) presented in the U4E </w:t>
                      </w:r>
                      <w:r w:rsidRPr="00231BF4">
                        <w:rPr>
                          <w:noProof/>
                          <w:sz w:val="18"/>
                          <w:szCs w:val="18"/>
                        </w:rPr>
                        <w:t xml:space="preserve">United for Efficiency </w:t>
                      </w:r>
                      <w:r w:rsidRPr="00231BF4">
                        <w:rPr>
                          <w:i/>
                          <w:noProof/>
                          <w:sz w:val="18"/>
                          <w:szCs w:val="18"/>
                        </w:rPr>
                        <w:t xml:space="preserve">South Africa Country Assessment </w:t>
                      </w:r>
                      <w:r w:rsidRPr="00231BF4">
                        <w:rPr>
                          <w:noProof/>
                          <w:sz w:val="18"/>
                          <w:szCs w:val="18"/>
                        </w:rPr>
                        <w:t>(</w:t>
                      </w:r>
                      <w:r>
                        <w:rPr>
                          <w:noProof/>
                          <w:sz w:val="18"/>
                          <w:szCs w:val="18"/>
                        </w:rPr>
                        <w:t>for assumptions and data sources, see</w:t>
                      </w:r>
                      <w:r w:rsidRPr="00231BF4">
                        <w:rPr>
                          <w:noProof/>
                          <w:sz w:val="18"/>
                          <w:szCs w:val="18"/>
                        </w:rPr>
                        <w:t xml:space="preserve"> </w:t>
                      </w:r>
                      <w:r w:rsidRPr="00231BF4">
                        <w:rPr>
                          <w:sz w:val="18"/>
                          <w:szCs w:val="18"/>
                          <w:lang w:eastAsia="en-GB"/>
                        </w:rPr>
                        <w:t xml:space="preserve"> </w:t>
                      </w:r>
                      <w:hyperlink r:id="rId167" w:history="1">
                        <w:r w:rsidRPr="00231BF4">
                          <w:rPr>
                            <w:rStyle w:val="Hyperlink"/>
                            <w:sz w:val="18"/>
                            <w:szCs w:val="18"/>
                          </w:rPr>
                          <w:t>http://united4efficiency.org/countries/country-assessments/</w:t>
                        </w:r>
                      </w:hyperlink>
                      <w:r w:rsidRPr="00231BF4">
                        <w:rPr>
                          <w:sz w:val="18"/>
                          <w:szCs w:val="18"/>
                          <w:lang w:eastAsia="en-GB"/>
                        </w:rPr>
                        <w:t xml:space="preserve"> (see table). As these calculations do give a cumulative GHG emission reduction, the figure </w:t>
                      </w:r>
                      <w:r>
                        <w:rPr>
                          <w:sz w:val="18"/>
                          <w:szCs w:val="18"/>
                          <w:lang w:eastAsia="en-GB"/>
                        </w:rPr>
                        <w:t xml:space="preserve">from the Country Assessment </w:t>
                      </w:r>
                      <w:r w:rsidRPr="00231BF4">
                        <w:rPr>
                          <w:sz w:val="18"/>
                          <w:szCs w:val="18"/>
                          <w:lang w:eastAsia="en-GB"/>
                        </w:rPr>
                        <w:t xml:space="preserve">is used </w:t>
                      </w:r>
                      <w:r>
                        <w:rPr>
                          <w:sz w:val="18"/>
                          <w:szCs w:val="18"/>
                          <w:lang w:eastAsia="en-GB"/>
                        </w:rPr>
                        <w:t xml:space="preserve">(multiplied by a </w:t>
                      </w:r>
                      <w:r w:rsidRPr="006E6A6F">
                        <w:rPr>
                          <w:i/>
                          <w:sz w:val="18"/>
                          <w:szCs w:val="18"/>
                          <w:lang w:eastAsia="en-GB"/>
                        </w:rPr>
                        <w:t>compliance factor of 50%)</w:t>
                      </w:r>
                      <w:r>
                        <w:rPr>
                          <w:sz w:val="18"/>
                          <w:szCs w:val="18"/>
                          <w:lang w:eastAsia="en-GB"/>
                        </w:rPr>
                        <w:t xml:space="preserve"> </w:t>
                      </w:r>
                      <w:r w:rsidRPr="00231BF4">
                        <w:rPr>
                          <w:sz w:val="18"/>
                          <w:szCs w:val="18"/>
                          <w:lang w:eastAsia="en-GB"/>
                        </w:rPr>
                        <w:t>as the value for ‘Core Indicator 6’ at PIF stage</w:t>
                      </w:r>
                      <w:r>
                        <w:rPr>
                          <w:sz w:val="18"/>
                          <w:szCs w:val="18"/>
                          <w:lang w:eastAsia="en-GB"/>
                        </w:rPr>
                        <w:t>. The PIF value of 58.3 million tCO</w:t>
                      </w:r>
                      <w:r>
                        <w:rPr>
                          <w:sz w:val="18"/>
                          <w:szCs w:val="18"/>
                          <w:vertAlign w:val="subscript"/>
                          <w:lang w:eastAsia="en-GB"/>
                        </w:rPr>
                        <w:t>2</w:t>
                      </w:r>
                      <w:r>
                        <w:rPr>
                          <w:sz w:val="18"/>
                          <w:szCs w:val="18"/>
                          <w:lang w:eastAsia="en-GB"/>
                        </w:rPr>
                        <w:t xml:space="preserve"> over 2020-2030) compares with the lifetime direct + indirect CO</w:t>
                      </w:r>
                      <w:r>
                        <w:rPr>
                          <w:sz w:val="18"/>
                          <w:szCs w:val="18"/>
                          <w:vertAlign w:val="subscript"/>
                          <w:lang w:eastAsia="en-GB"/>
                        </w:rPr>
                        <w:t>2</w:t>
                      </w:r>
                      <w:r>
                        <w:rPr>
                          <w:sz w:val="18"/>
                          <w:szCs w:val="18"/>
                          <w:lang w:eastAsia="en-GB"/>
                        </w:rPr>
                        <w:t xml:space="preserve"> emission reduction at CEO ER stage of 50.41 million tCO</w:t>
                      </w:r>
                      <w:r>
                        <w:rPr>
                          <w:sz w:val="18"/>
                          <w:szCs w:val="18"/>
                          <w:vertAlign w:val="subscript"/>
                          <w:lang w:eastAsia="en-GB"/>
                        </w:rPr>
                        <w:t>2</w:t>
                      </w:r>
                      <w:r>
                        <w:rPr>
                          <w:sz w:val="18"/>
                          <w:szCs w:val="18"/>
                          <w:lang w:eastAsia="en-GB"/>
                        </w:rPr>
                        <w:t>.</w:t>
                      </w:r>
                    </w:p>
                  </w:txbxContent>
                </v:textbox>
                <w10:wrap type="square"/>
              </v:shape>
            </w:pict>
          </mc:Fallback>
        </mc:AlternateContent>
      </w:r>
    </w:p>
    <w:bookmarkEnd w:id="333"/>
    <w:p w:rsidR="0023745E" w:rsidRPr="00353542" w:rsidRDefault="0023745E" w:rsidP="003F0660">
      <w:pPr>
        <w:spacing w:after="0"/>
        <w:rPr>
          <w:lang w:val="en-GB" w:eastAsia="en-GB"/>
        </w:rPr>
      </w:pPr>
    </w:p>
    <w:p w:rsidR="00FC39DC" w:rsidRPr="00666B27" w:rsidRDefault="00FC39DC" w:rsidP="00FC39DC">
      <w:pPr>
        <w:spacing w:after="0"/>
        <w:rPr>
          <w:b/>
          <w:lang w:val="en-GB" w:eastAsia="en-GB"/>
        </w:rPr>
      </w:pPr>
      <w:r w:rsidRPr="003B7D62">
        <w:rPr>
          <w:b/>
          <w:lang w:val="en-GB" w:eastAsia="en-GB"/>
        </w:rPr>
        <w:t xml:space="preserve">Core </w:t>
      </w:r>
      <w:r w:rsidRPr="004722F0">
        <w:rPr>
          <w:b/>
          <w:noProof/>
          <w:lang w:val="en-GB" w:eastAsia="en-GB"/>
        </w:rPr>
        <w:t>indicator</w:t>
      </w:r>
      <w:r w:rsidRPr="00666B27">
        <w:rPr>
          <w:b/>
          <w:lang w:val="en-GB" w:eastAsia="en-GB"/>
        </w:rPr>
        <w:t xml:space="preserve"> 11: Number of direct beneficiaries</w:t>
      </w:r>
      <w:r w:rsidR="00AC11EB">
        <w:rPr>
          <w:b/>
          <w:lang w:val="en-GB" w:eastAsia="en-GB"/>
        </w:rPr>
        <w:t xml:space="preserve"> (individuals)</w:t>
      </w:r>
      <w:r w:rsidRPr="00666B27">
        <w:rPr>
          <w:b/>
          <w:lang w:val="en-GB" w:eastAsia="en-GB"/>
        </w:rPr>
        <w:t xml:space="preserve"> disaggregated by gender </w:t>
      </w:r>
      <w:r w:rsidRPr="00666B27">
        <w:rPr>
          <w:lang w:val="en-GB" w:eastAsia="en-GB"/>
        </w:rPr>
        <w:t>(GEF and co-financing)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55"/>
        <w:gridCol w:w="2016"/>
        <w:gridCol w:w="2016"/>
        <w:gridCol w:w="2016"/>
        <w:gridCol w:w="2016"/>
      </w:tblGrid>
      <w:tr w:rsidR="00FC39DC" w:rsidRPr="0057545E" w:rsidTr="00F737AD">
        <w:tc>
          <w:tcPr>
            <w:tcW w:w="1255" w:type="dxa"/>
            <w:shd w:val="clear" w:color="auto" w:fill="DDDDDD"/>
          </w:tcPr>
          <w:p w:rsidR="00FC39DC" w:rsidRPr="00F737AD" w:rsidRDefault="00FC39DC" w:rsidP="00F737AD">
            <w:pPr>
              <w:spacing w:after="0"/>
              <w:jc w:val="left"/>
              <w:rPr>
                <w:rFonts w:eastAsia="Times New Roman"/>
                <w:b/>
                <w:color w:val="000000"/>
                <w:sz w:val="19"/>
                <w:szCs w:val="19"/>
                <w:lang w:val="en-GB"/>
              </w:rPr>
            </w:pPr>
          </w:p>
        </w:tc>
        <w:tc>
          <w:tcPr>
            <w:tcW w:w="2016" w:type="dxa"/>
            <w:shd w:val="clear" w:color="auto" w:fill="DDDDDD"/>
          </w:tcPr>
          <w:p w:rsidR="00FC39DC" w:rsidRPr="00F737AD" w:rsidRDefault="00FC39DC"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Total number (expected at PIF)</w:t>
            </w:r>
          </w:p>
        </w:tc>
        <w:tc>
          <w:tcPr>
            <w:tcW w:w="2016" w:type="dxa"/>
            <w:shd w:val="clear" w:color="auto" w:fill="DDDDDD"/>
          </w:tcPr>
          <w:p w:rsidR="00FC39DC" w:rsidRPr="00F737AD" w:rsidRDefault="00FC39DC"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Total number (expected at CEO ER)</w:t>
            </w:r>
          </w:p>
        </w:tc>
        <w:tc>
          <w:tcPr>
            <w:tcW w:w="2016" w:type="dxa"/>
            <w:shd w:val="clear" w:color="auto" w:fill="DDDDDD"/>
          </w:tcPr>
          <w:p w:rsidR="00FC39DC" w:rsidRPr="00F737AD" w:rsidRDefault="00FC39DC"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Total number (achieved at MTR)</w:t>
            </w:r>
          </w:p>
        </w:tc>
        <w:tc>
          <w:tcPr>
            <w:tcW w:w="2016" w:type="dxa"/>
            <w:shd w:val="clear" w:color="auto" w:fill="DDDDDD"/>
          </w:tcPr>
          <w:p w:rsidR="00FC39DC" w:rsidRPr="00F737AD" w:rsidRDefault="00FC39DC" w:rsidP="00F737AD">
            <w:pPr>
              <w:spacing w:after="0"/>
              <w:jc w:val="center"/>
              <w:rPr>
                <w:rFonts w:eastAsia="Times New Roman"/>
                <w:b/>
                <w:color w:val="000000"/>
                <w:sz w:val="19"/>
                <w:szCs w:val="19"/>
                <w:lang w:val="en-GB"/>
              </w:rPr>
            </w:pPr>
            <w:r w:rsidRPr="00F737AD">
              <w:rPr>
                <w:rFonts w:eastAsia="Times New Roman"/>
                <w:b/>
                <w:color w:val="000000"/>
                <w:sz w:val="19"/>
                <w:szCs w:val="19"/>
                <w:lang w:val="en-GB"/>
              </w:rPr>
              <w:t>Total number (achieved at TE)</w:t>
            </w:r>
          </w:p>
        </w:tc>
      </w:tr>
      <w:tr w:rsidR="00FC39DC" w:rsidRPr="0057545E" w:rsidTr="00F737AD">
        <w:tc>
          <w:tcPr>
            <w:tcW w:w="1255" w:type="dxa"/>
            <w:shd w:val="clear" w:color="auto" w:fill="DDDDDD"/>
          </w:tcPr>
          <w:p w:rsidR="00FC39DC" w:rsidRPr="00F737AD" w:rsidRDefault="00FC39DC"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Women</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w:t>
            </w:r>
          </w:p>
        </w:tc>
        <w:tc>
          <w:tcPr>
            <w:tcW w:w="2016" w:type="dxa"/>
            <w:shd w:val="clear" w:color="auto" w:fill="auto"/>
          </w:tcPr>
          <w:p w:rsidR="00FC39DC" w:rsidRPr="00F737AD" w:rsidRDefault="002126D2"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3.</w:t>
            </w:r>
            <w:r w:rsidR="005443D8" w:rsidRPr="00F737AD">
              <w:rPr>
                <w:rFonts w:eastAsia="Times New Roman"/>
                <w:color w:val="000000"/>
                <w:sz w:val="19"/>
                <w:szCs w:val="19"/>
                <w:lang w:val="en-GB"/>
              </w:rPr>
              <w:t>8</w:t>
            </w:r>
            <w:r w:rsidR="00FC39DC" w:rsidRPr="00F737AD">
              <w:rPr>
                <w:rFonts w:eastAsia="Times New Roman"/>
                <w:color w:val="000000"/>
                <w:sz w:val="19"/>
                <w:szCs w:val="19"/>
                <w:lang w:val="en-GB"/>
              </w:rPr>
              <w:t xml:space="preserve"> million</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r>
      <w:tr w:rsidR="00FC39DC" w:rsidRPr="0057545E" w:rsidTr="00F737AD">
        <w:tc>
          <w:tcPr>
            <w:tcW w:w="1255" w:type="dxa"/>
            <w:shd w:val="clear" w:color="auto" w:fill="DDDDDD"/>
          </w:tcPr>
          <w:p w:rsidR="00FC39DC" w:rsidRPr="00F737AD" w:rsidRDefault="00FC39DC"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Men</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w:t>
            </w:r>
          </w:p>
        </w:tc>
        <w:tc>
          <w:tcPr>
            <w:tcW w:w="2016" w:type="dxa"/>
            <w:shd w:val="clear" w:color="auto" w:fill="auto"/>
          </w:tcPr>
          <w:p w:rsidR="00FC39DC" w:rsidRPr="00F737AD" w:rsidRDefault="002126D2"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3.</w:t>
            </w:r>
            <w:r w:rsidR="005443D8" w:rsidRPr="00F737AD">
              <w:rPr>
                <w:rFonts w:eastAsia="Times New Roman"/>
                <w:color w:val="000000"/>
                <w:sz w:val="19"/>
                <w:szCs w:val="19"/>
                <w:lang w:val="en-GB"/>
              </w:rPr>
              <w:t>8</w:t>
            </w:r>
            <w:r w:rsidR="00FC39DC" w:rsidRPr="00F737AD">
              <w:rPr>
                <w:rFonts w:eastAsia="Times New Roman"/>
                <w:color w:val="000000"/>
                <w:sz w:val="19"/>
                <w:szCs w:val="19"/>
                <w:lang w:val="en-GB"/>
              </w:rPr>
              <w:t xml:space="preserve"> million</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r>
      <w:tr w:rsidR="00FC39DC" w:rsidRPr="0057545E" w:rsidTr="00F737AD">
        <w:tc>
          <w:tcPr>
            <w:tcW w:w="1255" w:type="dxa"/>
            <w:shd w:val="clear" w:color="auto" w:fill="DDDDDD"/>
          </w:tcPr>
          <w:p w:rsidR="00FC39DC" w:rsidRPr="00F737AD" w:rsidRDefault="00FC39DC" w:rsidP="00F737AD">
            <w:pPr>
              <w:spacing w:after="0"/>
              <w:jc w:val="left"/>
              <w:rPr>
                <w:rFonts w:eastAsia="Times New Roman"/>
                <w:b/>
                <w:color w:val="000000"/>
                <w:sz w:val="19"/>
                <w:szCs w:val="19"/>
                <w:lang w:val="en-GB"/>
              </w:rPr>
            </w:pPr>
            <w:r w:rsidRPr="00F737AD">
              <w:rPr>
                <w:rFonts w:eastAsia="Times New Roman"/>
                <w:b/>
                <w:color w:val="000000"/>
                <w:sz w:val="19"/>
                <w:szCs w:val="19"/>
                <w:lang w:val="en-GB"/>
              </w:rPr>
              <w:t>Total</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w:t>
            </w:r>
          </w:p>
        </w:tc>
        <w:tc>
          <w:tcPr>
            <w:tcW w:w="2016" w:type="dxa"/>
            <w:shd w:val="clear" w:color="auto" w:fill="auto"/>
          </w:tcPr>
          <w:p w:rsidR="00FC39DC" w:rsidRPr="00F737AD" w:rsidRDefault="002126D2" w:rsidP="00F737AD">
            <w:pPr>
              <w:spacing w:after="0"/>
              <w:jc w:val="center"/>
              <w:rPr>
                <w:rFonts w:eastAsia="Times New Roman"/>
                <w:color w:val="000000"/>
                <w:sz w:val="19"/>
                <w:szCs w:val="19"/>
                <w:lang w:val="en-GB"/>
              </w:rPr>
            </w:pPr>
            <w:r w:rsidRPr="00F737AD">
              <w:rPr>
                <w:rFonts w:eastAsia="Times New Roman"/>
                <w:color w:val="000000"/>
                <w:sz w:val="19"/>
                <w:szCs w:val="19"/>
                <w:lang w:val="en-GB"/>
              </w:rPr>
              <w:t>7.6</w:t>
            </w:r>
            <w:r w:rsidR="00AC11EB" w:rsidRPr="00F737AD">
              <w:rPr>
                <w:rFonts w:eastAsia="Times New Roman"/>
                <w:color w:val="000000"/>
                <w:sz w:val="19"/>
                <w:szCs w:val="19"/>
                <w:lang w:val="en-GB"/>
              </w:rPr>
              <w:t xml:space="preserve"> million</w:t>
            </w:r>
            <w:r w:rsidR="00FC39DC" w:rsidRPr="00F737AD">
              <w:rPr>
                <w:rFonts w:eastAsia="Times New Roman"/>
                <w:color w:val="000000"/>
                <w:sz w:val="19"/>
                <w:szCs w:val="19"/>
                <w:lang w:val="en-GB"/>
              </w:rPr>
              <w:t xml:space="preserve"> </w:t>
            </w: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c>
          <w:tcPr>
            <w:tcW w:w="2016" w:type="dxa"/>
            <w:shd w:val="clear" w:color="auto" w:fill="auto"/>
          </w:tcPr>
          <w:p w:rsidR="00FC39DC" w:rsidRPr="00F737AD" w:rsidRDefault="00FC39DC" w:rsidP="00F737AD">
            <w:pPr>
              <w:spacing w:after="0"/>
              <w:jc w:val="center"/>
              <w:rPr>
                <w:rFonts w:eastAsia="Times New Roman"/>
                <w:color w:val="000000"/>
                <w:sz w:val="19"/>
                <w:szCs w:val="19"/>
                <w:lang w:val="en-GB"/>
              </w:rPr>
            </w:pPr>
          </w:p>
        </w:tc>
      </w:tr>
    </w:tbl>
    <w:p w:rsidR="002D3CE9" w:rsidRPr="00353542" w:rsidRDefault="00FC39DC" w:rsidP="003F0660">
      <w:pPr>
        <w:spacing w:after="0"/>
        <w:rPr>
          <w:rFonts w:cs="Calibri"/>
          <w:i/>
          <w:sz w:val="18"/>
          <w:szCs w:val="20"/>
          <w:lang w:val="en-GB" w:eastAsia="en-GB"/>
        </w:rPr>
      </w:pPr>
      <w:r w:rsidRPr="0057545E">
        <w:rPr>
          <w:rFonts w:cs="Calibri"/>
          <w:i/>
          <w:sz w:val="18"/>
          <w:szCs w:val="20"/>
          <w:lang w:val="en-GB" w:eastAsia="en-GB"/>
        </w:rPr>
        <w:t>Note:</w:t>
      </w:r>
    </w:p>
    <w:p w:rsidR="00FC39DC" w:rsidRPr="00666B27" w:rsidRDefault="00FC39DC" w:rsidP="003F0660">
      <w:pPr>
        <w:spacing w:after="0"/>
        <w:rPr>
          <w:sz w:val="18"/>
          <w:szCs w:val="18"/>
          <w:lang w:val="en-GB" w:eastAsia="en-GB"/>
        </w:rPr>
      </w:pPr>
      <w:r w:rsidRPr="003B7D62">
        <w:rPr>
          <w:sz w:val="18"/>
          <w:szCs w:val="18"/>
          <w:lang w:val="en-GB" w:eastAsia="en-GB"/>
        </w:rPr>
        <w:t xml:space="preserve">The number of beneficiaries is based on estimates of households that have changed to efficient lamps </w:t>
      </w:r>
      <w:r w:rsidR="006A27A2" w:rsidRPr="004722F0">
        <w:rPr>
          <w:sz w:val="18"/>
          <w:szCs w:val="18"/>
          <w:lang w:val="en-GB" w:eastAsia="en-GB"/>
        </w:rPr>
        <w:t xml:space="preserve">in 2022 in the alternative scenario of </w:t>
      </w:r>
      <w:r w:rsidR="00AB6158" w:rsidRPr="00353542">
        <w:rPr>
          <w:sz w:val="18"/>
          <w:szCs w:val="18"/>
          <w:lang w:val="en-GB" w:eastAsia="en-GB"/>
        </w:rPr>
        <w:fldChar w:fldCharType="begin"/>
      </w:r>
      <w:r w:rsidR="00AB6158" w:rsidRPr="00666B27">
        <w:rPr>
          <w:sz w:val="18"/>
          <w:szCs w:val="18"/>
          <w:lang w:val="en-GB" w:eastAsia="en-GB"/>
        </w:rPr>
        <w:instrText xml:space="preserve"> REF _Ref497677274 \h </w:instrText>
      </w:r>
      <w:r w:rsidR="00AB6158" w:rsidRPr="00353542">
        <w:rPr>
          <w:sz w:val="18"/>
          <w:szCs w:val="18"/>
          <w:lang w:val="en-GB" w:eastAsia="en-GB"/>
        </w:rPr>
      </w:r>
      <w:r w:rsidR="00AB6158" w:rsidRPr="00353542">
        <w:rPr>
          <w:sz w:val="18"/>
          <w:szCs w:val="18"/>
          <w:lang w:val="en-GB" w:eastAsia="en-GB"/>
        </w:rPr>
        <w:fldChar w:fldCharType="separate"/>
      </w:r>
      <w:r w:rsidR="00B9469F" w:rsidRPr="00666B27">
        <w:rPr>
          <w:rFonts w:ascii="Arial" w:hAnsi="Arial" w:cs="Arial"/>
          <w:b/>
          <w:color w:val="2E74B5"/>
          <w:sz w:val="18"/>
          <w:lang w:val="en-GB"/>
        </w:rPr>
        <w:t xml:space="preserve">Box </w:t>
      </w:r>
      <w:r w:rsidR="00B9469F" w:rsidRPr="00353542">
        <w:rPr>
          <w:rFonts w:ascii="Arial" w:hAnsi="Arial" w:cs="Arial"/>
          <w:b/>
          <w:noProof/>
          <w:color w:val="2E74B5"/>
          <w:sz w:val="18"/>
          <w:lang w:val="en-GB"/>
        </w:rPr>
        <w:t>44</w:t>
      </w:r>
      <w:r w:rsidR="00AB6158" w:rsidRPr="00353542">
        <w:rPr>
          <w:sz w:val="18"/>
          <w:szCs w:val="18"/>
          <w:lang w:val="en-GB" w:eastAsia="en-GB"/>
        </w:rPr>
        <w:fldChar w:fldCharType="end"/>
      </w:r>
      <w:r w:rsidR="00AB6158" w:rsidRPr="0057545E">
        <w:rPr>
          <w:sz w:val="18"/>
          <w:szCs w:val="18"/>
          <w:lang w:val="en-GB" w:eastAsia="en-GB"/>
        </w:rPr>
        <w:t xml:space="preserve">, which is about </w:t>
      </w:r>
      <w:r w:rsidR="009B2715" w:rsidRPr="00353542">
        <w:rPr>
          <w:sz w:val="18"/>
          <w:szCs w:val="18"/>
          <w:lang w:val="en-GB" w:eastAsia="en-GB"/>
        </w:rPr>
        <w:t>4.</w:t>
      </w:r>
      <w:r w:rsidR="002126D2">
        <w:rPr>
          <w:sz w:val="18"/>
          <w:szCs w:val="18"/>
          <w:lang w:val="en-GB" w:eastAsia="en-GB"/>
        </w:rPr>
        <w:t>1</w:t>
      </w:r>
      <w:r w:rsidR="00AB6158" w:rsidRPr="003B7D62">
        <w:rPr>
          <w:sz w:val="18"/>
          <w:szCs w:val="18"/>
          <w:lang w:val="en-GB" w:eastAsia="en-GB"/>
        </w:rPr>
        <w:t xml:space="preserve"> million</w:t>
      </w:r>
      <w:r w:rsidR="00AB6158" w:rsidRPr="0057545E">
        <w:rPr>
          <w:rStyle w:val="FootnoteReference"/>
          <w:szCs w:val="18"/>
          <w:lang w:val="en-GB" w:eastAsia="en-GB"/>
        </w:rPr>
        <w:footnoteReference w:id="62"/>
      </w:r>
      <w:r w:rsidR="004E6950" w:rsidRPr="0057545E">
        <w:rPr>
          <w:sz w:val="18"/>
          <w:szCs w:val="18"/>
          <w:lang w:val="en-GB" w:eastAsia="en-GB"/>
        </w:rPr>
        <w:t xml:space="preserve">. </w:t>
      </w:r>
      <w:r w:rsidR="00AA3F9A" w:rsidRPr="00353542">
        <w:rPr>
          <w:sz w:val="18"/>
          <w:szCs w:val="18"/>
          <w:lang w:val="en-GB" w:eastAsia="en-GB"/>
        </w:rPr>
        <w:t xml:space="preserve"> </w:t>
      </w:r>
      <w:r w:rsidR="009B2715" w:rsidRPr="003B7D62">
        <w:rPr>
          <w:sz w:val="18"/>
          <w:szCs w:val="18"/>
          <w:lang w:val="en-GB" w:eastAsia="en-GB"/>
        </w:rPr>
        <w:t xml:space="preserve">The average members in one </w:t>
      </w:r>
      <w:r w:rsidR="006E6A6F" w:rsidRPr="004722F0">
        <w:rPr>
          <w:sz w:val="18"/>
          <w:szCs w:val="18"/>
          <w:lang w:val="en-GB" w:eastAsia="en-GB"/>
        </w:rPr>
        <w:t>household</w:t>
      </w:r>
      <w:r w:rsidR="009B2715" w:rsidRPr="00666B27">
        <w:rPr>
          <w:sz w:val="18"/>
          <w:szCs w:val="18"/>
          <w:lang w:val="en-GB" w:eastAsia="en-GB"/>
        </w:rPr>
        <w:t xml:space="preserve"> </w:t>
      </w:r>
      <w:r w:rsidR="009B2715" w:rsidRPr="00666B27">
        <w:rPr>
          <w:noProof/>
          <w:sz w:val="18"/>
          <w:szCs w:val="18"/>
          <w:lang w:val="en-GB" w:eastAsia="en-GB"/>
        </w:rPr>
        <w:t>is</w:t>
      </w:r>
      <w:r w:rsidR="009B2715" w:rsidRPr="00666B27">
        <w:rPr>
          <w:sz w:val="18"/>
          <w:szCs w:val="18"/>
          <w:lang w:val="en-GB" w:eastAsia="en-GB"/>
        </w:rPr>
        <w:t xml:space="preserve"> 3.1. </w:t>
      </w:r>
      <w:r w:rsidR="00AA3F9A" w:rsidRPr="00666B27">
        <w:rPr>
          <w:sz w:val="18"/>
          <w:szCs w:val="18"/>
          <w:lang w:val="en-GB" w:eastAsia="en-GB"/>
        </w:rPr>
        <w:t xml:space="preserve">Other beneficiaries will be the building owners (or the tenant that pays the power bill), with office workers indirectly benefitting. Similarly, the direct beneficiaries of </w:t>
      </w:r>
      <w:r w:rsidR="00AA3F9A" w:rsidRPr="00666B27">
        <w:rPr>
          <w:noProof/>
          <w:sz w:val="18"/>
          <w:szCs w:val="18"/>
          <w:lang w:val="en-GB" w:eastAsia="en-GB"/>
        </w:rPr>
        <w:t>HE distribution</w:t>
      </w:r>
      <w:r w:rsidR="00AA3F9A" w:rsidRPr="00666B27">
        <w:rPr>
          <w:sz w:val="18"/>
          <w:szCs w:val="18"/>
          <w:lang w:val="en-GB" w:eastAsia="en-GB"/>
        </w:rPr>
        <w:t xml:space="preserve"> transformers are the municipalities (and ESKOM). </w:t>
      </w:r>
    </w:p>
    <w:p w:rsidR="00A651FD" w:rsidRPr="00666B27" w:rsidRDefault="00A651FD" w:rsidP="00F21F31">
      <w:pPr>
        <w:tabs>
          <w:tab w:val="left" w:pos="567"/>
          <w:tab w:val="left" w:pos="851"/>
        </w:tabs>
        <w:spacing w:after="0"/>
        <w:rPr>
          <w:rFonts w:cs="Calibri"/>
          <w:szCs w:val="20"/>
          <w:lang w:val="en-GB" w:eastAsia="en-GB"/>
        </w:rPr>
      </w:pPr>
    </w:p>
    <w:p w:rsidR="005D1710" w:rsidRPr="00666B27" w:rsidRDefault="005D1710" w:rsidP="00F21F31">
      <w:pPr>
        <w:tabs>
          <w:tab w:val="left" w:pos="567"/>
          <w:tab w:val="left" w:pos="851"/>
        </w:tabs>
        <w:spacing w:after="0"/>
        <w:rPr>
          <w:rFonts w:cs="Calibri"/>
          <w:szCs w:val="20"/>
          <w:lang w:val="en-GB" w:eastAsia="en-GB"/>
        </w:rPr>
      </w:pPr>
    </w:p>
    <w:p w:rsidR="00352E0D" w:rsidRPr="00666B27" w:rsidRDefault="00352E0D" w:rsidP="00F21F31">
      <w:pPr>
        <w:tabs>
          <w:tab w:val="left" w:pos="567"/>
          <w:tab w:val="left" w:pos="851"/>
        </w:tabs>
        <w:spacing w:after="0"/>
        <w:rPr>
          <w:rFonts w:cs="Calibri"/>
          <w:szCs w:val="20"/>
          <w:lang w:val="en-GB" w:eastAsia="en-GB"/>
        </w:rPr>
      </w:pPr>
    </w:p>
    <w:p w:rsidR="00352E0D" w:rsidRPr="00666B27" w:rsidRDefault="00352E0D" w:rsidP="00352E0D">
      <w:pPr>
        <w:spacing w:after="0"/>
        <w:jc w:val="left"/>
        <w:rPr>
          <w:lang w:val="en-GB" w:eastAsia="en-GB"/>
        </w:rPr>
      </w:pPr>
    </w:p>
    <w:p w:rsidR="00352E0D" w:rsidRPr="00666B27" w:rsidRDefault="00352E0D" w:rsidP="00352E0D">
      <w:pPr>
        <w:pStyle w:val="HeadingA"/>
        <w:numPr>
          <w:ilvl w:val="0"/>
          <w:numId w:val="60"/>
        </w:numPr>
      </w:pPr>
      <w:bookmarkStart w:id="339" w:name="_Toc340790"/>
      <w:r w:rsidRPr="00666B27">
        <w:t>Stakeholder engagement and communication plan</w:t>
      </w:r>
      <w:bookmarkEnd w:id="339"/>
    </w:p>
    <w:p w:rsidR="00352E0D" w:rsidRPr="00666B27" w:rsidRDefault="00352E0D" w:rsidP="00352E0D">
      <w:pPr>
        <w:rPr>
          <w:lang w:val="en-GB"/>
        </w:rPr>
      </w:pPr>
    </w:p>
    <w:p w:rsidR="00352E0D" w:rsidRPr="00666B27" w:rsidRDefault="00352E0D" w:rsidP="00F21F31">
      <w:pPr>
        <w:tabs>
          <w:tab w:val="left" w:pos="567"/>
          <w:tab w:val="left" w:pos="851"/>
        </w:tabs>
        <w:spacing w:after="0"/>
        <w:rPr>
          <w:rFonts w:cs="Calibri"/>
          <w:szCs w:val="20"/>
          <w:lang w:val="en-GB" w:eastAsia="en-GB"/>
        </w:rPr>
      </w:pPr>
    </w:p>
    <w:p w:rsidR="007C5B7A" w:rsidRPr="00666B27" w:rsidRDefault="007C5B7A" w:rsidP="007C5B7A">
      <w:pPr>
        <w:rPr>
          <w:b/>
          <w:lang w:val="en-GB"/>
        </w:rPr>
      </w:pPr>
      <w:bookmarkStart w:id="340" w:name="_Hlk4679779"/>
      <w:r w:rsidRPr="00666B27">
        <w:rPr>
          <w:b/>
          <w:lang w:val="en-GB"/>
        </w:rPr>
        <w:t>Project preparation</w:t>
      </w:r>
    </w:p>
    <w:p w:rsidR="007C5B7A" w:rsidRPr="00666B27" w:rsidRDefault="007C5B7A" w:rsidP="00A25AD6">
      <w:pPr>
        <w:rPr>
          <w:lang w:val="en-GB"/>
        </w:rPr>
      </w:pPr>
      <w:r w:rsidRPr="00666B27">
        <w:rPr>
          <w:lang w:val="en-GB"/>
        </w:rPr>
        <w:t>During the project preparation (PIF and PPG stage), several stakeholder consultations were held with an objective of project design and activities to be as inclusive as possible and in line with the existing relevant policies, and electrification plans and existing off-grid electrification initiatives.</w:t>
      </w:r>
      <w:r w:rsidRPr="00666B27">
        <w:rPr>
          <w:rFonts w:cs="Calibri"/>
          <w:szCs w:val="20"/>
          <w:lang w:val="en-GB"/>
        </w:rPr>
        <w:t xml:space="preserve"> The following summarizes the stakeholder engagement activities to date: </w:t>
      </w:r>
    </w:p>
    <w:p w:rsidR="007C5B7A" w:rsidRPr="00666B27" w:rsidRDefault="007C5B7A" w:rsidP="00A25AD6">
      <w:pPr>
        <w:pStyle w:val="ListParagraph"/>
        <w:numPr>
          <w:ilvl w:val="0"/>
          <w:numId w:val="63"/>
        </w:numPr>
        <w:ind w:left="284" w:hanging="284"/>
        <w:rPr>
          <w:rFonts w:ascii="Calibri" w:hAnsi="Calibri" w:cs="Calibri"/>
          <w:sz w:val="20"/>
          <w:szCs w:val="20"/>
          <w:lang w:val="en-GB"/>
        </w:rPr>
      </w:pPr>
      <w:r w:rsidRPr="00666B27">
        <w:rPr>
          <w:rFonts w:ascii="Calibri" w:hAnsi="Calibri" w:cs="Calibri"/>
          <w:sz w:val="20"/>
          <w:szCs w:val="20"/>
          <w:lang w:val="en-GB"/>
        </w:rPr>
        <w:t xml:space="preserve">An initial stakeholder workshop was held in </w:t>
      </w:r>
      <w:r w:rsidR="00A25AD6" w:rsidRPr="00666B27">
        <w:rPr>
          <w:rFonts w:ascii="Calibri" w:hAnsi="Calibri" w:cs="Calibri"/>
          <w:sz w:val="20"/>
          <w:szCs w:val="20"/>
          <w:lang w:val="en-GB"/>
        </w:rPr>
        <w:t>July 2017 and a stakeholder Validation workshop in March 2019</w:t>
      </w:r>
    </w:p>
    <w:p w:rsidR="007C5B7A" w:rsidRPr="00666B27" w:rsidRDefault="007C5B7A" w:rsidP="00A25AD6">
      <w:pPr>
        <w:pStyle w:val="ListParagraph"/>
        <w:numPr>
          <w:ilvl w:val="0"/>
          <w:numId w:val="63"/>
        </w:numPr>
        <w:ind w:left="284" w:hanging="284"/>
        <w:rPr>
          <w:rFonts w:ascii="Calibri" w:hAnsi="Calibri" w:cs="Calibri"/>
          <w:sz w:val="20"/>
          <w:szCs w:val="20"/>
          <w:lang w:val="en-GB"/>
        </w:rPr>
      </w:pPr>
      <w:r w:rsidRPr="00666B27">
        <w:rPr>
          <w:rFonts w:ascii="Calibri" w:hAnsi="Calibri" w:cs="Calibri"/>
          <w:sz w:val="20"/>
          <w:szCs w:val="20"/>
          <w:lang w:val="en-GB"/>
        </w:rPr>
        <w:t xml:space="preserve">Bilateral meetings conducted with the relevant government department, development partners, NGOs </w:t>
      </w:r>
      <w:r w:rsidRPr="00666B27">
        <w:rPr>
          <w:rFonts w:ascii="Calibri" w:hAnsi="Calibri" w:cs="Calibri"/>
          <w:noProof/>
          <w:sz w:val="20"/>
          <w:szCs w:val="20"/>
          <w:lang w:val="en-GB"/>
        </w:rPr>
        <w:t>and</w:t>
      </w:r>
      <w:r w:rsidRPr="00666B27">
        <w:rPr>
          <w:rFonts w:ascii="Calibri" w:hAnsi="Calibri" w:cs="Calibri"/>
          <w:sz w:val="20"/>
          <w:szCs w:val="20"/>
          <w:lang w:val="en-GB"/>
        </w:rPr>
        <w:t xml:space="preserve"> universities/institutions, and development banks during the PPG phase</w:t>
      </w:r>
    </w:p>
    <w:p w:rsidR="007C5B7A" w:rsidRPr="00666B27" w:rsidRDefault="007C5B7A" w:rsidP="007C5B7A">
      <w:pPr>
        <w:spacing w:after="0"/>
        <w:rPr>
          <w:rFonts w:cs="Calibri"/>
          <w:szCs w:val="20"/>
          <w:lang w:val="en-GB"/>
        </w:rPr>
      </w:pPr>
    </w:p>
    <w:p w:rsidR="007C5B7A" w:rsidRPr="00666B27" w:rsidRDefault="007C5B7A" w:rsidP="007C5B7A">
      <w:pPr>
        <w:spacing w:after="0"/>
        <w:rPr>
          <w:rFonts w:cs="Calibri"/>
          <w:b/>
          <w:szCs w:val="20"/>
          <w:lang w:val="en-GB"/>
        </w:rPr>
      </w:pPr>
      <w:r w:rsidRPr="00666B27">
        <w:rPr>
          <w:rFonts w:cs="Calibri"/>
          <w:b/>
          <w:szCs w:val="20"/>
          <w:lang w:val="en-GB"/>
        </w:rPr>
        <w:t>Project inception and implementation</w:t>
      </w:r>
    </w:p>
    <w:p w:rsidR="007C5B7A" w:rsidRPr="00666B27" w:rsidRDefault="007C5B7A" w:rsidP="007C5B7A">
      <w:pPr>
        <w:spacing w:after="0"/>
        <w:rPr>
          <w:rFonts w:cs="Calibri"/>
          <w:szCs w:val="20"/>
          <w:lang w:val="en-GB"/>
        </w:rPr>
      </w:pPr>
    </w:p>
    <w:p w:rsidR="00B800C4" w:rsidRPr="00666B27" w:rsidRDefault="007C5B7A" w:rsidP="007C5B7A">
      <w:pPr>
        <w:spacing w:after="0"/>
        <w:rPr>
          <w:rFonts w:cs="Calibri"/>
          <w:szCs w:val="20"/>
          <w:lang w:val="en-GB"/>
        </w:rPr>
      </w:pPr>
      <w:r w:rsidRPr="00666B27">
        <w:rPr>
          <w:rFonts w:cs="Calibri"/>
          <w:szCs w:val="20"/>
          <w:lang w:val="en-GB"/>
        </w:rPr>
        <w:t>The table below presents the Stakeholder Engagement plan and summarizes different categories of stakeholders, which are described in Section 4.2 and Annex E</w:t>
      </w:r>
      <w:r w:rsidR="00A25AD6" w:rsidRPr="00666B27">
        <w:rPr>
          <w:rFonts w:cs="Calibri"/>
          <w:szCs w:val="20"/>
          <w:lang w:val="en-GB"/>
        </w:rPr>
        <w:t>.</w:t>
      </w:r>
    </w:p>
    <w:tbl>
      <w:tblPr>
        <w:tblpPr w:leftFromText="180" w:rightFromText="180" w:vertAnchor="text" w:horzAnchor="margin" w:tblpY="4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1"/>
        <w:gridCol w:w="7787"/>
      </w:tblGrid>
      <w:tr w:rsidR="00B800C4" w:rsidRPr="0057545E" w:rsidTr="00B800C4">
        <w:tc>
          <w:tcPr>
            <w:tcW w:w="2131" w:type="dxa"/>
            <w:shd w:val="clear" w:color="auto" w:fill="auto"/>
          </w:tcPr>
          <w:p w:rsidR="00B800C4" w:rsidRPr="00F737AD" w:rsidRDefault="00B800C4" w:rsidP="00B800C4">
            <w:pPr>
              <w:spacing w:after="0"/>
              <w:jc w:val="left"/>
              <w:rPr>
                <w:b/>
                <w:sz w:val="19"/>
                <w:szCs w:val="19"/>
                <w:lang w:val="en-GB"/>
              </w:rPr>
            </w:pPr>
            <w:r w:rsidRPr="00F737AD">
              <w:rPr>
                <w:b/>
                <w:sz w:val="19"/>
                <w:szCs w:val="19"/>
                <w:lang w:val="en-GB"/>
              </w:rPr>
              <w:t xml:space="preserve">Stakeholder group or </w:t>
            </w:r>
            <w:r w:rsidRPr="00F737AD">
              <w:rPr>
                <w:b/>
                <w:noProof/>
                <w:sz w:val="19"/>
                <w:szCs w:val="19"/>
                <w:lang w:val="en-GB"/>
              </w:rPr>
              <w:t>organisation</w:t>
            </w:r>
          </w:p>
        </w:tc>
        <w:tc>
          <w:tcPr>
            <w:tcW w:w="7787" w:type="dxa"/>
            <w:shd w:val="clear" w:color="auto" w:fill="auto"/>
          </w:tcPr>
          <w:p w:rsidR="00B800C4" w:rsidRPr="00F737AD" w:rsidRDefault="00B800C4" w:rsidP="00B800C4">
            <w:pPr>
              <w:spacing w:after="0"/>
              <w:jc w:val="center"/>
              <w:rPr>
                <w:b/>
                <w:sz w:val="19"/>
                <w:szCs w:val="19"/>
                <w:lang w:val="en-GB"/>
              </w:rPr>
            </w:pPr>
            <w:r w:rsidRPr="00F737AD">
              <w:rPr>
                <w:b/>
                <w:sz w:val="19"/>
                <w:szCs w:val="19"/>
                <w:lang w:val="en-GB"/>
              </w:rPr>
              <w:t>Means of engagement</w:t>
            </w:r>
          </w:p>
        </w:tc>
      </w:tr>
      <w:tr w:rsidR="00B800C4" w:rsidRPr="0057545E" w:rsidTr="00B800C4">
        <w:tc>
          <w:tcPr>
            <w:tcW w:w="2131"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Government ministries and agencies</w:t>
            </w:r>
          </w:p>
        </w:tc>
        <w:tc>
          <w:tcPr>
            <w:tcW w:w="7787"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 xml:space="preserve">Policymakers, officials and technical staff within government ministries will play a crucial role in the implementation of the proposed program. </w:t>
            </w:r>
          </w:p>
          <w:p w:rsidR="00B800C4" w:rsidRPr="00F737AD" w:rsidRDefault="00B800C4" w:rsidP="00B800C4">
            <w:pPr>
              <w:spacing w:before="60" w:after="0"/>
              <w:jc w:val="left"/>
              <w:rPr>
                <w:sz w:val="19"/>
                <w:szCs w:val="19"/>
                <w:lang w:val="en-GB"/>
              </w:rPr>
            </w:pPr>
            <w:proofErr w:type="gramStart"/>
            <w:r w:rsidRPr="00F737AD">
              <w:rPr>
                <w:sz w:val="19"/>
                <w:szCs w:val="19"/>
                <w:lang w:val="en-GB"/>
              </w:rPr>
              <w:t xml:space="preserve">The Department of </w:t>
            </w:r>
            <w:r w:rsidRPr="00F737AD">
              <w:rPr>
                <w:noProof/>
                <w:sz w:val="19"/>
                <w:szCs w:val="19"/>
                <w:lang w:val="en-GB"/>
              </w:rPr>
              <w:t>Energy,</w:t>
            </w:r>
            <w:proofErr w:type="gramEnd"/>
            <w:r w:rsidRPr="00F737AD">
              <w:rPr>
                <w:sz w:val="19"/>
                <w:szCs w:val="19"/>
                <w:lang w:val="en-GB"/>
              </w:rPr>
              <w:t xml:space="preserve"> will be in the Implementing Agency (IA) and will take a </w:t>
            </w:r>
            <w:r w:rsidRPr="00F737AD">
              <w:rPr>
                <w:noProof/>
                <w:sz w:val="19"/>
                <w:szCs w:val="19"/>
                <w:lang w:val="en-GB"/>
              </w:rPr>
              <w:t>leadership</w:t>
            </w:r>
            <w:r w:rsidRPr="00F737AD">
              <w:rPr>
                <w:sz w:val="19"/>
                <w:szCs w:val="19"/>
                <w:lang w:val="en-GB"/>
              </w:rPr>
              <w:t xml:space="preserve"> role in the Project Board in providing direction to the Project. DOE staff will work closely with full-time project staff and short-term experts on many aspects of implementation, particularly policy-related aspects, regulatory aspects, capacity building </w:t>
            </w:r>
            <w:r w:rsidRPr="00F737AD">
              <w:rPr>
                <w:noProof/>
                <w:sz w:val="19"/>
                <w:szCs w:val="19"/>
                <w:lang w:val="en-GB"/>
              </w:rPr>
              <w:t>and</w:t>
            </w:r>
            <w:r w:rsidRPr="00F737AD">
              <w:rPr>
                <w:sz w:val="19"/>
                <w:szCs w:val="19"/>
                <w:lang w:val="en-GB"/>
              </w:rPr>
              <w:t xml:space="preserve"> awareness creation and promotion.</w:t>
            </w:r>
          </w:p>
          <w:p w:rsidR="00B800C4" w:rsidRPr="00F737AD" w:rsidRDefault="00B800C4" w:rsidP="00B800C4">
            <w:pPr>
              <w:spacing w:before="60" w:after="0"/>
              <w:jc w:val="left"/>
              <w:rPr>
                <w:sz w:val="19"/>
                <w:szCs w:val="19"/>
                <w:lang w:val="en-GB"/>
              </w:rPr>
            </w:pPr>
            <w:r w:rsidRPr="00F737AD">
              <w:rPr>
                <w:sz w:val="19"/>
                <w:szCs w:val="19"/>
                <w:lang w:val="en-GB"/>
              </w:rPr>
              <w:t xml:space="preserve">DEA is the government institution responsible for environmental issues, policy </w:t>
            </w:r>
            <w:r w:rsidRPr="00F737AD">
              <w:rPr>
                <w:noProof/>
                <w:sz w:val="19"/>
                <w:szCs w:val="19"/>
                <w:lang w:val="en-GB"/>
              </w:rPr>
              <w:t>and</w:t>
            </w:r>
            <w:r w:rsidRPr="00F737AD">
              <w:rPr>
                <w:sz w:val="19"/>
                <w:szCs w:val="19"/>
                <w:lang w:val="en-GB"/>
              </w:rPr>
              <w:t xml:space="preserve"> planning, and will play a key role because climate mitigation activities </w:t>
            </w:r>
            <w:r w:rsidRPr="00F737AD">
              <w:rPr>
                <w:noProof/>
                <w:sz w:val="19"/>
                <w:szCs w:val="19"/>
                <w:lang w:val="en-GB"/>
              </w:rPr>
              <w:t>as well as mercury control competencies</w:t>
            </w:r>
            <w:r w:rsidRPr="00F737AD">
              <w:rPr>
                <w:sz w:val="19"/>
                <w:szCs w:val="19"/>
                <w:lang w:val="en-GB"/>
              </w:rPr>
              <w:t xml:space="preserve"> rely on this body. DEA is the GEF Operational Focal </w:t>
            </w:r>
            <w:r w:rsidRPr="00F737AD">
              <w:rPr>
                <w:noProof/>
                <w:sz w:val="19"/>
                <w:szCs w:val="19"/>
                <w:lang w:val="en-GB"/>
              </w:rPr>
              <w:t>Point,</w:t>
            </w:r>
            <w:r w:rsidRPr="00F737AD">
              <w:rPr>
                <w:sz w:val="19"/>
                <w:szCs w:val="19"/>
                <w:lang w:val="en-GB"/>
              </w:rPr>
              <w:t xml:space="preserve"> and therefore has an overall interest in the Project. DEA will </w:t>
            </w:r>
            <w:proofErr w:type="gramStart"/>
            <w:r w:rsidRPr="00F737AD">
              <w:rPr>
                <w:noProof/>
                <w:sz w:val="19"/>
                <w:szCs w:val="19"/>
                <w:lang w:val="en-GB"/>
              </w:rPr>
              <w:t>in particular</w:t>
            </w:r>
            <w:r w:rsidRPr="00F737AD">
              <w:rPr>
                <w:sz w:val="19"/>
                <w:szCs w:val="19"/>
                <w:lang w:val="en-GB"/>
              </w:rPr>
              <w:t xml:space="preserve"> be</w:t>
            </w:r>
            <w:proofErr w:type="gramEnd"/>
            <w:r w:rsidRPr="00F737AD">
              <w:rPr>
                <w:sz w:val="19"/>
                <w:szCs w:val="19"/>
                <w:lang w:val="en-GB"/>
              </w:rPr>
              <w:t xml:space="preserve"> involved in Component 4 on environmentally sound management of lighting and transformers</w:t>
            </w:r>
          </w:p>
          <w:p w:rsidR="00B800C4" w:rsidRPr="00F737AD" w:rsidRDefault="00B800C4" w:rsidP="00B800C4">
            <w:pPr>
              <w:spacing w:before="60" w:after="0"/>
              <w:jc w:val="left"/>
              <w:rPr>
                <w:sz w:val="19"/>
                <w:szCs w:val="19"/>
                <w:lang w:val="en-GB"/>
              </w:rPr>
            </w:pPr>
            <w:r w:rsidRPr="00F737AD">
              <w:rPr>
                <w:sz w:val="19"/>
                <w:szCs w:val="19"/>
                <w:lang w:val="en-GB"/>
              </w:rPr>
              <w:t xml:space="preserve">The Department of Trade and Industry (DTI) is responsible for the transformation and the development of the trade and industry </w:t>
            </w:r>
            <w:proofErr w:type="gramStart"/>
            <w:r w:rsidRPr="00F737AD">
              <w:rPr>
                <w:noProof/>
                <w:sz w:val="19"/>
                <w:szCs w:val="19"/>
                <w:lang w:val="en-GB"/>
              </w:rPr>
              <w:t>sectors,</w:t>
            </w:r>
            <w:r w:rsidRPr="00F737AD">
              <w:rPr>
                <w:sz w:val="19"/>
                <w:szCs w:val="19"/>
                <w:lang w:val="en-GB"/>
              </w:rPr>
              <w:t xml:space="preserve"> and</w:t>
            </w:r>
            <w:proofErr w:type="gramEnd"/>
            <w:r w:rsidRPr="00F737AD">
              <w:rPr>
                <w:sz w:val="19"/>
                <w:szCs w:val="19"/>
                <w:lang w:val="en-GB"/>
              </w:rPr>
              <w:t xml:space="preserve"> will be </w:t>
            </w:r>
            <w:r w:rsidRPr="00F737AD">
              <w:rPr>
                <w:noProof/>
                <w:sz w:val="19"/>
                <w:szCs w:val="19"/>
                <w:lang w:val="en-GB"/>
              </w:rPr>
              <w:t>interested</w:t>
            </w:r>
            <w:r w:rsidRPr="00F737AD">
              <w:rPr>
                <w:sz w:val="19"/>
                <w:szCs w:val="19"/>
                <w:lang w:val="en-GB"/>
              </w:rPr>
              <w:t xml:space="preserve"> promoting local production (Output 2.3). Its agencies for standards and quality control (SABS, NCRS, and SANAS) will be involved (with DoE) in administration and implementation of a mandatory MEPS and </w:t>
            </w:r>
            <w:r w:rsidRPr="00F737AD">
              <w:rPr>
                <w:noProof/>
                <w:sz w:val="19"/>
                <w:szCs w:val="19"/>
                <w:lang w:val="en-GB"/>
              </w:rPr>
              <w:t>labelling</w:t>
            </w:r>
            <w:r w:rsidRPr="00F737AD">
              <w:rPr>
                <w:sz w:val="19"/>
                <w:szCs w:val="19"/>
                <w:lang w:val="en-GB"/>
              </w:rPr>
              <w:t xml:space="preserve"> system for lighting and regulation of standards</w:t>
            </w:r>
          </w:p>
        </w:tc>
      </w:tr>
      <w:tr w:rsidR="00B800C4" w:rsidRPr="0057545E" w:rsidTr="00B800C4">
        <w:tc>
          <w:tcPr>
            <w:tcW w:w="2131"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Eskom and municipal energy service providers</w:t>
            </w:r>
          </w:p>
        </w:tc>
        <w:tc>
          <w:tcPr>
            <w:tcW w:w="7787"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 xml:space="preserve">Eskom and the municipal utilities have an incentive to encourage efficiency to lower capital costs for infrastructure (see, e.g., the peak load demand reduction estimates in Annex F). </w:t>
            </w:r>
          </w:p>
          <w:p w:rsidR="00B800C4" w:rsidRPr="00F737AD" w:rsidRDefault="00B800C4" w:rsidP="00B800C4">
            <w:pPr>
              <w:spacing w:before="60" w:after="0"/>
              <w:jc w:val="left"/>
              <w:rPr>
                <w:sz w:val="19"/>
                <w:szCs w:val="19"/>
                <w:lang w:val="en-GB"/>
              </w:rPr>
            </w:pPr>
            <w:r w:rsidRPr="00F737AD">
              <w:rPr>
                <w:sz w:val="19"/>
                <w:szCs w:val="19"/>
                <w:lang w:val="en-GB"/>
              </w:rPr>
              <w:t xml:space="preserve">Eskom will participate in communication, campaign </w:t>
            </w:r>
            <w:r w:rsidRPr="00F737AD">
              <w:rPr>
                <w:noProof/>
                <w:sz w:val="19"/>
                <w:szCs w:val="19"/>
                <w:lang w:val="en-GB"/>
              </w:rPr>
              <w:t>and</w:t>
            </w:r>
            <w:r w:rsidRPr="00F737AD">
              <w:rPr>
                <w:sz w:val="19"/>
                <w:szCs w:val="19"/>
                <w:lang w:val="en-GB"/>
              </w:rPr>
              <w:t xml:space="preserve"> awareness through its IDM (Integrated Demand Management). Eskom will particularly play a role in defining a standard and MVE system for transformers (Outcome 1), providing data for market assessment, and general in capacity building and promoting local production activities of efficient transformers (Outcome) and environmental aspects (Outcome 3).</w:t>
            </w:r>
          </w:p>
          <w:p w:rsidR="00B800C4" w:rsidRPr="00F737AD" w:rsidRDefault="00B800C4" w:rsidP="00B800C4">
            <w:pPr>
              <w:spacing w:after="0"/>
              <w:jc w:val="left"/>
              <w:rPr>
                <w:sz w:val="19"/>
                <w:szCs w:val="19"/>
                <w:lang w:val="en-GB"/>
              </w:rPr>
            </w:pPr>
            <w:r w:rsidRPr="00F737AD">
              <w:rPr>
                <w:sz w:val="19"/>
                <w:szCs w:val="19"/>
                <w:lang w:val="en-GB"/>
              </w:rPr>
              <w:t>Municipalities play an important role in designing municipal green and sustainable energy plans and propose investment projects on public buildings (incl. lighting) and infrastructure (incl. street lighting, distribution networks), and play an important role in awareness creation for their citizenry on sustainable practices (incl. proper waste disposal and efficient lighting.</w:t>
            </w:r>
          </w:p>
        </w:tc>
      </w:tr>
      <w:tr w:rsidR="00B800C4" w:rsidRPr="0057545E" w:rsidTr="00B800C4">
        <w:tc>
          <w:tcPr>
            <w:tcW w:w="2131"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Testing laboratories and technical institutions</w:t>
            </w:r>
          </w:p>
        </w:tc>
        <w:tc>
          <w:tcPr>
            <w:tcW w:w="7787" w:type="dxa"/>
            <w:shd w:val="clear" w:color="auto" w:fill="auto"/>
          </w:tcPr>
          <w:p w:rsidR="00B800C4" w:rsidRPr="00F737AD" w:rsidRDefault="00B800C4" w:rsidP="00B800C4">
            <w:pPr>
              <w:spacing w:after="0"/>
              <w:jc w:val="left"/>
              <w:rPr>
                <w:sz w:val="19"/>
                <w:szCs w:val="19"/>
                <w:lang w:val="en-GB"/>
              </w:rPr>
            </w:pPr>
            <w:r w:rsidRPr="00F737AD">
              <w:rPr>
                <w:sz w:val="19"/>
                <w:szCs w:val="19"/>
                <w:lang w:val="en-GB"/>
              </w:rPr>
              <w:t>Test procedures are an important technical foundation for MEPS. Testing laboratories will take part in the process of developing standards and quality control measures (Component 1)</w:t>
            </w:r>
          </w:p>
        </w:tc>
      </w:tr>
    </w:tbl>
    <w:p w:rsidR="007C5B7A" w:rsidRPr="00B800C4" w:rsidRDefault="007C5B7A" w:rsidP="007C5B7A">
      <w:pPr>
        <w:spacing w:after="0"/>
        <w:rPr>
          <w:rFonts w:cs="Calibri"/>
          <w:szCs w:val="20"/>
        </w:rPr>
      </w:pPr>
    </w:p>
    <w:p w:rsidR="007C5B7A" w:rsidRPr="00B800C4" w:rsidRDefault="007C5B7A" w:rsidP="007C5B7A">
      <w:pPr>
        <w:spacing w:after="0"/>
        <w:rPr>
          <w:rFonts w:cs="Calibri"/>
          <w:szCs w:val="20"/>
        </w:rPr>
      </w:pPr>
    </w:p>
    <w:p w:rsidR="00A25AD6" w:rsidRPr="00666B27" w:rsidRDefault="00A25AD6" w:rsidP="007C5B7A">
      <w:pPr>
        <w:spacing w:after="0"/>
        <w:rPr>
          <w:rFonts w:cs="Calibri"/>
          <w:szCs w:val="20"/>
          <w:lang w:val="en-GB"/>
        </w:rPr>
      </w:pPr>
    </w:p>
    <w:p w:rsidR="00A25AD6" w:rsidRPr="0057545E" w:rsidRDefault="00A25AD6" w:rsidP="007C5B7A">
      <w:pPr>
        <w:spacing w:after="0"/>
        <w:rPr>
          <w:rFonts w:cs="Calibri"/>
          <w:szCs w:val="20"/>
          <w:lang w:val="en-GB"/>
        </w:rPr>
      </w:pPr>
    </w:p>
    <w:tbl>
      <w:tblPr>
        <w:tblpPr w:leftFromText="180" w:rightFromText="180" w:vertAnchor="text" w:horzAnchor="margin" w:tblpY="-2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1"/>
        <w:gridCol w:w="7787"/>
      </w:tblGrid>
      <w:tr w:rsidR="00244A80" w:rsidRPr="0057545E" w:rsidTr="00F737AD">
        <w:tc>
          <w:tcPr>
            <w:tcW w:w="2131" w:type="dxa"/>
            <w:shd w:val="clear" w:color="auto" w:fill="auto"/>
          </w:tcPr>
          <w:p w:rsidR="00244A80" w:rsidRPr="00F737AD" w:rsidRDefault="00DF268B" w:rsidP="00F737AD">
            <w:pPr>
              <w:spacing w:after="0"/>
              <w:jc w:val="left"/>
              <w:rPr>
                <w:sz w:val="19"/>
                <w:szCs w:val="19"/>
                <w:lang w:val="en-GB"/>
              </w:rPr>
            </w:pPr>
            <w:r w:rsidRPr="00F737AD">
              <w:rPr>
                <w:sz w:val="19"/>
                <w:szCs w:val="19"/>
                <w:lang w:val="en-GB"/>
              </w:rPr>
              <w:t xml:space="preserve">Environmental, consumer and women’s groups and </w:t>
            </w:r>
            <w:r w:rsidRPr="00F737AD">
              <w:rPr>
                <w:noProof/>
                <w:sz w:val="19"/>
                <w:szCs w:val="19"/>
                <w:lang w:val="en-GB"/>
              </w:rPr>
              <w:t>organisations</w:t>
            </w:r>
          </w:p>
        </w:tc>
        <w:tc>
          <w:tcPr>
            <w:tcW w:w="7787" w:type="dxa"/>
            <w:shd w:val="clear" w:color="auto" w:fill="auto"/>
          </w:tcPr>
          <w:p w:rsidR="00244A80" w:rsidRPr="00F737AD" w:rsidRDefault="00244A80" w:rsidP="00F737AD">
            <w:pPr>
              <w:spacing w:after="0"/>
              <w:jc w:val="left"/>
              <w:rPr>
                <w:sz w:val="19"/>
                <w:szCs w:val="19"/>
                <w:lang w:val="en-GB"/>
              </w:rPr>
            </w:pPr>
            <w:r w:rsidRPr="00F737AD">
              <w:rPr>
                <w:sz w:val="19"/>
                <w:szCs w:val="19"/>
                <w:lang w:val="en-GB"/>
              </w:rPr>
              <w:t xml:space="preserve">Non-governmental organizations that advocate responsible energy policies will contribute their perspectives during the development of the national strategy for energy-efficient products. They will provide a balancing perspective to manufacturers </w:t>
            </w:r>
            <w:proofErr w:type="gramStart"/>
            <w:r w:rsidRPr="00F737AD">
              <w:rPr>
                <w:sz w:val="19"/>
                <w:szCs w:val="19"/>
                <w:lang w:val="en-GB"/>
              </w:rPr>
              <w:t>with regard to</w:t>
            </w:r>
            <w:proofErr w:type="gramEnd"/>
            <w:r w:rsidRPr="00F737AD">
              <w:rPr>
                <w:sz w:val="19"/>
                <w:szCs w:val="19"/>
                <w:lang w:val="en-GB"/>
              </w:rPr>
              <w:t xml:space="preserve"> the stringency of MEPS and MVE schemes. Input from civil society consumer groups can ensure that regulations do not require overly expensive or less functional lighting, appliance products </w:t>
            </w:r>
            <w:r w:rsidRPr="00F737AD">
              <w:rPr>
                <w:noProof/>
                <w:sz w:val="19"/>
                <w:szCs w:val="19"/>
                <w:lang w:val="en-GB"/>
              </w:rPr>
              <w:t>and</w:t>
            </w:r>
            <w:r w:rsidRPr="00F737AD">
              <w:rPr>
                <w:sz w:val="19"/>
                <w:szCs w:val="19"/>
                <w:lang w:val="en-GB"/>
              </w:rPr>
              <w:t xml:space="preserve"> equipment.</w:t>
            </w:r>
            <w:r w:rsidR="00DF268B" w:rsidRPr="00F737AD">
              <w:rPr>
                <w:sz w:val="19"/>
                <w:szCs w:val="19"/>
                <w:lang w:val="en-GB"/>
              </w:rPr>
              <w:t xml:space="preserve"> </w:t>
            </w:r>
            <w:r w:rsidR="00DF268B" w:rsidRPr="00F737AD">
              <w:rPr>
                <w:lang w:val="en-GB"/>
              </w:rPr>
              <w:t xml:space="preserve"> </w:t>
            </w:r>
            <w:r w:rsidR="00DF268B" w:rsidRPr="00F737AD">
              <w:rPr>
                <w:sz w:val="19"/>
                <w:szCs w:val="19"/>
                <w:lang w:val="en-GB"/>
              </w:rPr>
              <w:t xml:space="preserve">This </w:t>
            </w:r>
            <w:r w:rsidR="00DF268B" w:rsidRPr="00F737AD">
              <w:rPr>
                <w:noProof/>
                <w:sz w:val="19"/>
                <w:szCs w:val="19"/>
                <w:lang w:val="en-GB"/>
              </w:rPr>
              <w:t>include</w:t>
            </w:r>
            <w:r w:rsidR="00FB2439" w:rsidRPr="00F737AD">
              <w:rPr>
                <w:noProof/>
                <w:sz w:val="19"/>
                <w:szCs w:val="19"/>
                <w:shd w:val="clear" w:color="auto" w:fill="FFFFFF"/>
                <w:lang w:val="en-GB"/>
              </w:rPr>
              <w:t>s</w:t>
            </w:r>
            <w:r w:rsidR="00DF268B" w:rsidRPr="00F737AD">
              <w:rPr>
                <w:sz w:val="19"/>
                <w:szCs w:val="19"/>
                <w:lang w:val="en-GB"/>
              </w:rPr>
              <w:t xml:space="preserve"> the role of women groups and </w:t>
            </w:r>
            <w:r w:rsidR="00DF268B" w:rsidRPr="00F737AD">
              <w:rPr>
                <w:noProof/>
                <w:sz w:val="19"/>
                <w:szCs w:val="19"/>
                <w:lang w:val="en-GB"/>
              </w:rPr>
              <w:t>organisations</w:t>
            </w:r>
            <w:r w:rsidR="00DF268B" w:rsidRPr="00F737AD">
              <w:rPr>
                <w:sz w:val="19"/>
                <w:szCs w:val="19"/>
                <w:lang w:val="en-GB"/>
              </w:rPr>
              <w:t xml:space="preserve"> to stress the importance of women-led households, women-owned businesses (WOB) and in the Project itself, gender-sensitive data gathering and reporting.</w:t>
            </w:r>
          </w:p>
        </w:tc>
      </w:tr>
      <w:tr w:rsidR="00244A80" w:rsidRPr="0057545E" w:rsidTr="00F737AD">
        <w:tc>
          <w:tcPr>
            <w:tcW w:w="2131" w:type="dxa"/>
            <w:shd w:val="clear" w:color="auto" w:fill="auto"/>
          </w:tcPr>
          <w:p w:rsidR="00244A80" w:rsidRPr="00F737AD" w:rsidRDefault="00244A80" w:rsidP="00F737AD">
            <w:pPr>
              <w:spacing w:after="0"/>
              <w:jc w:val="left"/>
              <w:rPr>
                <w:sz w:val="19"/>
                <w:szCs w:val="19"/>
                <w:lang w:val="en-GB"/>
              </w:rPr>
            </w:pPr>
            <w:r w:rsidRPr="00F737AD">
              <w:rPr>
                <w:sz w:val="19"/>
                <w:szCs w:val="19"/>
                <w:lang w:val="en-GB"/>
              </w:rPr>
              <w:t xml:space="preserve">Manufacturers, importers, distributors </w:t>
            </w:r>
            <w:r w:rsidRPr="00F737AD">
              <w:rPr>
                <w:noProof/>
                <w:sz w:val="19"/>
                <w:szCs w:val="19"/>
                <w:lang w:val="en-GB"/>
              </w:rPr>
              <w:t>and</w:t>
            </w:r>
            <w:r w:rsidRPr="00F737AD">
              <w:rPr>
                <w:sz w:val="19"/>
                <w:szCs w:val="19"/>
                <w:lang w:val="en-GB"/>
              </w:rPr>
              <w:t xml:space="preserve"> retailers of lighting products, and transformer equipment</w:t>
            </w:r>
          </w:p>
        </w:tc>
        <w:tc>
          <w:tcPr>
            <w:tcW w:w="7787" w:type="dxa"/>
            <w:shd w:val="clear" w:color="auto" w:fill="auto"/>
          </w:tcPr>
          <w:p w:rsidR="00244A80" w:rsidRPr="00F737AD" w:rsidRDefault="00244A80" w:rsidP="00F737AD">
            <w:pPr>
              <w:spacing w:after="0"/>
              <w:jc w:val="left"/>
              <w:rPr>
                <w:sz w:val="19"/>
                <w:szCs w:val="19"/>
                <w:lang w:val="en-GB"/>
              </w:rPr>
            </w:pPr>
            <w:r w:rsidRPr="00F737AD">
              <w:rPr>
                <w:sz w:val="19"/>
                <w:szCs w:val="19"/>
                <w:lang w:val="en-GB"/>
              </w:rPr>
              <w:t xml:space="preserve">Manufacturers, importers, distributors </w:t>
            </w:r>
            <w:r w:rsidRPr="00F737AD">
              <w:rPr>
                <w:noProof/>
                <w:sz w:val="19"/>
                <w:szCs w:val="19"/>
                <w:lang w:val="en-GB"/>
              </w:rPr>
              <w:t>and</w:t>
            </w:r>
            <w:r w:rsidRPr="00F737AD">
              <w:rPr>
                <w:sz w:val="19"/>
                <w:szCs w:val="19"/>
                <w:lang w:val="en-GB"/>
              </w:rPr>
              <w:t xml:space="preserve"> retailers are directly affected by energy efficiency regulations. They have valuable information about production costs and market structures. MEPS necessarily impose some burdens on manufacturers and importers, but these can be acceptable </w:t>
            </w:r>
            <w:proofErr w:type="gramStart"/>
            <w:r w:rsidRPr="00F737AD">
              <w:rPr>
                <w:sz w:val="19"/>
                <w:szCs w:val="19"/>
                <w:lang w:val="en-GB"/>
              </w:rPr>
              <w:t>as long as</w:t>
            </w:r>
            <w:proofErr w:type="gramEnd"/>
            <w:r w:rsidRPr="00F737AD">
              <w:rPr>
                <w:sz w:val="19"/>
                <w:szCs w:val="19"/>
                <w:lang w:val="en-GB"/>
              </w:rPr>
              <w:t xml:space="preserve"> they affect all companies equally and also introduce new business opportunities. Domestic and international firms will provide their input. Equipment retailers will comment on the proposed program and its future implementation by characterizing the market and consumer response to product efficiency and pricing.</w:t>
            </w:r>
          </w:p>
          <w:p w:rsidR="00244A80" w:rsidRPr="00F737AD" w:rsidRDefault="00244A80" w:rsidP="00F737AD">
            <w:pPr>
              <w:spacing w:after="0"/>
              <w:jc w:val="left"/>
              <w:rPr>
                <w:sz w:val="19"/>
                <w:szCs w:val="19"/>
                <w:lang w:val="en-GB"/>
              </w:rPr>
            </w:pPr>
          </w:p>
          <w:p w:rsidR="00244A80" w:rsidRPr="00F737AD" w:rsidRDefault="00244A80" w:rsidP="00F737AD">
            <w:pPr>
              <w:spacing w:after="0"/>
              <w:jc w:val="left"/>
              <w:rPr>
                <w:sz w:val="19"/>
                <w:szCs w:val="19"/>
                <w:lang w:val="en-GB"/>
              </w:rPr>
            </w:pPr>
            <w:r w:rsidRPr="00F737AD">
              <w:rPr>
                <w:sz w:val="19"/>
                <w:szCs w:val="19"/>
                <w:lang w:val="en-GB"/>
              </w:rPr>
              <w:t xml:space="preserve">In order to ensure industry readiness of local industry, the program offers support to local manufacturers and assembly companies to ensure the can produce LED products and high-efficiency distribution </w:t>
            </w:r>
            <w:r w:rsidR="00A25AD6" w:rsidRPr="00F737AD">
              <w:rPr>
                <w:sz w:val="19"/>
                <w:szCs w:val="19"/>
                <w:lang w:val="en-GB"/>
              </w:rPr>
              <w:t>transformers in</w:t>
            </w:r>
            <w:r w:rsidRPr="00F737AD">
              <w:rPr>
                <w:sz w:val="19"/>
                <w:szCs w:val="19"/>
                <w:lang w:val="en-GB"/>
              </w:rPr>
              <w:t xml:space="preserve"> a sustainable manner.</w:t>
            </w:r>
          </w:p>
        </w:tc>
      </w:tr>
    </w:tbl>
    <w:p w:rsidR="00A25AD6" w:rsidRPr="0057545E" w:rsidRDefault="00A25AD6" w:rsidP="007C5B7A">
      <w:pPr>
        <w:spacing w:after="0"/>
        <w:rPr>
          <w:szCs w:val="20"/>
          <w:lang w:val="en-GB" w:eastAsia="en-GB"/>
        </w:rPr>
      </w:pPr>
      <w:bookmarkStart w:id="341" w:name="_Hlk535438862"/>
    </w:p>
    <w:p w:rsidR="007C5B7A" w:rsidRPr="00666B27" w:rsidRDefault="007C5B7A" w:rsidP="007C5B7A">
      <w:pPr>
        <w:spacing w:after="0"/>
        <w:rPr>
          <w:szCs w:val="20"/>
          <w:lang w:val="en-GB" w:eastAsia="en-GB"/>
        </w:rPr>
      </w:pPr>
      <w:r w:rsidRPr="00353542">
        <w:rPr>
          <w:szCs w:val="20"/>
          <w:lang w:val="en-GB" w:eastAsia="en-GB"/>
        </w:rPr>
        <w:t xml:space="preserve">The Project will effectively engage the stakeholders involved in the project to get their </w:t>
      </w:r>
      <w:r w:rsidRPr="003B7D62">
        <w:rPr>
          <w:noProof/>
          <w:szCs w:val="20"/>
          <w:lang w:val="en-GB" w:eastAsia="en-GB"/>
        </w:rPr>
        <w:t>support</w:t>
      </w:r>
      <w:r w:rsidRPr="004722F0">
        <w:rPr>
          <w:szCs w:val="20"/>
          <w:lang w:val="en-GB" w:eastAsia="en-GB"/>
        </w:rPr>
        <w:t xml:space="preserve"> and guide the project implementation to achieve higher results. </w:t>
      </w:r>
    </w:p>
    <w:p w:rsidR="007C5B7A" w:rsidRPr="00F737AD" w:rsidRDefault="007C5B7A" w:rsidP="007C5B7A">
      <w:pPr>
        <w:pStyle w:val="ListParagraph"/>
        <w:numPr>
          <w:ilvl w:val="0"/>
          <w:numId w:val="62"/>
        </w:numPr>
        <w:ind w:left="426" w:hanging="426"/>
        <w:jc w:val="both"/>
        <w:rPr>
          <w:rFonts w:ascii="Calibri" w:hAnsi="Calibri" w:cs="Calibri"/>
          <w:sz w:val="20"/>
          <w:szCs w:val="20"/>
          <w:lang w:val="en-GB" w:eastAsia="en-GB"/>
        </w:rPr>
      </w:pPr>
      <w:r w:rsidRPr="00F737AD">
        <w:rPr>
          <w:rFonts w:ascii="Calibri" w:hAnsi="Calibri" w:cs="Calibri"/>
          <w:sz w:val="20"/>
          <w:szCs w:val="20"/>
          <w:lang w:val="en-GB" w:eastAsia="en-GB"/>
        </w:rPr>
        <w:t>Project outreach proposed includes project website, media (print/</w:t>
      </w:r>
      <w:r w:rsidRPr="00F737AD">
        <w:rPr>
          <w:rFonts w:ascii="Calibri" w:hAnsi="Calibri" w:cs="Calibri"/>
          <w:noProof/>
          <w:sz w:val="20"/>
          <w:szCs w:val="20"/>
          <w:lang w:val="en-GB" w:eastAsia="en-GB"/>
        </w:rPr>
        <w:t>audio</w:t>
      </w:r>
      <w:r w:rsidR="00A25AD6" w:rsidRPr="00F737AD">
        <w:rPr>
          <w:rFonts w:ascii="Calibri" w:hAnsi="Calibri" w:cs="Calibri"/>
          <w:noProof/>
          <w:sz w:val="20"/>
          <w:szCs w:val="20"/>
          <w:lang w:val="en-GB" w:eastAsia="en-GB"/>
        </w:rPr>
        <w:t>-</w:t>
      </w:r>
      <w:r w:rsidRPr="00F737AD">
        <w:rPr>
          <w:rFonts w:ascii="Calibri" w:hAnsi="Calibri" w:cs="Calibri"/>
          <w:noProof/>
          <w:sz w:val="20"/>
          <w:szCs w:val="20"/>
          <w:lang w:val="en-GB" w:eastAsia="en-GB"/>
        </w:rPr>
        <w:t>visual</w:t>
      </w:r>
      <w:r w:rsidRPr="00F737AD">
        <w:rPr>
          <w:rFonts w:ascii="Calibri" w:hAnsi="Calibri" w:cs="Calibri"/>
          <w:sz w:val="20"/>
          <w:szCs w:val="20"/>
          <w:lang w:val="en-GB" w:eastAsia="en-GB"/>
        </w:rPr>
        <w:t xml:space="preserve">), workshops, </w:t>
      </w:r>
      <w:r w:rsidRPr="00F737AD">
        <w:rPr>
          <w:rFonts w:ascii="Calibri" w:hAnsi="Calibri" w:cs="Calibri"/>
          <w:noProof/>
          <w:sz w:val="20"/>
          <w:szCs w:val="20"/>
          <w:lang w:val="en-GB" w:eastAsia="en-GB"/>
        </w:rPr>
        <w:t>training</w:t>
      </w:r>
      <w:r w:rsidRPr="00F737AD">
        <w:rPr>
          <w:rFonts w:ascii="Calibri" w:hAnsi="Calibri" w:cs="Calibri"/>
          <w:sz w:val="20"/>
          <w:szCs w:val="20"/>
          <w:lang w:val="en-GB" w:eastAsia="en-GB"/>
        </w:rPr>
        <w:t xml:space="preserve"> etc.</w:t>
      </w:r>
    </w:p>
    <w:p w:rsidR="007C5B7A" w:rsidRPr="00F737AD" w:rsidRDefault="007C5B7A" w:rsidP="007C5B7A">
      <w:pPr>
        <w:pStyle w:val="ListParagraph"/>
        <w:numPr>
          <w:ilvl w:val="0"/>
          <w:numId w:val="62"/>
        </w:numPr>
        <w:ind w:left="426" w:hanging="426"/>
        <w:jc w:val="both"/>
        <w:rPr>
          <w:rFonts w:ascii="Calibri" w:hAnsi="Calibri" w:cs="Calibri"/>
          <w:sz w:val="20"/>
          <w:szCs w:val="20"/>
          <w:lang w:val="en-GB" w:eastAsia="en-GB"/>
        </w:rPr>
      </w:pPr>
      <w:r w:rsidRPr="00F737AD">
        <w:rPr>
          <w:rFonts w:ascii="Calibri" w:hAnsi="Calibri" w:cs="Calibri"/>
          <w:sz w:val="20"/>
          <w:szCs w:val="20"/>
          <w:lang w:val="en-GB" w:eastAsia="en-GB"/>
        </w:rPr>
        <w:t xml:space="preserve">The PMU and the Project Board will ensure that the Gender Action Plan recommended by the project is pursued and implemented. The various groups especially women will be engaged during the consultation meetings, prioritized to avail the program and be included in the different capacity building programs. </w:t>
      </w:r>
      <w:r w:rsidRPr="00F737AD">
        <w:rPr>
          <w:rFonts w:ascii="Calibri" w:hAnsi="Calibri" w:cs="Calibri"/>
          <w:noProof/>
          <w:sz w:val="20"/>
          <w:szCs w:val="20"/>
          <w:lang w:val="en-GB" w:eastAsia="en-GB"/>
        </w:rPr>
        <w:t>The</w:t>
      </w:r>
      <w:r w:rsidRPr="00F737AD">
        <w:rPr>
          <w:rFonts w:ascii="Calibri" w:hAnsi="Calibri" w:cs="Calibri"/>
          <w:sz w:val="20"/>
          <w:szCs w:val="20"/>
          <w:lang w:val="en-GB" w:eastAsia="en-GB"/>
        </w:rPr>
        <w:t xml:space="preserve"> </w:t>
      </w:r>
      <w:r w:rsidRPr="00F737AD">
        <w:rPr>
          <w:rFonts w:ascii="Calibri" w:hAnsi="Calibri" w:cs="Calibri"/>
          <w:noProof/>
          <w:sz w:val="20"/>
          <w:szCs w:val="20"/>
          <w:lang w:val="en-GB" w:eastAsia="en-GB"/>
        </w:rPr>
        <w:t>project</w:t>
      </w:r>
      <w:r w:rsidRPr="00F737AD">
        <w:rPr>
          <w:rFonts w:ascii="Calibri" w:hAnsi="Calibri" w:cs="Calibri"/>
          <w:sz w:val="20"/>
          <w:szCs w:val="20"/>
          <w:lang w:val="en-GB" w:eastAsia="en-GB"/>
        </w:rPr>
        <w:t xml:space="preserve"> will also ensure that it is in line with </w:t>
      </w:r>
      <w:r w:rsidR="00A25AD6" w:rsidRPr="00F737AD">
        <w:rPr>
          <w:rFonts w:ascii="Calibri" w:hAnsi="Calibri" w:cs="Calibri"/>
          <w:sz w:val="20"/>
          <w:szCs w:val="20"/>
          <w:lang w:val="en-GB" w:eastAsia="en-GB"/>
        </w:rPr>
        <w:t xml:space="preserve">the (baseline) </w:t>
      </w:r>
      <w:r w:rsidRPr="00F737AD">
        <w:rPr>
          <w:rFonts w:ascii="Calibri" w:hAnsi="Calibri" w:cs="Calibri"/>
          <w:sz w:val="20"/>
          <w:szCs w:val="20"/>
          <w:lang w:val="en-GB" w:eastAsia="en-GB"/>
        </w:rPr>
        <w:t xml:space="preserve">national energy, climate change, </w:t>
      </w:r>
      <w:r w:rsidR="00A25AD6" w:rsidRPr="00F737AD">
        <w:rPr>
          <w:rFonts w:ascii="Calibri" w:hAnsi="Calibri" w:cs="Calibri"/>
          <w:sz w:val="20"/>
          <w:szCs w:val="20"/>
          <w:lang w:val="en-GB" w:eastAsia="en-GB"/>
        </w:rPr>
        <w:t xml:space="preserve">gender, </w:t>
      </w:r>
      <w:r w:rsidRPr="00F737AD">
        <w:rPr>
          <w:rFonts w:ascii="Calibri" w:hAnsi="Calibri" w:cs="Calibri"/>
          <w:noProof/>
          <w:sz w:val="20"/>
          <w:szCs w:val="20"/>
          <w:lang w:val="en-GB" w:eastAsia="en-GB"/>
        </w:rPr>
        <w:t>and</w:t>
      </w:r>
      <w:r w:rsidRPr="00F737AD">
        <w:rPr>
          <w:rFonts w:ascii="Calibri" w:hAnsi="Calibri" w:cs="Calibri"/>
          <w:sz w:val="20"/>
          <w:szCs w:val="20"/>
          <w:lang w:val="en-GB" w:eastAsia="en-GB"/>
        </w:rPr>
        <w:t xml:space="preserve"> waste management policies and plans (described in Annex E); </w:t>
      </w:r>
    </w:p>
    <w:p w:rsidR="007C5B7A" w:rsidRPr="00F737AD" w:rsidRDefault="007C5B7A" w:rsidP="007C5B7A">
      <w:pPr>
        <w:pStyle w:val="ListParagraph"/>
        <w:numPr>
          <w:ilvl w:val="0"/>
          <w:numId w:val="62"/>
        </w:numPr>
        <w:ind w:left="426" w:hanging="426"/>
        <w:jc w:val="both"/>
        <w:rPr>
          <w:rFonts w:ascii="Calibri" w:hAnsi="Calibri" w:cs="Calibri"/>
          <w:sz w:val="20"/>
          <w:szCs w:val="20"/>
          <w:lang w:val="en-GB" w:eastAsia="en-GB"/>
        </w:rPr>
      </w:pPr>
      <w:r w:rsidRPr="00F737AD">
        <w:rPr>
          <w:rFonts w:ascii="Calibri" w:hAnsi="Calibri" w:cs="Calibri"/>
          <w:sz w:val="20"/>
          <w:szCs w:val="20"/>
          <w:lang w:val="en-GB" w:eastAsia="en-GB"/>
        </w:rPr>
        <w:t xml:space="preserve">Meetings, monitoring visits, surveys, </w:t>
      </w:r>
      <w:r w:rsidRPr="00F737AD">
        <w:rPr>
          <w:rFonts w:ascii="Calibri" w:hAnsi="Calibri" w:cs="Calibri"/>
          <w:noProof/>
          <w:sz w:val="20"/>
          <w:szCs w:val="20"/>
          <w:lang w:val="en-GB" w:eastAsia="en-GB"/>
        </w:rPr>
        <w:t>and</w:t>
      </w:r>
      <w:r w:rsidRPr="00F737AD">
        <w:rPr>
          <w:rFonts w:ascii="Calibri" w:hAnsi="Calibri" w:cs="Calibri"/>
          <w:sz w:val="20"/>
          <w:szCs w:val="20"/>
          <w:lang w:val="en-GB" w:eastAsia="en-GB"/>
        </w:rPr>
        <w:t xml:space="preserve"> written communications will be used to receive feedback to continue the ongoing dialogue as well as </w:t>
      </w:r>
      <w:proofErr w:type="gramStart"/>
      <w:r w:rsidRPr="00F737AD">
        <w:rPr>
          <w:rFonts w:ascii="Calibri" w:hAnsi="Calibri" w:cs="Calibri"/>
          <w:sz w:val="20"/>
          <w:szCs w:val="20"/>
          <w:lang w:val="en-GB" w:eastAsia="en-GB"/>
        </w:rPr>
        <w:t>during the course of</w:t>
      </w:r>
      <w:proofErr w:type="gramEnd"/>
      <w:r w:rsidRPr="00F737AD">
        <w:rPr>
          <w:rFonts w:ascii="Calibri" w:hAnsi="Calibri" w:cs="Calibri"/>
          <w:sz w:val="20"/>
          <w:szCs w:val="20"/>
          <w:lang w:val="en-GB" w:eastAsia="en-GB"/>
        </w:rPr>
        <w:t xml:space="preserve"> implementation.</w:t>
      </w:r>
    </w:p>
    <w:p w:rsidR="007C5B7A" w:rsidRPr="00F737AD" w:rsidRDefault="007C5B7A" w:rsidP="007C5B7A">
      <w:pPr>
        <w:pStyle w:val="ListParagraph"/>
        <w:numPr>
          <w:ilvl w:val="0"/>
          <w:numId w:val="62"/>
        </w:numPr>
        <w:ind w:left="426" w:hanging="426"/>
        <w:jc w:val="both"/>
        <w:rPr>
          <w:rFonts w:ascii="Calibri" w:hAnsi="Calibri" w:cs="Calibri"/>
          <w:sz w:val="20"/>
          <w:szCs w:val="20"/>
          <w:lang w:val="en-GB" w:eastAsia="en-GB"/>
        </w:rPr>
      </w:pPr>
      <w:r w:rsidRPr="00F737AD">
        <w:rPr>
          <w:rFonts w:ascii="Calibri" w:hAnsi="Calibri" w:cs="Calibri"/>
          <w:sz w:val="20"/>
          <w:szCs w:val="20"/>
          <w:lang w:val="en-GB" w:eastAsia="en-GB"/>
        </w:rPr>
        <w:t xml:space="preserve">The project will follow a participatory approach in decision making by engaging all the relevant stakeholders. The Government agencies, NGOs, CSOs, </w:t>
      </w:r>
      <w:r w:rsidRPr="00F737AD">
        <w:rPr>
          <w:rFonts w:ascii="Calibri" w:hAnsi="Calibri" w:cs="Calibri"/>
          <w:noProof/>
          <w:sz w:val="20"/>
          <w:szCs w:val="20"/>
          <w:lang w:val="en-GB" w:eastAsia="en-GB"/>
        </w:rPr>
        <w:t>and</w:t>
      </w:r>
      <w:r w:rsidRPr="00F737AD">
        <w:rPr>
          <w:rFonts w:ascii="Calibri" w:hAnsi="Calibri" w:cs="Calibri"/>
          <w:sz w:val="20"/>
          <w:szCs w:val="20"/>
          <w:lang w:val="en-GB" w:eastAsia="en-GB"/>
        </w:rPr>
        <w:t xml:space="preserve"> the private sector actors will be actively involved during the project implementation.  </w:t>
      </w:r>
    </w:p>
    <w:bookmarkEnd w:id="341"/>
    <w:p w:rsidR="007C5B7A" w:rsidRPr="00666B27" w:rsidRDefault="007C5B7A" w:rsidP="007C5B7A">
      <w:pPr>
        <w:rPr>
          <w:lang w:val="en-GB"/>
        </w:rPr>
      </w:pPr>
    </w:p>
    <w:p w:rsidR="007C5B7A" w:rsidRPr="00666B27" w:rsidRDefault="007C5B7A" w:rsidP="007C5B7A">
      <w:pPr>
        <w:spacing w:after="0"/>
        <w:rPr>
          <w:b/>
          <w:szCs w:val="20"/>
          <w:lang w:val="en-GB" w:eastAsia="en-GB"/>
        </w:rPr>
      </w:pPr>
      <w:r w:rsidRPr="00666B27">
        <w:rPr>
          <w:b/>
          <w:szCs w:val="20"/>
          <w:lang w:val="en-GB" w:eastAsia="en-GB"/>
        </w:rPr>
        <w:t xml:space="preserve">Responsibilities </w:t>
      </w:r>
    </w:p>
    <w:p w:rsidR="007C5B7A" w:rsidRPr="00666B27" w:rsidRDefault="007C5B7A" w:rsidP="007C5B7A">
      <w:pPr>
        <w:spacing w:after="0"/>
        <w:rPr>
          <w:szCs w:val="20"/>
          <w:lang w:val="en-GB" w:eastAsia="en-GB"/>
        </w:rPr>
      </w:pPr>
      <w:r w:rsidRPr="00666B27">
        <w:rPr>
          <w:szCs w:val="20"/>
          <w:lang w:val="en-GB" w:eastAsia="en-GB"/>
        </w:rPr>
        <w:t>The PMU is primarily responsible for carrying out the specified stakeholder engagement activities. The stakeholders will be engaged while carrying out various assessments and studies, training and workshop events</w:t>
      </w:r>
      <w:r w:rsidR="00A25AD6" w:rsidRPr="00666B27">
        <w:rPr>
          <w:szCs w:val="20"/>
          <w:lang w:val="en-GB" w:eastAsia="en-GB"/>
        </w:rPr>
        <w:t>.</w:t>
      </w:r>
    </w:p>
    <w:p w:rsidR="007C5B7A" w:rsidRPr="00666B27" w:rsidRDefault="007C5B7A" w:rsidP="007C5B7A">
      <w:pPr>
        <w:spacing w:after="0"/>
        <w:rPr>
          <w:b/>
          <w:szCs w:val="20"/>
          <w:lang w:val="en-GB" w:eastAsia="en-GB"/>
        </w:rPr>
      </w:pPr>
    </w:p>
    <w:p w:rsidR="007C5B7A" w:rsidRPr="00666B27" w:rsidRDefault="007C5B7A" w:rsidP="007C5B7A">
      <w:pPr>
        <w:spacing w:after="0"/>
        <w:rPr>
          <w:b/>
          <w:szCs w:val="20"/>
          <w:lang w:val="en-GB" w:eastAsia="en-GB"/>
        </w:rPr>
      </w:pPr>
      <w:r w:rsidRPr="00666B27">
        <w:rPr>
          <w:b/>
          <w:szCs w:val="20"/>
          <w:lang w:val="en-GB" w:eastAsia="en-GB"/>
        </w:rPr>
        <w:t>Grievance mechanism</w:t>
      </w:r>
    </w:p>
    <w:p w:rsidR="007C5B7A" w:rsidRPr="00666B27" w:rsidRDefault="007C5B7A" w:rsidP="007C5B7A">
      <w:pPr>
        <w:spacing w:after="0"/>
        <w:rPr>
          <w:szCs w:val="20"/>
          <w:lang w:val="en-GB" w:eastAsia="en-GB"/>
        </w:rPr>
      </w:pPr>
      <w:r w:rsidRPr="00666B27">
        <w:rPr>
          <w:szCs w:val="20"/>
          <w:lang w:val="en-GB" w:eastAsia="en-GB"/>
        </w:rPr>
        <w:t xml:space="preserve">People concerned with or potentially affected by the project can express their grievances for consideration and redress. The Project Management Unit will receive </w:t>
      </w:r>
      <w:r w:rsidRPr="00666B27">
        <w:rPr>
          <w:noProof/>
          <w:szCs w:val="20"/>
          <w:lang w:val="en-GB" w:eastAsia="en-GB"/>
        </w:rPr>
        <w:t>grievances</w:t>
      </w:r>
      <w:r w:rsidRPr="00666B27">
        <w:rPr>
          <w:szCs w:val="20"/>
          <w:lang w:val="en-GB" w:eastAsia="en-GB"/>
        </w:rPr>
        <w:t xml:space="preserve"> and will try to resolve at the PMU level if possible. If not possible then the issues will be referred to the Project Board that will try to settle the issues amicably. In the event the party is not accepting the decision then he/she can put the case to Arbitration.  Any person or group of persons affected by a UNDP-supported project can make a claim to the Claims to the UNDP Social and Environmental Complains Unit (SECU) and the SRM (Stakeholder Response Mechanism) through </w:t>
      </w:r>
      <w:proofErr w:type="gramStart"/>
      <w:r w:rsidRPr="00666B27">
        <w:rPr>
          <w:szCs w:val="20"/>
          <w:lang w:val="en-GB" w:eastAsia="en-GB"/>
        </w:rPr>
        <w:t>https://undp.tnwreports.com  and</w:t>
      </w:r>
      <w:proofErr w:type="gramEnd"/>
      <w:r w:rsidRPr="00666B27">
        <w:rPr>
          <w:szCs w:val="20"/>
          <w:lang w:val="en-GB" w:eastAsia="en-GB"/>
        </w:rPr>
        <w:t xml:space="preserve"> by e-mail (https://undp.tnwreports.com).</w:t>
      </w:r>
    </w:p>
    <w:p w:rsidR="007C5B7A" w:rsidRDefault="007C5B7A" w:rsidP="007C5B7A">
      <w:pPr>
        <w:spacing w:after="0"/>
        <w:rPr>
          <w:b/>
          <w:szCs w:val="20"/>
          <w:lang w:val="en-GB" w:eastAsia="en-GB"/>
        </w:rPr>
      </w:pPr>
    </w:p>
    <w:p w:rsidR="00B800C4" w:rsidRDefault="00B800C4" w:rsidP="007C5B7A">
      <w:pPr>
        <w:spacing w:after="0"/>
        <w:rPr>
          <w:b/>
          <w:szCs w:val="20"/>
          <w:lang w:val="en-GB" w:eastAsia="en-GB"/>
        </w:rPr>
      </w:pPr>
    </w:p>
    <w:p w:rsidR="00B800C4" w:rsidRPr="00666B27" w:rsidRDefault="00B800C4" w:rsidP="007C5B7A">
      <w:pPr>
        <w:spacing w:after="0"/>
        <w:rPr>
          <w:b/>
          <w:szCs w:val="20"/>
          <w:lang w:val="en-GB" w:eastAsia="en-GB"/>
        </w:rPr>
      </w:pPr>
    </w:p>
    <w:p w:rsidR="007C5B7A" w:rsidRPr="00666B27" w:rsidRDefault="007C5B7A" w:rsidP="007C5B7A">
      <w:pPr>
        <w:spacing w:after="0"/>
        <w:rPr>
          <w:szCs w:val="20"/>
          <w:lang w:val="en-GB" w:eastAsia="en-GB"/>
        </w:rPr>
      </w:pPr>
      <w:r w:rsidRPr="00666B27">
        <w:rPr>
          <w:b/>
          <w:szCs w:val="20"/>
          <w:lang w:val="en-GB" w:eastAsia="en-GB"/>
        </w:rPr>
        <w:lastRenderedPageBreak/>
        <w:t>Monitoring and reporting</w:t>
      </w:r>
    </w:p>
    <w:p w:rsidR="007C5B7A" w:rsidRPr="00666B27" w:rsidRDefault="007C5B7A" w:rsidP="007C5B7A">
      <w:pPr>
        <w:spacing w:after="0"/>
        <w:rPr>
          <w:szCs w:val="20"/>
          <w:lang w:val="en-GB" w:eastAsia="en-GB"/>
        </w:rPr>
      </w:pPr>
      <w:r w:rsidRPr="00666B27">
        <w:rPr>
          <w:szCs w:val="20"/>
          <w:lang w:val="en-GB" w:eastAsia="en-GB"/>
        </w:rPr>
        <w:t>The project stakeholders would be engaged at various levels to carry out the monitoring activities. Then the PMU will laisse with relevant Government agencies and other partners and collect data and monitor the activities on a regular basis.  The PMU will report back the results to the stakeholders at the earliest through letters or conduct meetings both individually as well as through engagement of all relevant agencies.</w:t>
      </w:r>
    </w:p>
    <w:p w:rsidR="007C5B7A" w:rsidRPr="00666B27" w:rsidRDefault="007C5B7A" w:rsidP="007C5B7A">
      <w:pPr>
        <w:rPr>
          <w:b/>
          <w:lang w:val="en-GB"/>
        </w:rPr>
      </w:pPr>
    </w:p>
    <w:p w:rsidR="007C5B7A" w:rsidRPr="00666B27" w:rsidRDefault="007C5B7A" w:rsidP="007C5B7A">
      <w:pPr>
        <w:rPr>
          <w:b/>
          <w:lang w:val="en-GB"/>
        </w:rPr>
      </w:pPr>
      <w:r w:rsidRPr="00666B27">
        <w:rPr>
          <w:b/>
          <w:lang w:val="en-GB"/>
        </w:rPr>
        <w:t>Communications plan</w:t>
      </w:r>
    </w:p>
    <w:p w:rsidR="007C5B7A" w:rsidRPr="00666B27" w:rsidRDefault="007C5B7A" w:rsidP="007C5B7A">
      <w:pPr>
        <w:spacing w:after="0"/>
        <w:rPr>
          <w:lang w:val="en-GB"/>
        </w:rPr>
      </w:pPr>
    </w:p>
    <w:p w:rsidR="007C5B7A" w:rsidRPr="00666B27" w:rsidRDefault="007C5B7A" w:rsidP="007C5B7A">
      <w:pPr>
        <w:spacing w:after="0"/>
        <w:rPr>
          <w:lang w:val="en-GB"/>
        </w:rPr>
      </w:pPr>
      <w:r w:rsidRPr="00666B27">
        <w:rPr>
          <w:lang w:val="en-GB"/>
        </w:rPr>
        <w:t xml:space="preserve">The </w:t>
      </w:r>
      <w:r w:rsidRPr="00666B27">
        <w:rPr>
          <w:noProof/>
          <w:lang w:val="en-GB"/>
        </w:rPr>
        <w:t>LCUD</w:t>
      </w:r>
      <w:r w:rsidRPr="00666B27">
        <w:rPr>
          <w:lang w:val="en-GB"/>
        </w:rPr>
        <w:t xml:space="preserve"> project will also emphasize strong communications with a broader range of stakeholders. Key elements of the project’s communication strategy are outlined in the table below:</w:t>
      </w:r>
    </w:p>
    <w:p w:rsidR="007C5B7A" w:rsidRPr="00666B27" w:rsidRDefault="007C5B7A" w:rsidP="007C5B7A">
      <w:pPr>
        <w:spacing w:after="0"/>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2"/>
        <w:gridCol w:w="4253"/>
        <w:gridCol w:w="2737"/>
      </w:tblGrid>
      <w:tr w:rsidR="007C5B7A" w:rsidRPr="0057545E" w:rsidTr="00F737AD">
        <w:tc>
          <w:tcPr>
            <w:tcW w:w="2972" w:type="dxa"/>
            <w:shd w:val="clear" w:color="auto" w:fill="auto"/>
          </w:tcPr>
          <w:p w:rsidR="007C5B7A" w:rsidRPr="00F737AD" w:rsidRDefault="007C5B7A" w:rsidP="00F737AD">
            <w:pPr>
              <w:spacing w:after="0"/>
              <w:jc w:val="left"/>
              <w:rPr>
                <w:b/>
                <w:sz w:val="19"/>
                <w:szCs w:val="19"/>
                <w:lang w:val="en-GB"/>
              </w:rPr>
            </w:pPr>
            <w:bookmarkStart w:id="342" w:name="_Hlk535439035"/>
            <w:r w:rsidRPr="00F737AD">
              <w:rPr>
                <w:b/>
                <w:sz w:val="19"/>
                <w:szCs w:val="19"/>
                <w:lang w:val="en-GB"/>
              </w:rPr>
              <w:t>Key element</w:t>
            </w:r>
          </w:p>
        </w:tc>
        <w:tc>
          <w:tcPr>
            <w:tcW w:w="4253" w:type="dxa"/>
            <w:shd w:val="clear" w:color="auto" w:fill="auto"/>
          </w:tcPr>
          <w:p w:rsidR="007C5B7A" w:rsidRPr="00F737AD" w:rsidRDefault="007C5B7A" w:rsidP="00F737AD">
            <w:pPr>
              <w:spacing w:after="0"/>
              <w:jc w:val="left"/>
              <w:rPr>
                <w:b/>
                <w:sz w:val="19"/>
                <w:szCs w:val="19"/>
                <w:lang w:val="en-GB"/>
              </w:rPr>
            </w:pPr>
            <w:r w:rsidRPr="00F737AD">
              <w:rPr>
                <w:b/>
                <w:sz w:val="19"/>
                <w:szCs w:val="19"/>
                <w:lang w:val="en-GB"/>
              </w:rPr>
              <w:t>Relevant group</w:t>
            </w:r>
          </w:p>
        </w:tc>
        <w:tc>
          <w:tcPr>
            <w:tcW w:w="2737" w:type="dxa"/>
            <w:shd w:val="clear" w:color="auto" w:fill="auto"/>
          </w:tcPr>
          <w:p w:rsidR="007C5B7A" w:rsidRPr="00F737AD" w:rsidRDefault="007C5B7A" w:rsidP="00F737AD">
            <w:pPr>
              <w:spacing w:after="0"/>
              <w:jc w:val="left"/>
              <w:rPr>
                <w:b/>
                <w:sz w:val="19"/>
                <w:szCs w:val="19"/>
                <w:lang w:val="en-GB"/>
              </w:rPr>
            </w:pPr>
            <w:r w:rsidRPr="00F737AD">
              <w:rPr>
                <w:b/>
                <w:sz w:val="19"/>
                <w:szCs w:val="19"/>
                <w:lang w:val="en-GB"/>
              </w:rPr>
              <w:t>Means</w:t>
            </w: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r w:rsidRPr="00F737AD">
              <w:rPr>
                <w:sz w:val="19"/>
                <w:szCs w:val="19"/>
                <w:lang w:val="en-GB"/>
              </w:rPr>
              <w:t>1.</w:t>
            </w:r>
            <w:r w:rsidRPr="00F737AD">
              <w:rPr>
                <w:sz w:val="19"/>
                <w:szCs w:val="19"/>
                <w:lang w:val="en-GB"/>
              </w:rPr>
              <w:tab/>
              <w:t>Project governance meetings; Project Board meetings; Advisory Committee and working group meetings</w:t>
            </w:r>
          </w:p>
        </w:tc>
        <w:tc>
          <w:tcPr>
            <w:tcW w:w="4253"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All stakeholders that are members of the Board or its Working Groups or are invited to attend</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Meetings</w:t>
            </w: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r w:rsidRPr="00F737AD">
              <w:rPr>
                <w:sz w:val="19"/>
                <w:szCs w:val="19"/>
                <w:lang w:val="en-GB"/>
              </w:rPr>
              <w:t xml:space="preserve">2. </w:t>
            </w:r>
            <w:r w:rsidRPr="00F737AD">
              <w:rPr>
                <w:sz w:val="19"/>
                <w:szCs w:val="19"/>
                <w:lang w:val="en-GB"/>
              </w:rPr>
              <w:tab/>
              <w:t>Seminars/workshops and training events, including the Inception workshop, and End-of-project workshop</w:t>
            </w:r>
          </w:p>
        </w:tc>
        <w:tc>
          <w:tcPr>
            <w:tcW w:w="4253"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 xml:space="preserve">National and </w:t>
            </w:r>
            <w:r w:rsidRPr="00F737AD">
              <w:rPr>
                <w:noProof/>
                <w:sz w:val="19"/>
                <w:szCs w:val="19"/>
                <w:lang w:val="en-GB"/>
              </w:rPr>
              <w:t>city-level</w:t>
            </w:r>
            <w:r w:rsidRPr="00F737AD">
              <w:rPr>
                <w:sz w:val="19"/>
                <w:szCs w:val="19"/>
                <w:lang w:val="en-GB"/>
              </w:rPr>
              <w:t xml:space="preserve"> government officials</w:t>
            </w:r>
          </w:p>
          <w:p w:rsidR="007C5B7A" w:rsidRPr="00F737AD" w:rsidRDefault="007C5B7A" w:rsidP="00F737AD">
            <w:pPr>
              <w:spacing w:after="0"/>
              <w:jc w:val="left"/>
              <w:rPr>
                <w:sz w:val="19"/>
                <w:szCs w:val="19"/>
                <w:lang w:val="en-GB"/>
              </w:rPr>
            </w:pPr>
            <w:r w:rsidRPr="00F737AD">
              <w:rPr>
                <w:sz w:val="19"/>
                <w:szCs w:val="19"/>
                <w:lang w:val="en-GB"/>
              </w:rPr>
              <w:t>Financial and private sector</w:t>
            </w:r>
          </w:p>
          <w:p w:rsidR="007C5B7A" w:rsidRPr="00F737AD" w:rsidRDefault="007C5B7A" w:rsidP="00F737AD">
            <w:pPr>
              <w:spacing w:after="0"/>
              <w:jc w:val="left"/>
              <w:rPr>
                <w:sz w:val="19"/>
                <w:szCs w:val="19"/>
                <w:lang w:val="en-GB"/>
              </w:rPr>
            </w:pPr>
            <w:r w:rsidRPr="00F737AD">
              <w:rPr>
                <w:sz w:val="19"/>
                <w:szCs w:val="19"/>
                <w:lang w:val="en-GB"/>
              </w:rPr>
              <w:t>NGOs and CSOs</w:t>
            </w:r>
          </w:p>
          <w:p w:rsidR="007C5B7A" w:rsidRPr="00F737AD" w:rsidRDefault="00E977C6" w:rsidP="00F737AD">
            <w:pPr>
              <w:spacing w:after="0"/>
              <w:jc w:val="left"/>
              <w:rPr>
                <w:sz w:val="19"/>
                <w:szCs w:val="19"/>
                <w:lang w:val="en-GB"/>
              </w:rPr>
            </w:pPr>
            <w:r w:rsidRPr="00F737AD">
              <w:rPr>
                <w:sz w:val="19"/>
                <w:szCs w:val="19"/>
                <w:lang w:val="en-GB"/>
              </w:rPr>
              <w:t>Municipalities and municipal associations</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Workshop, meeting, seminar, training</w:t>
            </w:r>
          </w:p>
          <w:p w:rsidR="007C5B7A" w:rsidRPr="00F737AD" w:rsidRDefault="007C5B7A" w:rsidP="00F737AD">
            <w:pPr>
              <w:spacing w:after="0"/>
              <w:jc w:val="left"/>
              <w:rPr>
                <w:sz w:val="19"/>
                <w:szCs w:val="19"/>
                <w:lang w:val="en-GB"/>
              </w:rPr>
            </w:pPr>
            <w:r w:rsidRPr="00F737AD">
              <w:rPr>
                <w:sz w:val="19"/>
                <w:szCs w:val="19"/>
                <w:lang w:val="en-GB"/>
              </w:rPr>
              <w:t>On-the-job training</w:t>
            </w: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bookmarkStart w:id="343" w:name="_Hlk533777369"/>
            <w:r w:rsidRPr="00F737AD">
              <w:rPr>
                <w:sz w:val="19"/>
                <w:szCs w:val="19"/>
                <w:lang w:val="en-GB"/>
              </w:rPr>
              <w:t xml:space="preserve">3. </w:t>
            </w:r>
            <w:r w:rsidRPr="00F737AD">
              <w:rPr>
                <w:sz w:val="19"/>
                <w:szCs w:val="19"/>
                <w:lang w:val="en-GB"/>
              </w:rPr>
              <w:tab/>
              <w:t xml:space="preserve">Project documents, thematic reports </w:t>
            </w:r>
            <w:r w:rsidRPr="00F737AD">
              <w:rPr>
                <w:noProof/>
                <w:sz w:val="19"/>
                <w:szCs w:val="19"/>
                <w:lang w:val="en-GB"/>
              </w:rPr>
              <w:t>and</w:t>
            </w:r>
            <w:r w:rsidRPr="00F737AD">
              <w:rPr>
                <w:sz w:val="19"/>
                <w:szCs w:val="19"/>
                <w:lang w:val="en-GB"/>
              </w:rPr>
              <w:t xml:space="preserve"> publications</w:t>
            </w:r>
          </w:p>
        </w:tc>
        <w:tc>
          <w:tcPr>
            <w:tcW w:w="4253"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 xml:space="preserve">Various government departments and decision-makers </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Direct dissemination (e.g. email or hard copy) to persons.</w:t>
            </w:r>
          </w:p>
          <w:p w:rsidR="007C5B7A" w:rsidRPr="00F737AD" w:rsidRDefault="007C5B7A" w:rsidP="00F737AD">
            <w:pPr>
              <w:spacing w:after="0"/>
              <w:jc w:val="left"/>
              <w:rPr>
                <w:sz w:val="19"/>
                <w:szCs w:val="19"/>
                <w:lang w:val="en-GB"/>
              </w:rPr>
            </w:pPr>
            <w:r w:rsidRPr="00F737AD">
              <w:rPr>
                <w:sz w:val="19"/>
                <w:szCs w:val="19"/>
                <w:lang w:val="en-GB"/>
              </w:rPr>
              <w:t>Access via the Project website</w:t>
            </w: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r w:rsidRPr="00F737AD">
              <w:rPr>
                <w:sz w:val="19"/>
                <w:szCs w:val="19"/>
                <w:lang w:val="en-GB"/>
              </w:rPr>
              <w:t xml:space="preserve">4. </w:t>
            </w:r>
            <w:r w:rsidRPr="00F737AD">
              <w:rPr>
                <w:sz w:val="19"/>
                <w:szCs w:val="19"/>
                <w:lang w:val="en-GB"/>
              </w:rPr>
              <w:tab/>
              <w:t xml:space="preserve">Technical </w:t>
            </w:r>
            <w:r w:rsidR="00E977C6" w:rsidRPr="00F737AD">
              <w:rPr>
                <w:sz w:val="19"/>
                <w:szCs w:val="19"/>
                <w:lang w:val="en-GB"/>
              </w:rPr>
              <w:t xml:space="preserve">and financial-economic </w:t>
            </w:r>
            <w:r w:rsidRPr="00F737AD">
              <w:rPr>
                <w:sz w:val="19"/>
                <w:szCs w:val="19"/>
                <w:lang w:val="en-GB"/>
              </w:rPr>
              <w:t>reports.</w:t>
            </w:r>
          </w:p>
        </w:tc>
        <w:tc>
          <w:tcPr>
            <w:tcW w:w="4253" w:type="dxa"/>
            <w:shd w:val="clear" w:color="auto" w:fill="auto"/>
          </w:tcPr>
          <w:p w:rsidR="007C5B7A" w:rsidRPr="00F737AD" w:rsidRDefault="00E977C6" w:rsidP="00F737AD">
            <w:pPr>
              <w:spacing w:after="0"/>
              <w:jc w:val="left"/>
              <w:rPr>
                <w:sz w:val="19"/>
                <w:szCs w:val="19"/>
                <w:lang w:val="en-GB"/>
              </w:rPr>
            </w:pPr>
            <w:r w:rsidRPr="00F737AD">
              <w:rPr>
                <w:sz w:val="19"/>
                <w:szCs w:val="19"/>
                <w:lang w:val="en-GB"/>
              </w:rPr>
              <w:t>Development banks and other financial intermediaries; energy service companies</w:t>
            </w:r>
          </w:p>
          <w:p w:rsidR="007C5B7A" w:rsidRPr="00F737AD" w:rsidRDefault="007C5B7A" w:rsidP="00F737AD">
            <w:pPr>
              <w:spacing w:after="0"/>
              <w:jc w:val="left"/>
              <w:rPr>
                <w:sz w:val="19"/>
                <w:szCs w:val="19"/>
                <w:lang w:val="en-GB"/>
              </w:rPr>
            </w:pPr>
            <w:r w:rsidRPr="00F737AD">
              <w:rPr>
                <w:sz w:val="19"/>
                <w:szCs w:val="19"/>
                <w:lang w:val="en-GB"/>
              </w:rPr>
              <w:t>Engineers and persons working or interested in working in</w:t>
            </w:r>
            <w:r w:rsidR="00A25AD6" w:rsidRPr="00F737AD">
              <w:rPr>
                <w:sz w:val="19"/>
                <w:szCs w:val="19"/>
                <w:lang w:val="en-GB"/>
              </w:rPr>
              <w:t xml:space="preserve"> lighting,</w:t>
            </w:r>
            <w:r w:rsidR="00E977C6" w:rsidRPr="00F737AD">
              <w:rPr>
                <w:sz w:val="19"/>
                <w:szCs w:val="19"/>
                <w:lang w:val="en-GB"/>
              </w:rPr>
              <w:t xml:space="preserve"> EE in buildings, electricity distribution, and environmental issues</w:t>
            </w:r>
          </w:p>
          <w:p w:rsidR="007C5B7A" w:rsidRPr="00F737AD" w:rsidRDefault="007C5B7A" w:rsidP="00F737AD">
            <w:pPr>
              <w:spacing w:after="0"/>
              <w:jc w:val="left"/>
              <w:rPr>
                <w:sz w:val="19"/>
                <w:szCs w:val="19"/>
                <w:lang w:val="en-GB"/>
              </w:rPr>
            </w:pPr>
            <w:r w:rsidRPr="00F737AD">
              <w:rPr>
                <w:sz w:val="19"/>
                <w:szCs w:val="19"/>
                <w:lang w:val="en-GB"/>
              </w:rPr>
              <w:t>Energy, waste and urban planners and city officials</w:t>
            </w:r>
          </w:p>
          <w:p w:rsidR="007C5B7A" w:rsidRPr="00F737AD" w:rsidRDefault="007C5B7A" w:rsidP="00F737AD">
            <w:pPr>
              <w:spacing w:after="0"/>
              <w:jc w:val="left"/>
              <w:rPr>
                <w:sz w:val="19"/>
                <w:szCs w:val="19"/>
                <w:lang w:val="en-GB"/>
              </w:rPr>
            </w:pPr>
            <w:r w:rsidRPr="00F737AD">
              <w:rPr>
                <w:sz w:val="19"/>
                <w:szCs w:val="19"/>
                <w:lang w:val="en-GB"/>
              </w:rPr>
              <w:t>Development partners and NGOs</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Direct dissemination (e.g. email or hard copy/ USB-drive)</w:t>
            </w:r>
          </w:p>
          <w:p w:rsidR="007C5B7A" w:rsidRPr="00F737AD" w:rsidRDefault="007C5B7A" w:rsidP="00F737AD">
            <w:pPr>
              <w:spacing w:after="0"/>
              <w:jc w:val="left"/>
              <w:rPr>
                <w:sz w:val="19"/>
                <w:szCs w:val="19"/>
                <w:lang w:val="en-GB"/>
              </w:rPr>
            </w:pPr>
            <w:r w:rsidRPr="00F737AD">
              <w:rPr>
                <w:sz w:val="19"/>
                <w:szCs w:val="19"/>
                <w:lang w:val="en-GB"/>
              </w:rPr>
              <w:t>Access via the Project website to reports and documents and database and info systems</w:t>
            </w:r>
          </w:p>
          <w:p w:rsidR="007C5B7A" w:rsidRPr="00F737AD" w:rsidRDefault="007C5B7A" w:rsidP="00F737AD">
            <w:pPr>
              <w:spacing w:after="0"/>
              <w:jc w:val="left"/>
              <w:rPr>
                <w:sz w:val="19"/>
                <w:szCs w:val="19"/>
                <w:lang w:val="en-GB"/>
              </w:rPr>
            </w:pP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r w:rsidRPr="00F737AD">
              <w:rPr>
                <w:sz w:val="19"/>
                <w:szCs w:val="19"/>
                <w:lang w:val="en-GB"/>
              </w:rPr>
              <w:t>5.</w:t>
            </w:r>
            <w:r w:rsidRPr="00F737AD">
              <w:rPr>
                <w:sz w:val="19"/>
                <w:szCs w:val="19"/>
                <w:lang w:val="en-GB"/>
              </w:rPr>
              <w:tab/>
              <w:t>Project knowledge capturing and info dissemination</w:t>
            </w:r>
          </w:p>
        </w:tc>
        <w:tc>
          <w:tcPr>
            <w:tcW w:w="4253"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Government (national, city) officials</w:t>
            </w:r>
          </w:p>
          <w:p w:rsidR="007C5B7A" w:rsidRPr="00F737AD" w:rsidRDefault="007C5B7A" w:rsidP="00F737AD">
            <w:pPr>
              <w:spacing w:after="0"/>
              <w:jc w:val="left"/>
              <w:rPr>
                <w:sz w:val="19"/>
                <w:szCs w:val="19"/>
                <w:lang w:val="en-GB"/>
              </w:rPr>
            </w:pPr>
            <w:r w:rsidRPr="00F737AD">
              <w:rPr>
                <w:sz w:val="19"/>
                <w:szCs w:val="19"/>
                <w:lang w:val="en-GB"/>
              </w:rPr>
              <w:t>Financial and private sector</w:t>
            </w:r>
          </w:p>
          <w:p w:rsidR="007C5B7A" w:rsidRPr="00F737AD" w:rsidRDefault="007C5B7A" w:rsidP="00F737AD">
            <w:pPr>
              <w:spacing w:after="0"/>
              <w:jc w:val="left"/>
              <w:rPr>
                <w:sz w:val="19"/>
                <w:szCs w:val="19"/>
                <w:lang w:val="en-GB"/>
              </w:rPr>
            </w:pPr>
            <w:r w:rsidRPr="00F737AD">
              <w:rPr>
                <w:sz w:val="19"/>
                <w:szCs w:val="19"/>
                <w:lang w:val="en-GB"/>
              </w:rPr>
              <w:t>Development partners and NGOs</w:t>
            </w:r>
          </w:p>
          <w:p w:rsidR="007C5B7A" w:rsidRPr="00F737AD" w:rsidRDefault="007C5B7A" w:rsidP="00F737AD">
            <w:pPr>
              <w:spacing w:after="0"/>
              <w:jc w:val="left"/>
              <w:rPr>
                <w:sz w:val="19"/>
                <w:szCs w:val="19"/>
                <w:lang w:val="en-GB"/>
              </w:rPr>
            </w:pPr>
            <w:r w:rsidRPr="00F737AD">
              <w:rPr>
                <w:sz w:val="19"/>
                <w:szCs w:val="19"/>
                <w:lang w:val="en-GB"/>
              </w:rPr>
              <w:t>Citizenry and community groups</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Online access to all project materials and other relevant low-carbon and green development information</w:t>
            </w:r>
          </w:p>
        </w:tc>
      </w:tr>
      <w:tr w:rsidR="007C5B7A" w:rsidRPr="0057545E" w:rsidTr="00F737AD">
        <w:tc>
          <w:tcPr>
            <w:tcW w:w="2972" w:type="dxa"/>
            <w:shd w:val="clear" w:color="auto" w:fill="auto"/>
          </w:tcPr>
          <w:p w:rsidR="007C5B7A" w:rsidRPr="00F737AD" w:rsidRDefault="007C5B7A" w:rsidP="00F737AD">
            <w:pPr>
              <w:tabs>
                <w:tab w:val="left" w:pos="320"/>
              </w:tabs>
              <w:spacing w:after="0"/>
              <w:ind w:left="314" w:hanging="314"/>
              <w:jc w:val="left"/>
              <w:rPr>
                <w:sz w:val="19"/>
                <w:szCs w:val="19"/>
                <w:lang w:val="en-GB"/>
              </w:rPr>
            </w:pPr>
            <w:r w:rsidRPr="00F737AD">
              <w:rPr>
                <w:sz w:val="19"/>
                <w:szCs w:val="19"/>
                <w:lang w:val="en-GB"/>
              </w:rPr>
              <w:t>6.</w:t>
            </w:r>
            <w:r w:rsidRPr="00F737AD">
              <w:rPr>
                <w:sz w:val="19"/>
                <w:szCs w:val="19"/>
                <w:lang w:val="en-GB"/>
              </w:rPr>
              <w:tab/>
              <w:t>Reports (feasibility assessments; non-confidential parts of business plans; monitoring) of investments</w:t>
            </w:r>
            <w:r w:rsidR="00E977C6" w:rsidRPr="00F737AD">
              <w:rPr>
                <w:sz w:val="19"/>
                <w:szCs w:val="19"/>
                <w:lang w:val="en-GB"/>
              </w:rPr>
              <w:t xml:space="preserve"> in EE lighting and transformers application and production</w:t>
            </w:r>
          </w:p>
        </w:tc>
        <w:tc>
          <w:tcPr>
            <w:tcW w:w="4253"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 xml:space="preserve">Various national and </w:t>
            </w:r>
            <w:r w:rsidR="00E977C6" w:rsidRPr="00F737AD">
              <w:rPr>
                <w:sz w:val="19"/>
                <w:szCs w:val="19"/>
                <w:lang w:val="en-GB"/>
              </w:rPr>
              <w:t>municipal</w:t>
            </w:r>
            <w:r w:rsidRPr="00F737AD">
              <w:rPr>
                <w:sz w:val="19"/>
                <w:szCs w:val="19"/>
                <w:lang w:val="en-GB"/>
              </w:rPr>
              <w:t xml:space="preserve"> level officials; CSOs</w:t>
            </w:r>
          </w:p>
          <w:p w:rsidR="007C5B7A" w:rsidRPr="00F737AD" w:rsidRDefault="007C5B7A" w:rsidP="00F737AD">
            <w:pPr>
              <w:spacing w:after="0"/>
              <w:jc w:val="left"/>
              <w:rPr>
                <w:sz w:val="19"/>
                <w:szCs w:val="19"/>
                <w:lang w:val="en-GB"/>
              </w:rPr>
            </w:pPr>
            <w:r w:rsidRPr="00F737AD">
              <w:rPr>
                <w:sz w:val="19"/>
                <w:szCs w:val="19"/>
                <w:lang w:val="en-GB"/>
              </w:rPr>
              <w:t>Financial and private sector</w:t>
            </w:r>
          </w:p>
          <w:p w:rsidR="007C5B7A" w:rsidRPr="00F737AD" w:rsidRDefault="007C5B7A" w:rsidP="00F737AD">
            <w:pPr>
              <w:spacing w:after="0"/>
              <w:jc w:val="left"/>
              <w:rPr>
                <w:sz w:val="19"/>
                <w:szCs w:val="19"/>
                <w:lang w:val="en-GB"/>
              </w:rPr>
            </w:pPr>
            <w:r w:rsidRPr="00F737AD">
              <w:rPr>
                <w:sz w:val="19"/>
                <w:szCs w:val="19"/>
                <w:lang w:val="en-GB"/>
              </w:rPr>
              <w:t>Development partners</w:t>
            </w:r>
          </w:p>
          <w:p w:rsidR="007C5B7A" w:rsidRPr="00F737AD" w:rsidRDefault="007C5B7A" w:rsidP="00F737AD">
            <w:pPr>
              <w:spacing w:after="0"/>
              <w:jc w:val="left"/>
              <w:rPr>
                <w:sz w:val="19"/>
                <w:szCs w:val="19"/>
                <w:lang w:val="en-GB"/>
              </w:rPr>
            </w:pPr>
            <w:r w:rsidRPr="00F737AD">
              <w:rPr>
                <w:sz w:val="19"/>
                <w:szCs w:val="19"/>
                <w:lang w:val="en-GB"/>
              </w:rPr>
              <w:t>Technical professionals; experts/ academics</w:t>
            </w:r>
          </w:p>
        </w:tc>
        <w:tc>
          <w:tcPr>
            <w:tcW w:w="2737" w:type="dxa"/>
            <w:shd w:val="clear" w:color="auto" w:fill="auto"/>
          </w:tcPr>
          <w:p w:rsidR="007C5B7A" w:rsidRPr="00F737AD" w:rsidRDefault="007C5B7A" w:rsidP="00F737AD">
            <w:pPr>
              <w:spacing w:after="0"/>
              <w:jc w:val="left"/>
              <w:rPr>
                <w:sz w:val="19"/>
                <w:szCs w:val="19"/>
                <w:lang w:val="en-GB"/>
              </w:rPr>
            </w:pPr>
            <w:r w:rsidRPr="00F737AD">
              <w:rPr>
                <w:sz w:val="19"/>
                <w:szCs w:val="19"/>
                <w:lang w:val="en-GB"/>
              </w:rPr>
              <w:t xml:space="preserve">Direct dissemination to </w:t>
            </w:r>
            <w:r w:rsidRPr="00F737AD">
              <w:rPr>
                <w:noProof/>
                <w:sz w:val="19"/>
                <w:szCs w:val="19"/>
                <w:lang w:val="en-GB"/>
              </w:rPr>
              <w:t>person</w:t>
            </w:r>
            <w:r w:rsidRPr="00F737AD">
              <w:rPr>
                <w:sz w:val="19"/>
                <w:szCs w:val="19"/>
                <w:lang w:val="en-GB"/>
              </w:rPr>
              <w:t xml:space="preserve"> directly involved</w:t>
            </w:r>
          </w:p>
          <w:p w:rsidR="007C5B7A" w:rsidRPr="00F737AD" w:rsidRDefault="007C5B7A" w:rsidP="00F737AD">
            <w:pPr>
              <w:spacing w:after="0"/>
              <w:jc w:val="left"/>
              <w:rPr>
                <w:b/>
                <w:sz w:val="19"/>
                <w:szCs w:val="19"/>
                <w:lang w:val="en-GB"/>
              </w:rPr>
            </w:pPr>
            <w:r w:rsidRPr="00F737AD">
              <w:rPr>
                <w:sz w:val="19"/>
                <w:szCs w:val="19"/>
                <w:lang w:val="en-GB"/>
              </w:rPr>
              <w:t xml:space="preserve">Summaries with non-confidential info access through the </w:t>
            </w:r>
            <w:r w:rsidRPr="00F737AD">
              <w:rPr>
                <w:noProof/>
                <w:sz w:val="19"/>
                <w:szCs w:val="19"/>
                <w:lang w:val="en-GB"/>
              </w:rPr>
              <w:t>website</w:t>
            </w:r>
          </w:p>
        </w:tc>
      </w:tr>
      <w:bookmarkEnd w:id="342"/>
      <w:bookmarkEnd w:id="343"/>
    </w:tbl>
    <w:p w:rsidR="007C5B7A" w:rsidRPr="0057545E" w:rsidRDefault="007C5B7A" w:rsidP="007C5B7A">
      <w:pPr>
        <w:spacing w:after="0"/>
        <w:rPr>
          <w:lang w:val="en-GB"/>
        </w:rPr>
      </w:pPr>
    </w:p>
    <w:p w:rsidR="007C5B7A" w:rsidRPr="00666B27" w:rsidRDefault="007C5B7A" w:rsidP="007C5B7A">
      <w:pPr>
        <w:spacing w:after="0"/>
        <w:rPr>
          <w:lang w:val="en-GB" w:eastAsia="en-GB"/>
        </w:rPr>
      </w:pPr>
      <w:r w:rsidRPr="00353542">
        <w:rPr>
          <w:lang w:val="en-GB"/>
        </w:rPr>
        <w:t xml:space="preserve">Budget available is part of the various project activities. </w:t>
      </w:r>
      <w:r w:rsidRPr="003B7D62">
        <w:rPr>
          <w:noProof/>
          <w:lang w:val="en-GB"/>
        </w:rPr>
        <w:t>The budget</w:t>
      </w:r>
      <w:r w:rsidRPr="004722F0">
        <w:rPr>
          <w:lang w:val="en-GB"/>
        </w:rPr>
        <w:t xml:space="preserve"> for s</w:t>
      </w:r>
      <w:r w:rsidRPr="00666B27">
        <w:rPr>
          <w:lang w:val="en-GB"/>
        </w:rPr>
        <w:t>eminar/workshops/events and printing of reports</w:t>
      </w:r>
      <w:r w:rsidR="00E977C6" w:rsidRPr="00666B27">
        <w:rPr>
          <w:lang w:val="en-GB"/>
        </w:rPr>
        <w:t xml:space="preserve"> and d</w:t>
      </w:r>
      <w:r w:rsidRPr="00666B27">
        <w:rPr>
          <w:lang w:val="en-GB"/>
        </w:rPr>
        <w:t>ocuments, etc.,</w:t>
      </w:r>
      <w:r w:rsidR="00E977C6" w:rsidRPr="00666B27">
        <w:rPr>
          <w:lang w:val="en-GB"/>
        </w:rPr>
        <w:t xml:space="preserve"> is,</w:t>
      </w:r>
      <w:r w:rsidRPr="00666B27">
        <w:rPr>
          <w:lang w:val="en-GB"/>
        </w:rPr>
        <w:t xml:space="preserve"> together, about USD </w:t>
      </w:r>
      <w:r w:rsidR="00E977C6" w:rsidRPr="00666B27">
        <w:rPr>
          <w:lang w:val="en-GB"/>
        </w:rPr>
        <w:t>850,000</w:t>
      </w:r>
    </w:p>
    <w:bookmarkEnd w:id="340"/>
    <w:p w:rsidR="007C5B7A" w:rsidRPr="00666B27" w:rsidRDefault="007C5B7A" w:rsidP="007C5B7A">
      <w:pPr>
        <w:spacing w:after="0"/>
        <w:rPr>
          <w:lang w:val="en-GB"/>
        </w:rPr>
      </w:pPr>
    </w:p>
    <w:p w:rsidR="00352E0D" w:rsidRPr="00E9386C" w:rsidRDefault="00E9386C" w:rsidP="00F21F31">
      <w:pPr>
        <w:tabs>
          <w:tab w:val="left" w:pos="567"/>
          <w:tab w:val="left" w:pos="851"/>
        </w:tabs>
        <w:spacing w:after="0"/>
        <w:rPr>
          <w:rFonts w:asciiTheme="minorHAnsi" w:hAnsiTheme="minorHAnsi" w:cstheme="minorHAnsi"/>
          <w:szCs w:val="20"/>
          <w:lang w:val="en-GB" w:eastAsia="en-GB"/>
        </w:rPr>
        <w:sectPr w:rsidR="00352E0D" w:rsidRPr="00E9386C" w:rsidSect="00BA3966">
          <w:pgSz w:w="12240" w:h="15840" w:code="1"/>
          <w:pgMar w:top="1440" w:right="1134" w:bottom="1440" w:left="1134" w:header="720" w:footer="720" w:gutter="0"/>
          <w:cols w:space="720"/>
          <w:docGrid w:linePitch="360"/>
        </w:sectPr>
      </w:pPr>
      <w:r w:rsidRPr="00E9386C">
        <w:rPr>
          <w:rFonts w:asciiTheme="minorHAnsi" w:eastAsia="Times New Roman" w:hAnsiTheme="minorHAnsi" w:cstheme="minorHAnsi"/>
          <w:color w:val="FF0000"/>
          <w:szCs w:val="20"/>
        </w:rPr>
        <w:t>Reporting to GEF will be shared with U4E to keep the global project informed on progress on the national activities, sharing experiences (from South Africa to other countries and vice versa) and providing technical guidance. In addition, the Global Project (U4E) will convene regular conference calls with the South Africa Project Management Unit to assist in this process as well.</w:t>
      </w:r>
    </w:p>
    <w:p w:rsidR="005D1710" w:rsidRPr="00666B27" w:rsidRDefault="005D1710" w:rsidP="005D1710">
      <w:pPr>
        <w:spacing w:after="0"/>
        <w:jc w:val="left"/>
        <w:rPr>
          <w:lang w:val="en-GB" w:eastAsia="en-GB"/>
        </w:rPr>
      </w:pPr>
    </w:p>
    <w:p w:rsidR="005D1710" w:rsidRPr="00666B27" w:rsidRDefault="005D1710" w:rsidP="005D1710">
      <w:pPr>
        <w:pStyle w:val="HeadingA"/>
        <w:ind w:left="1701" w:hanging="1701"/>
      </w:pPr>
      <w:bookmarkStart w:id="344" w:name="_Toc340791"/>
      <w:r w:rsidRPr="00666B27">
        <w:t>Additional budget and co-financing tables</w:t>
      </w:r>
      <w:bookmarkEnd w:id="344"/>
    </w:p>
    <w:p w:rsidR="005D1710" w:rsidRPr="00666B27" w:rsidRDefault="005D1710" w:rsidP="005D1710">
      <w:pPr>
        <w:rPr>
          <w:lang w:val="en-GB"/>
        </w:rPr>
      </w:pPr>
    </w:p>
    <w:p w:rsidR="005D1710" w:rsidRPr="00666B27" w:rsidRDefault="005D1710" w:rsidP="005D1710">
      <w:pPr>
        <w:rPr>
          <w:b/>
          <w:lang w:val="en-GB"/>
        </w:rPr>
      </w:pPr>
      <w:r w:rsidRPr="00666B27">
        <w:rPr>
          <w:b/>
          <w:lang w:val="en-GB"/>
        </w:rPr>
        <w:t>GEF resources, managed by DBSA (shaded area) and UNDP:</w:t>
      </w:r>
    </w:p>
    <w:p w:rsidR="00B06AE1" w:rsidRPr="00666B27" w:rsidRDefault="00B06AE1" w:rsidP="005D1710">
      <w:pPr>
        <w:rPr>
          <w:b/>
          <w:lang w:val="en-GB"/>
        </w:rPr>
      </w:pPr>
    </w:p>
    <w:p w:rsidR="005D1710" w:rsidRPr="0057545E" w:rsidRDefault="0086255F" w:rsidP="005D1710">
      <w:pPr>
        <w:ind w:left="-567"/>
        <w:rPr>
          <w:lang w:val="en-GB"/>
        </w:rPr>
      </w:pPr>
      <w:r>
        <w:rPr>
          <w:lang w:val="en-GB"/>
        </w:rPr>
        <w:object w:dxaOrig="19242" w:dyaOrig="6556">
          <v:shape id="_x0000_i1034" type="#_x0000_t75" style="width:712.9pt;height:244.85pt" o:ole="">
            <v:imagedata r:id="rId168" o:title=""/>
          </v:shape>
          <o:OLEObject Type="Embed" ProgID="Excel.Sheet.12" ShapeID="_x0000_i1034" DrawAspect="Content" ObjectID="_1641123695" r:id="rId169"/>
        </w:object>
      </w:r>
    </w:p>
    <w:p w:rsidR="00B06AE1" w:rsidRPr="00353542" w:rsidRDefault="00B06AE1" w:rsidP="005D1710">
      <w:pPr>
        <w:rPr>
          <w:b/>
          <w:lang w:val="en-GB"/>
        </w:rPr>
      </w:pPr>
    </w:p>
    <w:p w:rsidR="005D1710" w:rsidRPr="003B7D62" w:rsidRDefault="005D1710" w:rsidP="005D1710">
      <w:pPr>
        <w:ind w:left="-567"/>
        <w:rPr>
          <w:lang w:val="en-GB"/>
        </w:rPr>
      </w:pPr>
    </w:p>
    <w:p w:rsidR="005D1710" w:rsidRPr="00666B27" w:rsidRDefault="005D1710" w:rsidP="005D1710">
      <w:pPr>
        <w:ind w:left="-567"/>
        <w:rPr>
          <w:lang w:val="en-GB"/>
        </w:rPr>
        <w:sectPr w:rsidR="005D1710" w:rsidRPr="00666B27" w:rsidSect="005D1710">
          <w:pgSz w:w="15840" w:h="12240" w:orient="landscape" w:code="1"/>
          <w:pgMar w:top="1134" w:right="1440" w:bottom="1134" w:left="1440" w:header="720" w:footer="720" w:gutter="0"/>
          <w:cols w:space="720"/>
          <w:docGrid w:linePitch="360"/>
        </w:sectPr>
      </w:pPr>
    </w:p>
    <w:p w:rsidR="005D1710" w:rsidRPr="00B800C4" w:rsidRDefault="005D1710" w:rsidP="00F737AD">
      <w:pPr>
        <w:shd w:val="clear" w:color="auto" w:fill="FFFFFF"/>
        <w:rPr>
          <w:b/>
          <w:color w:val="FF0000"/>
          <w:lang w:val="en-GB"/>
        </w:rPr>
      </w:pPr>
      <w:bookmarkStart w:id="345" w:name="_Hlk4679880"/>
      <w:r w:rsidRPr="00B800C4">
        <w:rPr>
          <w:b/>
          <w:color w:val="FF0000"/>
          <w:lang w:val="en-GB"/>
        </w:rPr>
        <w:lastRenderedPageBreak/>
        <w:t>Summary of GEF and co-financing per source and per outcome:</w:t>
      </w:r>
    </w:p>
    <w:p w:rsidR="005D1710" w:rsidRPr="00666B27" w:rsidRDefault="005D1710" w:rsidP="005D1710">
      <w:pPr>
        <w:ind w:left="-567"/>
        <w:rPr>
          <w:lang w:val="en-GB"/>
        </w:rPr>
      </w:pPr>
    </w:p>
    <w:p w:rsidR="005D1710" w:rsidRPr="0057545E" w:rsidRDefault="00FA2F78" w:rsidP="00C51406">
      <w:pPr>
        <w:rPr>
          <w:lang w:val="en-GB"/>
        </w:rPr>
      </w:pPr>
      <w:r>
        <w:rPr>
          <w:lang w:val="en-GB"/>
        </w:rPr>
        <w:object w:dxaOrig="15808" w:dyaOrig="6146">
          <v:shape id="_x0000_i1035" type="#_x0000_t75" style="width:655.25pt;height:252pt" o:ole="">
            <v:imagedata r:id="rId170" o:title=""/>
          </v:shape>
          <o:OLEObject Type="Embed" ProgID="Excel.Sheet.12" ShapeID="_x0000_i1035" DrawAspect="Content" ObjectID="_1641123696" r:id="rId171"/>
        </w:object>
      </w:r>
    </w:p>
    <w:p w:rsidR="005D1710" w:rsidRPr="00353542" w:rsidRDefault="005D1710" w:rsidP="005D1710">
      <w:pPr>
        <w:spacing w:after="0"/>
        <w:ind w:left="-851"/>
        <w:jc w:val="left"/>
        <w:rPr>
          <w:sz w:val="17"/>
          <w:szCs w:val="17"/>
          <w:lang w:val="en-GB"/>
        </w:rPr>
      </w:pPr>
    </w:p>
    <w:p w:rsidR="005D1710" w:rsidRPr="00666B27" w:rsidRDefault="005D1710" w:rsidP="009C1974">
      <w:pPr>
        <w:tabs>
          <w:tab w:val="left" w:pos="567"/>
          <w:tab w:val="left" w:pos="851"/>
        </w:tabs>
        <w:spacing w:after="0"/>
        <w:rPr>
          <w:rFonts w:cs="Calibri"/>
          <w:szCs w:val="20"/>
          <w:lang w:val="en-GB" w:eastAsia="en-GB"/>
        </w:rPr>
      </w:pPr>
    </w:p>
    <w:bookmarkEnd w:id="345"/>
    <w:p w:rsidR="005D1710" w:rsidRPr="00666B27" w:rsidRDefault="005D1710" w:rsidP="005D1710">
      <w:pPr>
        <w:spacing w:after="0"/>
        <w:jc w:val="left"/>
        <w:rPr>
          <w:lang w:val="en-GB" w:eastAsia="en-GB"/>
        </w:rPr>
      </w:pPr>
      <w:r w:rsidRPr="00666B27">
        <w:rPr>
          <w:lang w:val="en-GB" w:eastAsia="en-GB"/>
        </w:rPr>
        <w:br w:type="page"/>
      </w:r>
    </w:p>
    <w:p w:rsidR="005D1710" w:rsidRPr="00666B27" w:rsidRDefault="005D1710" w:rsidP="005D1710">
      <w:pPr>
        <w:pStyle w:val="HeadingA"/>
        <w:tabs>
          <w:tab w:val="clear" w:pos="1701"/>
          <w:tab w:val="left" w:pos="1560"/>
        </w:tabs>
        <w:ind w:left="1418" w:hanging="1418"/>
      </w:pPr>
      <w:bookmarkStart w:id="346" w:name="_Toc340792"/>
      <w:r w:rsidRPr="00666B27">
        <w:lastRenderedPageBreak/>
        <w:t>Social and environment</w:t>
      </w:r>
      <w:r w:rsidR="00E77C3B" w:rsidRPr="00666B27">
        <w:t xml:space="preserve"> screening report</w:t>
      </w:r>
      <w:bookmarkEnd w:id="346"/>
    </w:p>
    <w:p w:rsidR="005D1710" w:rsidRPr="00666B27" w:rsidRDefault="005D1710" w:rsidP="005D1710">
      <w:pPr>
        <w:rPr>
          <w:lang w:val="en-GB"/>
        </w:rPr>
      </w:pPr>
    </w:p>
    <w:p w:rsidR="005D1710" w:rsidRPr="00666B27" w:rsidRDefault="005D1710" w:rsidP="005D1710">
      <w:pPr>
        <w:rPr>
          <w:lang w:val="en-GB"/>
        </w:rPr>
      </w:pPr>
    </w:p>
    <w:p w:rsidR="005D1710" w:rsidRPr="00666B27" w:rsidRDefault="005D1710" w:rsidP="005D1710">
      <w:pPr>
        <w:spacing w:before="200" w:after="0"/>
        <w:ind w:left="360"/>
        <w:jc w:val="left"/>
        <w:rPr>
          <w:rFonts w:eastAsia="MS Mincho"/>
          <w:b/>
          <w:color w:val="4F81BD"/>
          <w:sz w:val="24"/>
          <w:lang w:val="en-GB" w:eastAsia="ja-JP"/>
        </w:rPr>
      </w:pPr>
      <w:r w:rsidRPr="00666B27">
        <w:rPr>
          <w:rFonts w:eastAsia="MS Mincho"/>
          <w:b/>
          <w:color w:val="4F81BD"/>
          <w:sz w:val="24"/>
          <w:lang w:val="en-GB" w:eastAsia="ja-JP"/>
        </w:rPr>
        <w:t>Project Information</w:t>
      </w:r>
    </w:p>
    <w:p w:rsidR="005D1710" w:rsidRPr="00666B27" w:rsidRDefault="005D1710" w:rsidP="005D1710">
      <w:pPr>
        <w:spacing w:after="0"/>
        <w:jc w:val="left"/>
        <w:rPr>
          <w:rFonts w:eastAsia="MS Mincho"/>
          <w:lang w:val="en-GB"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5D1710" w:rsidRPr="0057545E" w:rsidTr="00F737AD">
        <w:tc>
          <w:tcPr>
            <w:tcW w:w="3325" w:type="dxa"/>
            <w:shd w:val="clear" w:color="auto" w:fill="C6D9F1"/>
            <w:vAlign w:val="center"/>
          </w:tcPr>
          <w:p w:rsidR="005D1710" w:rsidRPr="00F737AD" w:rsidRDefault="005D1710" w:rsidP="00F737AD">
            <w:pPr>
              <w:tabs>
                <w:tab w:val="left" w:pos="360"/>
              </w:tabs>
              <w:spacing w:after="0"/>
              <w:jc w:val="left"/>
              <w:rPr>
                <w:rFonts w:ascii="Cambria" w:eastAsia="MS Mincho" w:hAnsi="Cambria"/>
                <w:b/>
                <w:i/>
                <w:color w:val="000000"/>
                <w:sz w:val="24"/>
                <w:szCs w:val="20"/>
                <w:lang w:val="en-GB" w:eastAsia="ja-JP"/>
              </w:rPr>
            </w:pPr>
            <w:r w:rsidRPr="00F737AD">
              <w:rPr>
                <w:rFonts w:ascii="Cambria" w:eastAsia="MS Mincho" w:hAnsi="Cambria"/>
                <w:b/>
                <w:i/>
                <w:color w:val="000000"/>
                <w:sz w:val="24"/>
                <w:szCs w:val="20"/>
                <w:lang w:val="en-GB" w:eastAsia="ja-JP"/>
              </w:rPr>
              <w:t xml:space="preserve">Project Information </w:t>
            </w:r>
          </w:p>
        </w:tc>
        <w:tc>
          <w:tcPr>
            <w:tcW w:w="9923" w:type="dxa"/>
            <w:shd w:val="clear" w:color="auto" w:fill="C6D9F1"/>
            <w:vAlign w:val="center"/>
          </w:tcPr>
          <w:p w:rsidR="005D1710" w:rsidRPr="00F737AD" w:rsidRDefault="005D1710" w:rsidP="00F737AD">
            <w:pPr>
              <w:spacing w:after="0"/>
              <w:jc w:val="left"/>
              <w:rPr>
                <w:rFonts w:ascii="Cambria" w:eastAsia="MS Mincho" w:hAnsi="Cambria"/>
                <w:i/>
                <w:color w:val="000000"/>
                <w:sz w:val="24"/>
                <w:szCs w:val="20"/>
                <w:lang w:val="en-GB" w:eastAsia="ja-JP"/>
              </w:rPr>
            </w:pPr>
          </w:p>
        </w:tc>
      </w:tr>
      <w:tr w:rsidR="005D1710" w:rsidRPr="0057545E" w:rsidTr="00F737AD">
        <w:trPr>
          <w:trHeight w:val="288"/>
        </w:trPr>
        <w:tc>
          <w:tcPr>
            <w:tcW w:w="3325" w:type="dxa"/>
            <w:shd w:val="clear" w:color="auto" w:fill="auto"/>
            <w:vAlign w:val="center"/>
          </w:tcPr>
          <w:p w:rsidR="005D1710" w:rsidRPr="00F737AD" w:rsidRDefault="005D1710" w:rsidP="00F737AD">
            <w:pPr>
              <w:numPr>
                <w:ilvl w:val="0"/>
                <w:numId w:val="59"/>
              </w:numPr>
              <w:spacing w:after="0"/>
              <w:contextualSpacing/>
              <w:jc w:val="left"/>
              <w:rPr>
                <w:rFonts w:ascii="Cambria" w:eastAsia="MS Mincho" w:hAnsi="Cambria"/>
                <w:sz w:val="18"/>
                <w:szCs w:val="18"/>
                <w:lang w:val="en-GB" w:eastAsia="ja-JP"/>
              </w:rPr>
            </w:pPr>
            <w:r w:rsidRPr="00F737AD">
              <w:rPr>
                <w:rFonts w:ascii="Cambria" w:eastAsia="MS Mincho" w:hAnsi="Cambria"/>
                <w:sz w:val="18"/>
                <w:szCs w:val="18"/>
                <w:lang w:val="en-GB" w:eastAsia="ja-JP"/>
              </w:rPr>
              <w:t>Project Title</w:t>
            </w:r>
          </w:p>
        </w:tc>
        <w:tc>
          <w:tcPr>
            <w:tcW w:w="9923" w:type="dxa"/>
            <w:shd w:val="clear" w:color="auto" w:fill="auto"/>
            <w:vAlign w:val="center"/>
          </w:tcPr>
          <w:p w:rsidR="005D1710" w:rsidRPr="00F737AD" w:rsidRDefault="0091291E"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Leapfrogging South Africa’s markets to high-efficiency LED lighting and </w:t>
            </w:r>
            <w:r w:rsidRPr="00F737AD">
              <w:rPr>
                <w:rFonts w:ascii="Cambria" w:eastAsia="MS Mincho" w:hAnsi="Cambria"/>
                <w:noProof/>
                <w:sz w:val="18"/>
                <w:szCs w:val="18"/>
                <w:lang w:val="en-GB" w:eastAsia="ja-JP"/>
              </w:rPr>
              <w:t>high efficiency</w:t>
            </w:r>
            <w:r w:rsidRPr="00F737AD">
              <w:rPr>
                <w:rFonts w:ascii="Cambria" w:eastAsia="MS Mincho" w:hAnsi="Cambria"/>
                <w:sz w:val="18"/>
                <w:szCs w:val="18"/>
                <w:lang w:val="en-GB" w:eastAsia="ja-JP"/>
              </w:rPr>
              <w:t xml:space="preserve"> distribution transformers</w:t>
            </w:r>
          </w:p>
        </w:tc>
      </w:tr>
      <w:tr w:rsidR="005D1710" w:rsidRPr="0057545E" w:rsidTr="00F737AD">
        <w:trPr>
          <w:trHeight w:val="288"/>
        </w:trPr>
        <w:tc>
          <w:tcPr>
            <w:tcW w:w="3325" w:type="dxa"/>
            <w:shd w:val="clear" w:color="auto" w:fill="auto"/>
            <w:vAlign w:val="center"/>
          </w:tcPr>
          <w:p w:rsidR="005D1710" w:rsidRPr="00F737AD" w:rsidRDefault="005D1710" w:rsidP="00F737AD">
            <w:pPr>
              <w:numPr>
                <w:ilvl w:val="0"/>
                <w:numId w:val="59"/>
              </w:numPr>
              <w:spacing w:after="0"/>
              <w:contextualSpacing/>
              <w:jc w:val="left"/>
              <w:rPr>
                <w:rFonts w:ascii="Cambria" w:eastAsia="MS Mincho" w:hAnsi="Cambria"/>
                <w:sz w:val="18"/>
                <w:szCs w:val="18"/>
                <w:lang w:val="en-GB" w:eastAsia="ja-JP"/>
              </w:rPr>
            </w:pPr>
            <w:r w:rsidRPr="00F737AD">
              <w:rPr>
                <w:rFonts w:ascii="Cambria" w:eastAsia="MS Mincho" w:hAnsi="Cambria"/>
                <w:sz w:val="18"/>
                <w:szCs w:val="18"/>
                <w:lang w:val="en-GB" w:eastAsia="ja-JP"/>
              </w:rPr>
              <w:t>Project Number</w:t>
            </w:r>
          </w:p>
        </w:tc>
        <w:tc>
          <w:tcPr>
            <w:tcW w:w="9923" w:type="dxa"/>
            <w:shd w:val="clear" w:color="auto" w:fill="auto"/>
            <w:vAlign w:val="center"/>
          </w:tcPr>
          <w:p w:rsidR="005D1710" w:rsidRPr="00F737AD" w:rsidRDefault="00A25AD6" w:rsidP="00F737AD">
            <w:pPr>
              <w:spacing w:after="0"/>
              <w:jc w:val="left"/>
              <w:rPr>
                <w:rFonts w:ascii="Cambria" w:eastAsia="MS Mincho" w:hAnsi="Cambria"/>
                <w:sz w:val="18"/>
                <w:szCs w:val="18"/>
                <w:lang w:val="en-GB" w:eastAsia="ja-JP"/>
              </w:rPr>
            </w:pPr>
            <w:r w:rsidRPr="00F737AD">
              <w:rPr>
                <w:rFonts w:ascii="Cambria" w:eastAsia="MS Mincho" w:hAnsi="Cambria" w:cs="Arial"/>
                <w:bCs/>
                <w:color w:val="000000"/>
                <w:sz w:val="18"/>
                <w:szCs w:val="16"/>
                <w:lang w:val="en-GB" w:eastAsia="zh-CN"/>
              </w:rPr>
              <w:t>5728</w:t>
            </w:r>
          </w:p>
        </w:tc>
      </w:tr>
      <w:tr w:rsidR="005D1710" w:rsidRPr="0057545E" w:rsidTr="00F737AD">
        <w:trPr>
          <w:trHeight w:val="288"/>
        </w:trPr>
        <w:tc>
          <w:tcPr>
            <w:tcW w:w="3325" w:type="dxa"/>
            <w:shd w:val="clear" w:color="auto" w:fill="auto"/>
            <w:vAlign w:val="center"/>
          </w:tcPr>
          <w:p w:rsidR="005D1710" w:rsidRPr="00F737AD" w:rsidRDefault="005D1710" w:rsidP="00F737AD">
            <w:pPr>
              <w:numPr>
                <w:ilvl w:val="0"/>
                <w:numId w:val="59"/>
              </w:numPr>
              <w:spacing w:after="0"/>
              <w:contextualSpacing/>
              <w:jc w:val="left"/>
              <w:rPr>
                <w:rFonts w:ascii="Cambria" w:eastAsia="MS Mincho" w:hAnsi="Cambria"/>
                <w:sz w:val="18"/>
                <w:szCs w:val="18"/>
                <w:lang w:val="en-GB" w:eastAsia="ja-JP"/>
              </w:rPr>
            </w:pPr>
            <w:r w:rsidRPr="00F737AD">
              <w:rPr>
                <w:rFonts w:ascii="Cambria" w:eastAsia="MS Mincho" w:hAnsi="Cambria"/>
                <w:sz w:val="18"/>
                <w:szCs w:val="18"/>
                <w:lang w:val="en-GB" w:eastAsia="ja-JP"/>
              </w:rPr>
              <w:t>Location (Global/Region/Country)</w:t>
            </w:r>
          </w:p>
        </w:tc>
        <w:tc>
          <w:tcPr>
            <w:tcW w:w="9923" w:type="dxa"/>
            <w:shd w:val="clear" w:color="auto" w:fill="auto"/>
            <w:vAlign w:val="center"/>
          </w:tcPr>
          <w:p w:rsidR="005D1710" w:rsidRPr="00F737AD" w:rsidRDefault="0091291E"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 South Africa</w:t>
            </w:r>
          </w:p>
        </w:tc>
      </w:tr>
    </w:tbl>
    <w:p w:rsidR="005D1710" w:rsidRPr="0057545E" w:rsidRDefault="005D1710" w:rsidP="005D1710">
      <w:pPr>
        <w:tabs>
          <w:tab w:val="left" w:pos="360"/>
        </w:tabs>
        <w:spacing w:after="0"/>
        <w:jc w:val="left"/>
        <w:rPr>
          <w:rFonts w:eastAsia="MS Mincho"/>
          <w:szCs w:val="20"/>
          <w:lang w:val="en-GB" w:eastAsia="ja-JP"/>
        </w:rPr>
      </w:pPr>
    </w:p>
    <w:p w:rsidR="005D1710" w:rsidRPr="003B7D62" w:rsidRDefault="005D1710" w:rsidP="005D1710">
      <w:pPr>
        <w:spacing w:before="200" w:after="0"/>
        <w:ind w:left="360"/>
        <w:jc w:val="left"/>
        <w:rPr>
          <w:rFonts w:eastAsia="MS Mincho"/>
          <w:b/>
          <w:color w:val="365F91"/>
          <w:sz w:val="24"/>
          <w:lang w:val="en-GB" w:eastAsia="ja-JP"/>
        </w:rPr>
      </w:pPr>
      <w:r w:rsidRPr="00353542">
        <w:rPr>
          <w:rFonts w:eastAsia="MS Mincho"/>
          <w:b/>
          <w:color w:val="365F91"/>
          <w:sz w:val="24"/>
          <w:lang w:val="en-GB" w:eastAsia="ja-JP"/>
        </w:rPr>
        <w:t>Part A. Integrating Overarching Principles to Strengthen Social and Environmental Sustainability</w:t>
      </w:r>
    </w:p>
    <w:p w:rsidR="005D1710" w:rsidRPr="004722F0" w:rsidRDefault="005D1710" w:rsidP="005D1710">
      <w:pPr>
        <w:spacing w:after="0"/>
        <w:jc w:val="left"/>
        <w:rPr>
          <w:rFonts w:eastAsia="MS Mincho"/>
          <w:b/>
          <w:szCs w:val="20"/>
          <w:lang w:val="en-GB" w:eastAsia="ja-JP"/>
        </w:rPr>
      </w:pPr>
    </w:p>
    <w:tbl>
      <w:tblPr>
        <w:tblW w:w="13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5D1710" w:rsidRPr="0057545E" w:rsidTr="00F737AD">
        <w:trPr>
          <w:trHeight w:val="449"/>
        </w:trPr>
        <w:tc>
          <w:tcPr>
            <w:tcW w:w="13248" w:type="dxa"/>
            <w:shd w:val="clear" w:color="auto" w:fill="0F243E"/>
            <w:vAlign w:val="center"/>
          </w:tcPr>
          <w:p w:rsidR="005D1710" w:rsidRPr="00F737AD" w:rsidRDefault="005D1710" w:rsidP="00F737AD">
            <w:pPr>
              <w:spacing w:after="0"/>
              <w:jc w:val="left"/>
              <w:rPr>
                <w:rFonts w:ascii="Cambria" w:eastAsia="MS Mincho" w:hAnsi="Cambria"/>
                <w:sz w:val="24"/>
                <w:szCs w:val="20"/>
                <w:lang w:val="en-GB" w:eastAsia="ja-JP"/>
              </w:rPr>
            </w:pPr>
            <w:r w:rsidRPr="00F737AD">
              <w:rPr>
                <w:rFonts w:ascii="Cambria" w:eastAsia="MS Mincho" w:hAnsi="Cambria"/>
                <w:b/>
                <w:sz w:val="24"/>
                <w:szCs w:val="20"/>
                <w:lang w:val="en-GB" w:eastAsia="ja-JP"/>
              </w:rPr>
              <w:t>QUESTION 1: How Does the Project Integrate the Overarching Principles in order to Strengthen Social and Environmental Sustainability?</w:t>
            </w:r>
          </w:p>
        </w:tc>
      </w:tr>
      <w:tr w:rsidR="005D1710" w:rsidRPr="0057545E" w:rsidTr="00F737AD">
        <w:trPr>
          <w:trHeight w:val="368"/>
        </w:trPr>
        <w:tc>
          <w:tcPr>
            <w:tcW w:w="13248" w:type="dxa"/>
            <w:shd w:val="clear" w:color="auto" w:fill="C6D9F1"/>
          </w:tcPr>
          <w:p w:rsidR="005D1710" w:rsidRPr="00F737AD" w:rsidRDefault="005D1710" w:rsidP="00F737AD">
            <w:pPr>
              <w:tabs>
                <w:tab w:val="left" w:pos="432"/>
              </w:tabs>
              <w:spacing w:before="60"/>
              <w:jc w:val="left"/>
              <w:rPr>
                <w:rFonts w:ascii="Cambria" w:eastAsia="Times New Roman" w:hAnsi="Cambria"/>
                <w:b/>
                <w:i/>
                <w:sz w:val="18"/>
                <w:szCs w:val="18"/>
                <w:lang w:val="en-GB" w:eastAsia="ja-JP"/>
              </w:rPr>
            </w:pPr>
            <w:r w:rsidRPr="00F737AD">
              <w:rPr>
                <w:rFonts w:ascii="Cambria" w:eastAsia="Times New Roman" w:hAnsi="Cambria"/>
                <w:b/>
                <w:i/>
                <w:sz w:val="18"/>
                <w:szCs w:val="18"/>
                <w:lang w:val="en-GB" w:eastAsia="ja-JP"/>
              </w:rPr>
              <w:t xml:space="preserve">Briefly describe in the space below how the Project mainstreams the </w:t>
            </w:r>
            <w:r w:rsidRPr="00F737AD">
              <w:rPr>
                <w:rFonts w:ascii="Cambria" w:eastAsia="Times New Roman" w:hAnsi="Cambria"/>
                <w:b/>
                <w:i/>
                <w:noProof/>
                <w:sz w:val="18"/>
                <w:szCs w:val="18"/>
                <w:lang w:val="en-GB" w:eastAsia="ja-JP"/>
              </w:rPr>
              <w:t>human-rights based</w:t>
            </w:r>
            <w:r w:rsidRPr="00F737AD">
              <w:rPr>
                <w:rFonts w:ascii="Cambria" w:eastAsia="Times New Roman" w:hAnsi="Cambria"/>
                <w:b/>
                <w:i/>
                <w:sz w:val="18"/>
                <w:szCs w:val="18"/>
                <w:lang w:val="en-GB" w:eastAsia="ja-JP"/>
              </w:rPr>
              <w:t xml:space="preserve"> approach </w:t>
            </w:r>
          </w:p>
        </w:tc>
      </w:tr>
      <w:tr w:rsidR="005D1710" w:rsidRPr="0057545E" w:rsidTr="00F737AD">
        <w:tc>
          <w:tcPr>
            <w:tcW w:w="13248" w:type="dxa"/>
            <w:shd w:val="clear" w:color="auto" w:fill="auto"/>
          </w:tcPr>
          <w:p w:rsidR="005D1710" w:rsidRPr="00F737AD" w:rsidRDefault="005D1710" w:rsidP="00F737AD">
            <w:pPr>
              <w:keepNext/>
              <w:keepLines/>
              <w:tabs>
                <w:tab w:val="left" w:pos="432"/>
              </w:tabs>
              <w:spacing w:before="60"/>
              <w:jc w:val="left"/>
              <w:outlineLvl w:val="7"/>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This project seeks to expand the availability of high-quality household appliances and open, accurate market information via national standards, product </w:t>
            </w:r>
            <w:r w:rsidRPr="00F737AD">
              <w:rPr>
                <w:rFonts w:ascii="Cambria" w:eastAsia="MS Mincho" w:hAnsi="Cambria"/>
                <w:noProof/>
                <w:sz w:val="18"/>
                <w:szCs w:val="18"/>
                <w:lang w:val="en-GB" w:eastAsia="ja-JP"/>
              </w:rPr>
              <w:t>labelling</w:t>
            </w:r>
            <w:r w:rsidRPr="00F737AD">
              <w:rPr>
                <w:rFonts w:ascii="Cambria" w:eastAsia="MS Mincho" w:hAnsi="Cambria"/>
                <w:sz w:val="18"/>
                <w:szCs w:val="18"/>
                <w:lang w:val="en-GB" w:eastAsia="ja-JP"/>
              </w:rPr>
              <w:t xml:space="preserve">, testing and certification, and promotional outreach.  The project also includes rebates and coupons specifically to support access by low-income citizens to such appliances. </w:t>
            </w:r>
          </w:p>
          <w:p w:rsidR="005D1710" w:rsidRPr="00F737AD" w:rsidRDefault="005D1710" w:rsidP="00F737AD">
            <w:pPr>
              <w:keepNext/>
              <w:keepLines/>
              <w:tabs>
                <w:tab w:val="left" w:pos="432"/>
              </w:tabs>
              <w:spacing w:before="60"/>
              <w:jc w:val="left"/>
              <w:outlineLvl w:val="7"/>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All policies will be designed with an emphasis not only on environmental </w:t>
            </w:r>
            <w:r w:rsidRPr="00F737AD">
              <w:rPr>
                <w:rFonts w:ascii="Cambria" w:eastAsia="MS Mincho" w:hAnsi="Cambria"/>
                <w:noProof/>
                <w:sz w:val="18"/>
                <w:szCs w:val="18"/>
                <w:lang w:val="en-GB" w:eastAsia="ja-JP"/>
              </w:rPr>
              <w:t>sustainability,</w:t>
            </w:r>
            <w:r w:rsidRPr="00F737AD">
              <w:rPr>
                <w:rFonts w:ascii="Cambria" w:eastAsia="MS Mincho" w:hAnsi="Cambria"/>
                <w:sz w:val="18"/>
                <w:szCs w:val="18"/>
                <w:lang w:val="en-GB" w:eastAsia="ja-JP"/>
              </w:rPr>
              <w:t xml:space="preserve"> but also on consumer protection applied equally for the benefit of </w:t>
            </w:r>
            <w:proofErr w:type="gramStart"/>
            <w:r w:rsidRPr="00F737AD">
              <w:rPr>
                <w:rFonts w:ascii="Cambria" w:eastAsia="MS Mincho" w:hAnsi="Cambria"/>
                <w:sz w:val="18"/>
                <w:szCs w:val="18"/>
                <w:lang w:val="en-GB" w:eastAsia="ja-JP"/>
              </w:rPr>
              <w:t>all of</w:t>
            </w:r>
            <w:proofErr w:type="gramEnd"/>
            <w:r w:rsidRPr="00F737AD">
              <w:rPr>
                <w:rFonts w:ascii="Cambria" w:eastAsia="MS Mincho" w:hAnsi="Cambria"/>
                <w:sz w:val="18"/>
                <w:szCs w:val="18"/>
                <w:lang w:val="en-GB" w:eastAsia="ja-JP"/>
              </w:rPr>
              <w:t xml:space="preserve"> </w:t>
            </w:r>
            <w:r w:rsidR="00646160" w:rsidRPr="00F737AD">
              <w:rPr>
                <w:rFonts w:ascii="Cambria" w:eastAsia="MS Mincho" w:hAnsi="Cambria"/>
                <w:sz w:val="18"/>
                <w:szCs w:val="18"/>
                <w:lang w:val="en-GB" w:eastAsia="ja-JP"/>
              </w:rPr>
              <w:t>South Africa</w:t>
            </w:r>
            <w:r w:rsidRPr="00F737AD">
              <w:rPr>
                <w:rFonts w:ascii="Cambria" w:eastAsia="MS Mincho" w:hAnsi="Cambria"/>
                <w:sz w:val="18"/>
                <w:szCs w:val="18"/>
                <w:lang w:val="en-GB" w:eastAsia="ja-JP"/>
              </w:rPr>
              <w:t xml:space="preserve">’s citizens. The project will partner with </w:t>
            </w:r>
            <w:r w:rsidR="00646160" w:rsidRPr="00F737AD">
              <w:rPr>
                <w:rFonts w:ascii="Cambria" w:eastAsia="MS Mincho" w:hAnsi="Cambria"/>
                <w:sz w:val="18"/>
                <w:szCs w:val="18"/>
                <w:lang w:val="en-GB" w:eastAsia="ja-JP"/>
              </w:rPr>
              <w:t>local consumer an</w:t>
            </w:r>
            <w:r w:rsidR="00DD0EE8" w:rsidRPr="00F737AD">
              <w:rPr>
                <w:rFonts w:ascii="Cambria" w:eastAsia="MS Mincho" w:hAnsi="Cambria"/>
                <w:sz w:val="18"/>
                <w:szCs w:val="18"/>
                <w:lang w:val="en-GB" w:eastAsia="ja-JP"/>
              </w:rPr>
              <w:t>d</w:t>
            </w:r>
            <w:r w:rsidR="00646160" w:rsidRPr="00F737AD">
              <w:rPr>
                <w:rFonts w:ascii="Cambria" w:eastAsia="MS Mincho" w:hAnsi="Cambria"/>
                <w:sz w:val="18"/>
                <w:szCs w:val="18"/>
                <w:lang w:val="en-GB" w:eastAsia="ja-JP"/>
              </w:rPr>
              <w:t xml:space="preserve"> women’s </w:t>
            </w:r>
            <w:r w:rsidR="00646160" w:rsidRPr="00F737AD">
              <w:rPr>
                <w:rFonts w:ascii="Cambria" w:eastAsia="MS Mincho" w:hAnsi="Cambria"/>
                <w:noProof/>
                <w:sz w:val="18"/>
                <w:szCs w:val="18"/>
                <w:lang w:val="en-GB" w:eastAsia="ja-JP"/>
              </w:rPr>
              <w:t>organisations</w:t>
            </w:r>
            <w:r w:rsidRPr="00F737AD">
              <w:rPr>
                <w:rFonts w:ascii="Cambria" w:eastAsia="MS Mincho" w:hAnsi="Cambria"/>
                <w:sz w:val="18"/>
                <w:szCs w:val="18"/>
                <w:lang w:val="en-GB" w:eastAsia="ja-JP"/>
              </w:rPr>
              <w:t xml:space="preserve"> in advancing consumers’ </w:t>
            </w:r>
            <w:r w:rsidR="00646160" w:rsidRPr="00F737AD">
              <w:rPr>
                <w:rFonts w:ascii="Cambria" w:eastAsia="MS Mincho" w:hAnsi="Cambria"/>
                <w:sz w:val="18"/>
                <w:szCs w:val="18"/>
                <w:lang w:val="en-GB" w:eastAsia="ja-JP"/>
              </w:rPr>
              <w:t xml:space="preserve">and women’s </w:t>
            </w:r>
            <w:r w:rsidRPr="00F737AD">
              <w:rPr>
                <w:rFonts w:ascii="Cambria" w:eastAsia="MS Mincho" w:hAnsi="Cambria"/>
                <w:sz w:val="18"/>
                <w:szCs w:val="18"/>
                <w:lang w:val="en-GB" w:eastAsia="ja-JP"/>
              </w:rPr>
              <w:t xml:space="preserve">rights. Design of policies and consumer outreach, including low-income support, will be based on widely inclusive market research, including opportunities for citizens of all economic situations to register their input directly.   </w:t>
            </w:r>
          </w:p>
          <w:p w:rsidR="005D1710" w:rsidRPr="00F737AD" w:rsidRDefault="005D1710" w:rsidP="00F737AD">
            <w:pPr>
              <w:keepNext/>
              <w:keepLines/>
              <w:tabs>
                <w:tab w:val="left" w:pos="432"/>
              </w:tabs>
              <w:spacing w:before="60"/>
              <w:jc w:val="left"/>
              <w:outlineLvl w:val="7"/>
              <w:rPr>
                <w:rFonts w:ascii="Cambria" w:eastAsia="MS Mincho" w:hAnsi="Cambria"/>
                <w:sz w:val="18"/>
                <w:szCs w:val="18"/>
                <w:lang w:val="en-GB" w:eastAsia="ja-JP"/>
              </w:rPr>
            </w:pPr>
          </w:p>
        </w:tc>
      </w:tr>
      <w:tr w:rsidR="005D1710" w:rsidRPr="0057545E" w:rsidTr="00F737AD">
        <w:trPr>
          <w:trHeight w:val="296"/>
        </w:trPr>
        <w:tc>
          <w:tcPr>
            <w:tcW w:w="13248" w:type="dxa"/>
            <w:shd w:val="clear" w:color="auto" w:fill="C6D9F1"/>
          </w:tcPr>
          <w:p w:rsidR="005D1710" w:rsidRPr="00F737AD" w:rsidRDefault="005D1710" w:rsidP="00F737AD">
            <w:pPr>
              <w:spacing w:after="120"/>
              <w:contextualSpacing/>
              <w:jc w:val="left"/>
              <w:rPr>
                <w:rFonts w:ascii="Cambria" w:eastAsia="MS Mincho" w:hAnsi="Cambria"/>
                <w:b/>
                <w:i/>
                <w:sz w:val="18"/>
                <w:szCs w:val="18"/>
                <w:lang w:val="en-GB" w:eastAsia="ja-JP"/>
              </w:rPr>
            </w:pPr>
            <w:r w:rsidRPr="00F737AD">
              <w:rPr>
                <w:rFonts w:ascii="Cambria" w:eastAsia="Times New Roman" w:hAnsi="Cambria"/>
                <w:b/>
                <w:i/>
                <w:sz w:val="18"/>
                <w:szCs w:val="18"/>
                <w:lang w:val="en-GB" w:eastAsia="ja-JP"/>
              </w:rPr>
              <w:t>Briefly describe in the space below how the Project is likely to improve gender equality and women’s empowerment</w:t>
            </w:r>
          </w:p>
        </w:tc>
      </w:tr>
      <w:tr w:rsidR="005D1710" w:rsidRPr="0057545E" w:rsidTr="00F737AD">
        <w:tc>
          <w:tcPr>
            <w:tcW w:w="13248" w:type="dxa"/>
            <w:shd w:val="clear" w:color="auto" w:fill="auto"/>
          </w:tcPr>
          <w:p w:rsidR="005D1710" w:rsidRPr="00F737AD" w:rsidRDefault="005D1710" w:rsidP="00F737AD">
            <w:pPr>
              <w:tabs>
                <w:tab w:val="left" w:pos="432"/>
              </w:tabs>
              <w:spacing w:before="60"/>
              <w:jc w:val="left"/>
              <w:rPr>
                <w:rFonts w:ascii="Cambria" w:eastAsia="Times New Roman" w:hAnsi="Cambria"/>
                <w:sz w:val="18"/>
                <w:szCs w:val="18"/>
                <w:lang w:val="en-GB" w:eastAsia="ja-JP"/>
              </w:rPr>
            </w:pPr>
            <w:r w:rsidRPr="00F737AD">
              <w:rPr>
                <w:rFonts w:ascii="Cambria" w:eastAsia="Times New Roman" w:hAnsi="Cambria"/>
                <w:sz w:val="18"/>
                <w:szCs w:val="18"/>
                <w:lang w:val="en-GB" w:eastAsia="ja-JP"/>
              </w:rPr>
              <w:t xml:space="preserve">The development challenge of increasing GHG emissions from appliances and equipment, as well as related issues of energy costs, consumer choice, and assurances of product quality for both </w:t>
            </w:r>
            <w:r w:rsidR="00646160" w:rsidRPr="00F737AD">
              <w:rPr>
                <w:rFonts w:ascii="Cambria" w:eastAsia="Times New Roman" w:hAnsi="Cambria"/>
                <w:sz w:val="18"/>
                <w:szCs w:val="18"/>
                <w:lang w:val="en-GB" w:eastAsia="ja-JP"/>
              </w:rPr>
              <w:t xml:space="preserve">municipalities, </w:t>
            </w:r>
            <w:r w:rsidRPr="00F737AD">
              <w:rPr>
                <w:rFonts w:ascii="Cambria" w:eastAsia="Times New Roman" w:hAnsi="Cambria"/>
                <w:sz w:val="18"/>
                <w:szCs w:val="18"/>
                <w:lang w:val="en-GB" w:eastAsia="ja-JP"/>
              </w:rPr>
              <w:t xml:space="preserve">enterprises and individual citizens, affect all citizens of </w:t>
            </w:r>
            <w:r w:rsidR="00646160" w:rsidRPr="00F737AD">
              <w:rPr>
                <w:rFonts w:ascii="Cambria" w:eastAsia="Times New Roman" w:hAnsi="Cambria"/>
                <w:sz w:val="18"/>
                <w:szCs w:val="18"/>
                <w:lang w:val="en-GB" w:eastAsia="ja-JP"/>
              </w:rPr>
              <w:t>South Africa</w:t>
            </w:r>
            <w:r w:rsidRPr="00F737AD">
              <w:rPr>
                <w:rFonts w:ascii="Cambria" w:eastAsia="Times New Roman" w:hAnsi="Cambria"/>
                <w:sz w:val="18"/>
                <w:szCs w:val="18"/>
                <w:lang w:val="en-GB" w:eastAsia="ja-JP"/>
              </w:rPr>
              <w:t xml:space="preserve"> equally, without regard to gender.  The intended outcomes of the project should also </w:t>
            </w:r>
            <w:r w:rsidRPr="00F737AD">
              <w:rPr>
                <w:rFonts w:ascii="Cambria" w:eastAsia="Times New Roman" w:hAnsi="Cambria"/>
                <w:noProof/>
                <w:sz w:val="18"/>
                <w:szCs w:val="18"/>
                <w:lang w:val="en-GB" w:eastAsia="ja-JP"/>
              </w:rPr>
              <w:t>therefore</w:t>
            </w:r>
            <w:r w:rsidRPr="00F737AD">
              <w:rPr>
                <w:rFonts w:ascii="Cambria" w:eastAsia="Times New Roman" w:hAnsi="Cambria"/>
                <w:sz w:val="18"/>
                <w:szCs w:val="18"/>
                <w:lang w:val="en-GB" w:eastAsia="ja-JP"/>
              </w:rPr>
              <w:t xml:space="preserve"> create benefits for all citizens </w:t>
            </w:r>
            <w:proofErr w:type="gramStart"/>
            <w:r w:rsidRPr="00F737AD">
              <w:rPr>
                <w:rFonts w:ascii="Cambria" w:eastAsia="Times New Roman" w:hAnsi="Cambria"/>
                <w:sz w:val="18"/>
                <w:szCs w:val="18"/>
                <w:lang w:val="en-GB" w:eastAsia="ja-JP"/>
              </w:rPr>
              <w:t>with regard to</w:t>
            </w:r>
            <w:proofErr w:type="gramEnd"/>
            <w:r w:rsidRPr="00F737AD">
              <w:rPr>
                <w:rFonts w:ascii="Cambria" w:eastAsia="Times New Roman" w:hAnsi="Cambria"/>
                <w:sz w:val="18"/>
                <w:szCs w:val="18"/>
                <w:lang w:val="en-GB" w:eastAsia="ja-JP"/>
              </w:rPr>
              <w:t xml:space="preserve"> gender. Market assessment during the project preparatory period indicates that women in </w:t>
            </w:r>
            <w:r w:rsidR="00646160" w:rsidRPr="00F737AD">
              <w:rPr>
                <w:rFonts w:ascii="Cambria" w:eastAsia="Times New Roman" w:hAnsi="Cambria"/>
                <w:sz w:val="18"/>
                <w:szCs w:val="18"/>
                <w:lang w:val="en-GB" w:eastAsia="ja-JP"/>
              </w:rPr>
              <w:t xml:space="preserve">South Africa </w:t>
            </w:r>
            <w:r w:rsidR="00646160" w:rsidRPr="00F737AD">
              <w:rPr>
                <w:rFonts w:ascii="Cambria" w:eastAsia="Times New Roman" w:hAnsi="Cambria"/>
                <w:noProof/>
                <w:sz w:val="18"/>
                <w:szCs w:val="18"/>
                <w:lang w:val="en-GB" w:eastAsia="ja-JP"/>
              </w:rPr>
              <w:t>do</w:t>
            </w:r>
            <w:r w:rsidR="00646160" w:rsidRPr="00F737AD">
              <w:rPr>
                <w:rFonts w:ascii="Cambria" w:eastAsia="Times New Roman" w:hAnsi="Cambria"/>
                <w:sz w:val="18"/>
                <w:szCs w:val="18"/>
                <w:lang w:val="en-GB" w:eastAsia="ja-JP"/>
              </w:rPr>
              <w:t xml:space="preserve"> </w:t>
            </w:r>
            <w:r w:rsidRPr="00F737AD">
              <w:rPr>
                <w:rFonts w:ascii="Cambria" w:eastAsia="Times New Roman" w:hAnsi="Cambria"/>
                <w:sz w:val="18"/>
                <w:szCs w:val="18"/>
                <w:lang w:val="en-GB" w:eastAsia="ja-JP"/>
              </w:rPr>
              <w:t xml:space="preserve">play a role equal to and often conjoined with that of men in choosing appliances and managing household income.  Therefore, in improving access to high-quality appliances and reliable market information, the project will generate benefits that will be enjoyed equally by female and male consumers. In its research and outreach involving consumer preferences and choices, the project will directly target both women and men (of all ages, marital status, income levels, etc.) </w:t>
            </w:r>
            <w:proofErr w:type="gramStart"/>
            <w:r w:rsidRPr="00F737AD">
              <w:rPr>
                <w:rFonts w:ascii="Cambria" w:eastAsia="Times New Roman" w:hAnsi="Cambria"/>
                <w:sz w:val="18"/>
                <w:szCs w:val="18"/>
                <w:lang w:val="en-GB" w:eastAsia="ja-JP"/>
              </w:rPr>
              <w:t>In particular, market</w:t>
            </w:r>
            <w:proofErr w:type="gramEnd"/>
            <w:r w:rsidRPr="00F737AD">
              <w:rPr>
                <w:rFonts w:ascii="Cambria" w:eastAsia="Times New Roman" w:hAnsi="Cambria"/>
                <w:sz w:val="18"/>
                <w:szCs w:val="18"/>
                <w:lang w:val="en-GB" w:eastAsia="ja-JP"/>
              </w:rPr>
              <w:t xml:space="preserve"> research activities will include both surveys </w:t>
            </w:r>
            <w:r w:rsidR="00646160" w:rsidRPr="00F737AD">
              <w:rPr>
                <w:rFonts w:ascii="Cambria" w:eastAsia="Times New Roman" w:hAnsi="Cambria"/>
                <w:sz w:val="18"/>
                <w:szCs w:val="18"/>
                <w:lang w:val="en-GB" w:eastAsia="ja-JP"/>
              </w:rPr>
              <w:t xml:space="preserve">that </w:t>
            </w:r>
            <w:r w:rsidRPr="00F737AD">
              <w:rPr>
                <w:rFonts w:ascii="Cambria" w:eastAsia="Times New Roman" w:hAnsi="Cambria"/>
                <w:sz w:val="18"/>
                <w:szCs w:val="18"/>
                <w:lang w:val="en-GB" w:eastAsia="ja-JP"/>
              </w:rPr>
              <w:t xml:space="preserve">allow for breakdowns by gender. </w:t>
            </w:r>
          </w:p>
          <w:p w:rsidR="005D1710" w:rsidRPr="00F737AD" w:rsidRDefault="005D1710" w:rsidP="00F737AD">
            <w:pPr>
              <w:tabs>
                <w:tab w:val="left" w:pos="432"/>
              </w:tabs>
              <w:spacing w:before="60"/>
              <w:jc w:val="left"/>
              <w:rPr>
                <w:rFonts w:ascii="Cambria" w:eastAsia="Times New Roman" w:hAnsi="Cambria"/>
                <w:sz w:val="18"/>
                <w:szCs w:val="18"/>
                <w:lang w:val="en-GB" w:eastAsia="ja-JP"/>
              </w:rPr>
            </w:pPr>
          </w:p>
          <w:p w:rsidR="005D1710" w:rsidRPr="00F737AD" w:rsidRDefault="005D1710" w:rsidP="00F737AD">
            <w:pPr>
              <w:tabs>
                <w:tab w:val="left" w:pos="432"/>
              </w:tabs>
              <w:spacing w:before="60"/>
              <w:jc w:val="left"/>
              <w:rPr>
                <w:rFonts w:ascii="Cambria" w:eastAsia="Times New Roman" w:hAnsi="Cambria"/>
                <w:color w:val="595959"/>
                <w:sz w:val="18"/>
                <w:szCs w:val="18"/>
                <w:lang w:val="en-GB" w:eastAsia="ja-JP"/>
              </w:rPr>
            </w:pPr>
          </w:p>
        </w:tc>
      </w:tr>
      <w:tr w:rsidR="005D1710" w:rsidRPr="0057545E" w:rsidTr="00F737AD">
        <w:trPr>
          <w:trHeight w:val="305"/>
        </w:trPr>
        <w:tc>
          <w:tcPr>
            <w:tcW w:w="13248" w:type="dxa"/>
            <w:shd w:val="clear" w:color="auto" w:fill="C6D9F1"/>
          </w:tcPr>
          <w:p w:rsidR="005D1710" w:rsidRPr="00F737AD" w:rsidRDefault="005D1710" w:rsidP="00F737AD">
            <w:pPr>
              <w:spacing w:after="120"/>
              <w:contextualSpacing/>
              <w:jc w:val="left"/>
              <w:rPr>
                <w:rFonts w:ascii="Cambria" w:eastAsia="MS Mincho" w:hAnsi="Cambria"/>
                <w:b/>
                <w:i/>
                <w:sz w:val="18"/>
                <w:szCs w:val="18"/>
                <w:u w:val="single"/>
                <w:lang w:val="en-GB" w:eastAsia="ja-JP"/>
              </w:rPr>
            </w:pPr>
            <w:r w:rsidRPr="00F737AD">
              <w:rPr>
                <w:rFonts w:ascii="Cambria" w:eastAsia="Times New Roman" w:hAnsi="Cambria"/>
                <w:b/>
                <w:i/>
                <w:sz w:val="18"/>
                <w:szCs w:val="18"/>
                <w:lang w:val="en-GB" w:eastAsia="ja-JP"/>
              </w:rPr>
              <w:lastRenderedPageBreak/>
              <w:t>Briefly describe in the space below how the Project mainstreams environmental sustainability</w:t>
            </w:r>
          </w:p>
        </w:tc>
      </w:tr>
      <w:tr w:rsidR="005D1710" w:rsidRPr="0057545E" w:rsidTr="00F737AD">
        <w:tc>
          <w:tcPr>
            <w:tcW w:w="13248" w:type="dxa"/>
            <w:shd w:val="clear" w:color="auto" w:fill="auto"/>
          </w:tcPr>
          <w:p w:rsidR="005D1710" w:rsidRPr="00F737AD" w:rsidRDefault="005D1710" w:rsidP="00F737AD">
            <w:pPr>
              <w:tabs>
                <w:tab w:val="left" w:pos="432"/>
              </w:tabs>
              <w:spacing w:before="60"/>
              <w:jc w:val="left"/>
              <w:rPr>
                <w:rFonts w:ascii="Cambria" w:eastAsia="Times New Roman" w:hAnsi="Cambria"/>
                <w:sz w:val="18"/>
                <w:szCs w:val="18"/>
                <w:lang w:val="en-GB" w:eastAsia="ja-JP"/>
              </w:rPr>
            </w:pPr>
            <w:r w:rsidRPr="00F737AD">
              <w:rPr>
                <w:rFonts w:ascii="Cambria" w:eastAsia="Times New Roman" w:hAnsi="Cambria"/>
                <w:sz w:val="18"/>
                <w:szCs w:val="18"/>
                <w:lang w:val="en-GB" w:eastAsia="ja-JP"/>
              </w:rPr>
              <w:t>Environmental sustainability</w:t>
            </w:r>
            <w:r w:rsidR="00646160" w:rsidRPr="00F737AD">
              <w:rPr>
                <w:rFonts w:ascii="Cambria" w:eastAsia="Times New Roman" w:hAnsi="Cambria"/>
                <w:sz w:val="18"/>
                <w:szCs w:val="18"/>
                <w:lang w:val="en-GB" w:eastAsia="ja-JP"/>
              </w:rPr>
              <w:t xml:space="preserve"> - </w:t>
            </w:r>
            <w:r w:rsidRPr="00F737AD">
              <w:rPr>
                <w:rFonts w:ascii="Cambria" w:eastAsia="Times New Roman" w:hAnsi="Cambria"/>
                <w:sz w:val="18"/>
                <w:szCs w:val="18"/>
                <w:lang w:val="en-GB" w:eastAsia="ja-JP"/>
              </w:rPr>
              <w:t>specifically, climate change mitigation</w:t>
            </w:r>
            <w:r w:rsidR="00646160" w:rsidRPr="00F737AD">
              <w:rPr>
                <w:rFonts w:ascii="Cambria" w:eastAsia="Times New Roman" w:hAnsi="Cambria"/>
                <w:sz w:val="18"/>
                <w:szCs w:val="18"/>
                <w:lang w:val="en-GB" w:eastAsia="ja-JP"/>
              </w:rPr>
              <w:t xml:space="preserve"> - </w:t>
            </w:r>
            <w:r w:rsidRPr="00F737AD">
              <w:rPr>
                <w:rFonts w:ascii="Cambria" w:eastAsia="Times New Roman" w:hAnsi="Cambria"/>
                <w:sz w:val="18"/>
                <w:szCs w:val="18"/>
                <w:lang w:val="en-GB" w:eastAsia="ja-JP"/>
              </w:rPr>
              <w:t xml:space="preserve">is the central focus of the project.  By promoting energy efficiency of </w:t>
            </w:r>
            <w:r w:rsidR="00646160" w:rsidRPr="00F737AD">
              <w:rPr>
                <w:rFonts w:ascii="Cambria" w:eastAsia="Times New Roman" w:hAnsi="Cambria"/>
                <w:sz w:val="18"/>
                <w:szCs w:val="18"/>
                <w:lang w:val="en-GB" w:eastAsia="ja-JP"/>
              </w:rPr>
              <w:t>lighting</w:t>
            </w:r>
            <w:r w:rsidRPr="00F737AD">
              <w:rPr>
                <w:rFonts w:ascii="Cambria" w:eastAsia="Times New Roman" w:hAnsi="Cambria"/>
                <w:sz w:val="18"/>
                <w:szCs w:val="18"/>
                <w:lang w:val="en-GB" w:eastAsia="ja-JP"/>
              </w:rPr>
              <w:t xml:space="preserve"> and </w:t>
            </w:r>
            <w:r w:rsidR="00646160" w:rsidRPr="00F737AD">
              <w:rPr>
                <w:rFonts w:ascii="Cambria" w:eastAsia="Times New Roman" w:hAnsi="Cambria"/>
                <w:sz w:val="18"/>
                <w:szCs w:val="18"/>
                <w:lang w:val="en-GB" w:eastAsia="ja-JP"/>
              </w:rPr>
              <w:t xml:space="preserve">distribution transformer </w:t>
            </w:r>
            <w:r w:rsidR="00A25AD6" w:rsidRPr="00F737AD">
              <w:rPr>
                <w:rFonts w:ascii="Cambria" w:eastAsia="Times New Roman" w:hAnsi="Cambria"/>
                <w:sz w:val="18"/>
                <w:szCs w:val="18"/>
                <w:lang w:val="en-GB" w:eastAsia="ja-JP"/>
              </w:rPr>
              <w:t>equipment</w:t>
            </w:r>
            <w:r w:rsidRPr="00F737AD">
              <w:rPr>
                <w:rFonts w:ascii="Cambria" w:eastAsia="Times New Roman" w:hAnsi="Cambria"/>
                <w:sz w:val="18"/>
                <w:szCs w:val="18"/>
                <w:lang w:val="en-GB" w:eastAsia="ja-JP"/>
              </w:rPr>
              <w:t xml:space="preserve">, the project will achieve major reductions </w:t>
            </w:r>
            <w:r w:rsidRPr="00F737AD">
              <w:rPr>
                <w:rFonts w:ascii="Cambria" w:eastAsia="Times New Roman" w:hAnsi="Cambria"/>
                <w:noProof/>
                <w:sz w:val="18"/>
                <w:szCs w:val="18"/>
                <w:lang w:val="en-GB" w:eastAsia="ja-JP"/>
              </w:rPr>
              <w:t>of</w:t>
            </w:r>
            <w:r w:rsidRPr="00F737AD">
              <w:rPr>
                <w:rFonts w:ascii="Cambria" w:eastAsia="Times New Roman" w:hAnsi="Cambria"/>
                <w:sz w:val="18"/>
                <w:szCs w:val="18"/>
                <w:lang w:val="en-GB" w:eastAsia="ja-JP"/>
              </w:rPr>
              <w:t xml:space="preserve"> electricity consumption and associated emissions of greenhouse gases and other pollutants from predominantly coal-fired power plants.  The project also supports Kazakhstan’s ongoing efforts to develop and implement policy on safe disposition of electronic waste </w:t>
            </w:r>
            <w:r w:rsidR="00646160" w:rsidRPr="00F737AD">
              <w:rPr>
                <w:rFonts w:ascii="Cambria" w:eastAsia="Times New Roman" w:hAnsi="Cambria"/>
                <w:sz w:val="18"/>
                <w:szCs w:val="18"/>
                <w:lang w:val="en-GB" w:eastAsia="ja-JP"/>
              </w:rPr>
              <w:t>(</w:t>
            </w:r>
            <w:proofErr w:type="gramStart"/>
            <w:r w:rsidR="00646160" w:rsidRPr="00F737AD">
              <w:rPr>
                <w:rFonts w:ascii="Cambria" w:eastAsia="Times New Roman" w:hAnsi="Cambria"/>
                <w:sz w:val="18"/>
                <w:szCs w:val="18"/>
                <w:lang w:val="en-GB" w:eastAsia="ja-JP"/>
              </w:rPr>
              <w:t>in particular mercury</w:t>
            </w:r>
            <w:proofErr w:type="gramEnd"/>
            <w:r w:rsidR="00646160" w:rsidRPr="00F737AD">
              <w:rPr>
                <w:rFonts w:ascii="Cambria" w:eastAsia="Times New Roman" w:hAnsi="Cambria"/>
                <w:sz w:val="18"/>
                <w:szCs w:val="18"/>
                <w:lang w:val="en-GB" w:eastAsia="ja-JP"/>
              </w:rPr>
              <w:t xml:space="preserve"> recovery) and possible use of vegetable oil replacing mineral oil in certain types of transformers.</w:t>
            </w:r>
          </w:p>
        </w:tc>
      </w:tr>
    </w:tbl>
    <w:p w:rsidR="005D1710" w:rsidRPr="0057545E" w:rsidRDefault="005D1710" w:rsidP="005D1710">
      <w:pPr>
        <w:spacing w:after="0"/>
        <w:jc w:val="left"/>
        <w:rPr>
          <w:rFonts w:eastAsia="MS Mincho"/>
          <w:b/>
          <w:szCs w:val="20"/>
          <w:lang w:val="en-GB" w:eastAsia="ja-JP"/>
        </w:rPr>
      </w:pPr>
    </w:p>
    <w:p w:rsidR="005D1710" w:rsidRPr="004722F0" w:rsidRDefault="005D1710" w:rsidP="005D1710">
      <w:pPr>
        <w:keepNext/>
        <w:spacing w:before="200" w:after="0"/>
        <w:ind w:left="360"/>
        <w:jc w:val="left"/>
        <w:rPr>
          <w:rFonts w:eastAsia="MS Mincho"/>
          <w:b/>
          <w:color w:val="365F91"/>
          <w:sz w:val="24"/>
          <w:lang w:val="en-GB" w:eastAsia="ja-JP"/>
        </w:rPr>
      </w:pPr>
      <w:r w:rsidRPr="00353542">
        <w:rPr>
          <w:rFonts w:eastAsia="MS Mincho"/>
          <w:b/>
          <w:color w:val="365F91"/>
          <w:sz w:val="24"/>
          <w:lang w:val="en-GB" w:eastAsia="ja-JP"/>
        </w:rPr>
        <w:t xml:space="preserve">Part B. Identifying and Managing Social and Environmental </w:t>
      </w:r>
      <w:r w:rsidRPr="003B7D62">
        <w:rPr>
          <w:rFonts w:eastAsia="MS Mincho"/>
          <w:b/>
          <w:color w:val="365F91"/>
          <w:sz w:val="24"/>
          <w:u w:val="single"/>
          <w:lang w:val="en-GB" w:eastAsia="ja-JP"/>
        </w:rPr>
        <w:t>Risks</w:t>
      </w:r>
    </w:p>
    <w:p w:rsidR="005D1710" w:rsidRPr="00666B27" w:rsidRDefault="005D1710" w:rsidP="005D1710">
      <w:pPr>
        <w:keepNext/>
        <w:spacing w:after="0"/>
        <w:jc w:val="left"/>
        <w:rPr>
          <w:rFonts w:eastAsia="MS Mincho"/>
          <w:b/>
          <w:szCs w:val="20"/>
          <w:lang w:val="en-GB" w:eastAsia="ja-JP"/>
        </w:rPr>
      </w:pPr>
    </w:p>
    <w:tbl>
      <w:tblPr>
        <w:tblW w:w="131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5"/>
        <w:gridCol w:w="1075"/>
        <w:gridCol w:w="1170"/>
        <w:gridCol w:w="52"/>
        <w:gridCol w:w="2041"/>
        <w:gridCol w:w="1440"/>
        <w:gridCol w:w="270"/>
        <w:gridCol w:w="3577"/>
      </w:tblGrid>
      <w:tr w:rsidR="005D1710" w:rsidRPr="0057545E" w:rsidTr="00F737AD">
        <w:trPr>
          <w:trHeight w:val="1061"/>
        </w:trPr>
        <w:tc>
          <w:tcPr>
            <w:tcW w:w="3515" w:type="dxa"/>
            <w:shd w:val="clear" w:color="auto" w:fill="0F243E"/>
          </w:tcPr>
          <w:p w:rsidR="005D1710" w:rsidRPr="00F737AD" w:rsidRDefault="005D1710" w:rsidP="00F737AD">
            <w:pPr>
              <w:keepNext/>
              <w:tabs>
                <w:tab w:val="left" w:pos="101"/>
              </w:tabs>
              <w:spacing w:after="0"/>
              <w:ind w:right="252" w:firstLine="11"/>
              <w:jc w:val="left"/>
              <w:rPr>
                <w:rFonts w:ascii="Cambria" w:eastAsia="MS Mincho" w:hAnsi="Cambria"/>
                <w:b/>
                <w:szCs w:val="20"/>
                <w:lang w:val="en-GB" w:eastAsia="ja-JP"/>
              </w:rPr>
            </w:pPr>
            <w:r w:rsidRPr="00F737AD">
              <w:rPr>
                <w:rFonts w:ascii="Cambria" w:eastAsia="MS Mincho" w:hAnsi="Cambria"/>
                <w:b/>
                <w:szCs w:val="20"/>
                <w:lang w:val="en-GB" w:eastAsia="ja-JP"/>
              </w:rPr>
              <w:t xml:space="preserve">QUESTION 2: What are the Potential Social and Environmental Risks? </w:t>
            </w:r>
          </w:p>
          <w:p w:rsidR="005D1710" w:rsidRPr="00F737AD" w:rsidRDefault="005D1710" w:rsidP="00F737AD">
            <w:pPr>
              <w:keepNext/>
              <w:tabs>
                <w:tab w:val="left" w:pos="101"/>
              </w:tabs>
              <w:spacing w:after="0"/>
              <w:ind w:right="252" w:firstLine="11"/>
              <w:jc w:val="left"/>
              <w:rPr>
                <w:rFonts w:ascii="Cambria" w:eastAsia="MS Mincho" w:hAnsi="Cambria"/>
                <w:b/>
                <w:sz w:val="24"/>
                <w:szCs w:val="20"/>
                <w:lang w:val="en-GB" w:eastAsia="ja-JP"/>
              </w:rPr>
            </w:pPr>
            <w:r w:rsidRPr="00F737AD">
              <w:rPr>
                <w:rFonts w:ascii="Cambria" w:eastAsia="MS Mincho" w:hAnsi="Cambria"/>
                <w:i/>
                <w:sz w:val="18"/>
                <w:szCs w:val="18"/>
                <w:lang w:val="en-GB" w:eastAsia="ja-JP"/>
              </w:rPr>
              <w:t xml:space="preserve">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w:t>
            </w:r>
            <w:r w:rsidRPr="00F737AD">
              <w:rPr>
                <w:rFonts w:ascii="Cambria" w:eastAsia="MS Mincho" w:hAnsi="Cambria"/>
                <w:i/>
                <w:noProof/>
                <w:sz w:val="18"/>
                <w:szCs w:val="18"/>
                <w:lang w:val="en-GB" w:eastAsia="ja-JP"/>
              </w:rPr>
              <w:t>Low Risk</w:t>
            </w:r>
            <w:r w:rsidRPr="00F737AD">
              <w:rPr>
                <w:rFonts w:ascii="Cambria" w:eastAsia="MS Mincho" w:hAnsi="Cambria"/>
                <w:i/>
                <w:sz w:val="18"/>
                <w:szCs w:val="18"/>
                <w:lang w:val="en-GB" w:eastAsia="ja-JP"/>
              </w:rPr>
              <w:t xml:space="preserve"> Projects.</w:t>
            </w:r>
          </w:p>
        </w:tc>
        <w:tc>
          <w:tcPr>
            <w:tcW w:w="5778" w:type="dxa"/>
            <w:gridSpan w:val="5"/>
            <w:shd w:val="clear" w:color="auto" w:fill="0F243E"/>
          </w:tcPr>
          <w:p w:rsidR="005D1710" w:rsidRPr="00F737AD" w:rsidRDefault="005D1710" w:rsidP="00F737AD">
            <w:pPr>
              <w:keepNext/>
              <w:tabs>
                <w:tab w:val="left" w:pos="101"/>
              </w:tabs>
              <w:spacing w:after="0"/>
              <w:ind w:right="252" w:firstLine="11"/>
              <w:jc w:val="left"/>
              <w:rPr>
                <w:rFonts w:ascii="Cambria" w:eastAsia="MS Mincho" w:hAnsi="Cambria"/>
                <w:b/>
                <w:szCs w:val="20"/>
                <w:lang w:val="en-GB" w:eastAsia="ja-JP"/>
              </w:rPr>
            </w:pPr>
            <w:r w:rsidRPr="00F737AD">
              <w:rPr>
                <w:rFonts w:ascii="Cambria" w:eastAsia="MS Mincho" w:hAnsi="Cambria"/>
                <w:b/>
                <w:szCs w:val="20"/>
                <w:lang w:val="en-GB" w:eastAsia="ja-JP"/>
              </w:rPr>
              <w:t>QUESTION 3: What is the level of significance of the potential social and environmental risks?</w:t>
            </w:r>
          </w:p>
          <w:p w:rsidR="005D1710" w:rsidRPr="00F737AD" w:rsidRDefault="005D1710" w:rsidP="00F737AD">
            <w:pPr>
              <w:keepNext/>
              <w:tabs>
                <w:tab w:val="left" w:pos="432"/>
              </w:tabs>
              <w:spacing w:after="0"/>
              <w:jc w:val="left"/>
              <w:rPr>
                <w:rFonts w:ascii="Cambria" w:eastAsia="MS Mincho" w:hAnsi="Cambria"/>
                <w:b/>
                <w:szCs w:val="20"/>
                <w:lang w:val="en-GB" w:eastAsia="ja-JP"/>
              </w:rPr>
            </w:pPr>
            <w:r w:rsidRPr="00F737AD">
              <w:rPr>
                <w:rFonts w:ascii="Cambria" w:eastAsia="MS Mincho" w:hAnsi="Cambria"/>
                <w:i/>
                <w:szCs w:val="20"/>
                <w:lang w:val="en-GB" w:eastAsia="ja-JP"/>
              </w:rPr>
              <w:t>Note: Respond to Questions 4 and 5 below before proceeding to Question 6</w:t>
            </w:r>
          </w:p>
        </w:tc>
        <w:tc>
          <w:tcPr>
            <w:tcW w:w="3847" w:type="dxa"/>
            <w:gridSpan w:val="2"/>
            <w:shd w:val="clear" w:color="auto" w:fill="0F243E"/>
          </w:tcPr>
          <w:p w:rsidR="005D1710" w:rsidRPr="00F737AD" w:rsidRDefault="005D1710" w:rsidP="00F737AD">
            <w:pPr>
              <w:keepNext/>
              <w:tabs>
                <w:tab w:val="left" w:pos="432"/>
              </w:tabs>
              <w:spacing w:after="0"/>
              <w:jc w:val="left"/>
              <w:rPr>
                <w:rFonts w:ascii="Cambria" w:eastAsia="MS Mincho" w:hAnsi="Cambria"/>
                <w:b/>
                <w:szCs w:val="20"/>
                <w:lang w:val="en-GB" w:eastAsia="ja-JP"/>
              </w:rPr>
            </w:pPr>
            <w:r w:rsidRPr="00F737AD">
              <w:rPr>
                <w:rFonts w:ascii="Cambria" w:eastAsia="MS Mincho" w:hAnsi="Cambria"/>
                <w:b/>
                <w:szCs w:val="20"/>
                <w:lang w:val="en-GB" w:eastAsia="ja-JP"/>
              </w:rPr>
              <w:t>QUESTION 6: What social and environmental assessment and management measures have been conducted and/or are required to address potential risks (for Risks with Moderate and High Significance)?</w:t>
            </w:r>
          </w:p>
        </w:tc>
      </w:tr>
      <w:tr w:rsidR="005D1710" w:rsidRPr="0057545E" w:rsidTr="00F737AD">
        <w:tc>
          <w:tcPr>
            <w:tcW w:w="3515" w:type="dxa"/>
            <w:tcBorders>
              <w:bottom w:val="single" w:sz="4" w:space="0" w:color="auto"/>
            </w:tcBorders>
            <w:shd w:val="clear" w:color="auto" w:fill="C6D9F1"/>
          </w:tcPr>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Risk Description</w:t>
            </w:r>
          </w:p>
        </w:tc>
        <w:tc>
          <w:tcPr>
            <w:tcW w:w="1075" w:type="dxa"/>
            <w:tcBorders>
              <w:bottom w:val="single" w:sz="4" w:space="0" w:color="auto"/>
            </w:tcBorders>
            <w:shd w:val="clear" w:color="auto" w:fill="C6D9F1"/>
          </w:tcPr>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 xml:space="preserve">Impact and </w:t>
            </w:r>
            <w:proofErr w:type="gramStart"/>
            <w:r w:rsidRPr="00F737AD">
              <w:rPr>
                <w:rFonts w:ascii="Cambria" w:eastAsia="MS Mincho" w:hAnsi="Cambria"/>
                <w:b/>
                <w:i/>
                <w:sz w:val="18"/>
                <w:szCs w:val="18"/>
                <w:lang w:val="en-GB" w:eastAsia="ja-JP"/>
              </w:rPr>
              <w:t>Probability  (</w:t>
            </w:r>
            <w:proofErr w:type="gramEnd"/>
            <w:r w:rsidRPr="00F737AD">
              <w:rPr>
                <w:rFonts w:ascii="Cambria" w:eastAsia="MS Mincho" w:hAnsi="Cambria"/>
                <w:b/>
                <w:i/>
                <w:sz w:val="18"/>
                <w:szCs w:val="18"/>
                <w:lang w:val="en-GB" w:eastAsia="ja-JP"/>
              </w:rPr>
              <w:t>1-5)</w:t>
            </w:r>
          </w:p>
        </w:tc>
        <w:tc>
          <w:tcPr>
            <w:tcW w:w="1222" w:type="dxa"/>
            <w:gridSpan w:val="2"/>
            <w:tcBorders>
              <w:bottom w:val="single" w:sz="4" w:space="0" w:color="auto"/>
            </w:tcBorders>
            <w:shd w:val="clear" w:color="auto" w:fill="C6D9F1"/>
          </w:tcPr>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Significance</w:t>
            </w:r>
          </w:p>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(Low, Moderate, High)</w:t>
            </w:r>
          </w:p>
        </w:tc>
        <w:tc>
          <w:tcPr>
            <w:tcW w:w="3481" w:type="dxa"/>
            <w:gridSpan w:val="2"/>
            <w:tcBorders>
              <w:bottom w:val="single" w:sz="4" w:space="0" w:color="auto"/>
            </w:tcBorders>
            <w:shd w:val="clear" w:color="auto" w:fill="C6D9F1"/>
          </w:tcPr>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Comments</w:t>
            </w:r>
          </w:p>
        </w:tc>
        <w:tc>
          <w:tcPr>
            <w:tcW w:w="3847" w:type="dxa"/>
            <w:gridSpan w:val="2"/>
            <w:tcBorders>
              <w:bottom w:val="single" w:sz="4" w:space="0" w:color="auto"/>
            </w:tcBorders>
            <w:shd w:val="clear" w:color="auto" w:fill="C6D9F1"/>
          </w:tcPr>
          <w:p w:rsidR="005D1710" w:rsidRPr="00F737AD" w:rsidRDefault="005D1710" w:rsidP="00F737AD">
            <w:pPr>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Description of assessment and management measures as reflected in the Project design.  If ESIA or SESA is required note that the assessment should consider all potential impacts and risks.</w:t>
            </w:r>
          </w:p>
        </w:tc>
      </w:tr>
      <w:tr w:rsidR="005D1710" w:rsidRPr="0057545E" w:rsidTr="00F737AD">
        <w:tc>
          <w:tcPr>
            <w:tcW w:w="3515" w:type="dxa"/>
            <w:shd w:val="clear" w:color="auto" w:fill="auto"/>
          </w:tcPr>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Risk 1:  </w:t>
            </w:r>
            <w:r w:rsidR="00893AC6" w:rsidRPr="00F737AD">
              <w:rPr>
                <w:rFonts w:ascii="Cambria" w:eastAsia="MS Mincho" w:hAnsi="Cambria"/>
                <w:sz w:val="18"/>
                <w:szCs w:val="18"/>
                <w:lang w:val="en-GB" w:eastAsia="ja-JP"/>
              </w:rPr>
              <w:t>Low-level participation by municipalities and resistance from consumers</w:t>
            </w:r>
            <w:r w:rsidR="00893AC6" w:rsidRPr="00F737AD">
              <w:rPr>
                <w:rFonts w:ascii="Cambria" w:eastAsia="MS Mincho" w:hAnsi="Cambria"/>
                <w:sz w:val="24"/>
                <w:lang w:val="en-GB"/>
              </w:rPr>
              <w:t xml:space="preserve"> </w:t>
            </w:r>
            <w:r w:rsidR="00893AC6" w:rsidRPr="00F737AD">
              <w:rPr>
                <w:rFonts w:ascii="Cambria" w:eastAsia="MS Mincho" w:hAnsi="Cambria"/>
                <w:sz w:val="18"/>
                <w:szCs w:val="18"/>
                <w:lang w:val="en-GB" w:eastAsia="ja-JP"/>
              </w:rPr>
              <w:t xml:space="preserve">as well as low-level participation by the private sector actors including ESCOs, manufacturers </w:t>
            </w:r>
            <w:r w:rsidR="00893AC6" w:rsidRPr="00F737AD">
              <w:rPr>
                <w:rFonts w:ascii="Cambria" w:eastAsia="MS Mincho" w:hAnsi="Cambria"/>
                <w:noProof/>
                <w:sz w:val="18"/>
                <w:szCs w:val="18"/>
                <w:lang w:val="en-GB" w:eastAsia="ja-JP"/>
              </w:rPr>
              <w:t>and</w:t>
            </w:r>
            <w:r w:rsidR="00893AC6" w:rsidRPr="00F737AD">
              <w:rPr>
                <w:rFonts w:ascii="Cambria" w:eastAsia="MS Mincho" w:hAnsi="Cambria"/>
                <w:sz w:val="18"/>
                <w:szCs w:val="18"/>
                <w:lang w:val="en-GB" w:eastAsia="ja-JP"/>
              </w:rPr>
              <w:t xml:space="preserve"> distributors</w:t>
            </w:r>
          </w:p>
          <w:p w:rsidR="005D1710" w:rsidRPr="00F737AD" w:rsidRDefault="005D1710" w:rsidP="00F737AD">
            <w:pPr>
              <w:spacing w:after="0"/>
              <w:jc w:val="left"/>
              <w:rPr>
                <w:rFonts w:ascii="Cambria" w:eastAsia="MS Mincho" w:hAnsi="Cambria"/>
                <w:sz w:val="18"/>
                <w:szCs w:val="18"/>
                <w:lang w:val="en-GB" w:eastAsia="ja-JP"/>
              </w:rPr>
            </w:pPr>
          </w:p>
        </w:tc>
        <w:tc>
          <w:tcPr>
            <w:tcW w:w="1075" w:type="dxa"/>
            <w:shd w:val="clear" w:color="auto" w:fill="auto"/>
          </w:tcPr>
          <w:p w:rsidR="005D1710" w:rsidRPr="00F737AD" w:rsidRDefault="005D1710" w:rsidP="00F737AD">
            <w:pPr>
              <w:spacing w:after="0"/>
              <w:jc w:val="left"/>
              <w:rPr>
                <w:rFonts w:ascii="Cambria" w:eastAsia="MS Mincho" w:hAnsi="Cambria" w:cs="Minion Pro"/>
                <w:sz w:val="18"/>
                <w:szCs w:val="18"/>
                <w:lang w:val="en-GB" w:eastAsia="ja-JP"/>
              </w:rPr>
            </w:pPr>
            <w:r w:rsidRPr="00F737AD">
              <w:rPr>
                <w:rFonts w:ascii="Cambria" w:eastAsia="MS Mincho" w:hAnsi="Cambria" w:cs="Minion Pro"/>
                <w:sz w:val="18"/>
                <w:szCs w:val="18"/>
                <w:lang w:val="en-GB" w:eastAsia="ja-JP"/>
              </w:rPr>
              <w:t>I = 2</w:t>
            </w:r>
          </w:p>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cs="Minion Pro"/>
                <w:sz w:val="18"/>
                <w:szCs w:val="18"/>
                <w:lang w:val="en-GB" w:eastAsia="ja-JP"/>
              </w:rPr>
              <w:t xml:space="preserve">P = </w:t>
            </w:r>
            <w:r w:rsidR="00893AC6" w:rsidRPr="00F737AD">
              <w:rPr>
                <w:rFonts w:ascii="Cambria" w:eastAsia="MS Mincho" w:hAnsi="Cambria" w:cs="Minion Pro"/>
                <w:sz w:val="18"/>
                <w:szCs w:val="18"/>
                <w:lang w:val="en-GB" w:eastAsia="ja-JP"/>
              </w:rPr>
              <w:t>2</w:t>
            </w:r>
          </w:p>
        </w:tc>
        <w:tc>
          <w:tcPr>
            <w:tcW w:w="1170" w:type="dxa"/>
            <w:shd w:val="clear" w:color="auto" w:fill="auto"/>
          </w:tcPr>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b/>
                <w:sz w:val="18"/>
                <w:szCs w:val="18"/>
                <w:lang w:val="en-GB" w:eastAsia="ja-JP"/>
              </w:rPr>
              <w:t>Low</w:t>
            </w:r>
          </w:p>
        </w:tc>
        <w:tc>
          <w:tcPr>
            <w:tcW w:w="3533" w:type="dxa"/>
            <w:gridSpan w:val="3"/>
            <w:shd w:val="clear" w:color="auto" w:fill="auto"/>
          </w:tcPr>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Items 3.2 (risks from hazardous material), 7.1 (potential release of pollutants) and 7.2 (generation of waste) in the SESP checklist show a “no” response but refer to this section for elaboration.</w:t>
            </w:r>
          </w:p>
          <w:p w:rsidR="005D1710" w:rsidRPr="00F737AD" w:rsidRDefault="005D1710" w:rsidP="00F737AD">
            <w:pPr>
              <w:spacing w:after="0"/>
              <w:jc w:val="left"/>
              <w:rPr>
                <w:rFonts w:ascii="Cambria" w:eastAsia="MS Mincho" w:hAnsi="Cambria"/>
                <w:sz w:val="18"/>
                <w:szCs w:val="18"/>
                <w:lang w:val="en-GB" w:eastAsia="ja-JP"/>
              </w:rPr>
            </w:pPr>
          </w:p>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Note that this risk involves acceleration</w:t>
            </w:r>
            <w:r w:rsidRPr="00F737AD">
              <w:rPr>
                <w:rFonts w:ascii="Cambria" w:eastAsia="MS Mincho" w:hAnsi="Cambria"/>
                <w:b/>
                <w:sz w:val="18"/>
                <w:szCs w:val="18"/>
                <w:lang w:val="en-GB" w:eastAsia="ja-JP"/>
              </w:rPr>
              <w:t xml:space="preserve"> </w:t>
            </w:r>
            <w:r w:rsidRPr="00F737AD">
              <w:rPr>
                <w:rFonts w:ascii="Cambria" w:eastAsia="MS Mincho" w:hAnsi="Cambria"/>
                <w:sz w:val="18"/>
                <w:szCs w:val="18"/>
                <w:lang w:val="en-GB" w:eastAsia="ja-JP"/>
              </w:rPr>
              <w:t xml:space="preserve">of the creation of waste, but not the generation of new waste, as all existing electronic equipment is destined for decommissioning and disposition sooner or later.  Because of ongoing policy and program efforts of the Government, with added support from the project, it is </w:t>
            </w:r>
            <w:r w:rsidRPr="00F737AD">
              <w:rPr>
                <w:rFonts w:ascii="Cambria" w:eastAsia="MS Mincho" w:hAnsi="Cambria"/>
                <w:sz w:val="18"/>
                <w:szCs w:val="18"/>
                <w:lang w:val="en-GB" w:eastAsia="ja-JP"/>
              </w:rPr>
              <w:lastRenderedPageBreak/>
              <w:t>anticipated that even with a short-term expansion in the volume of spent appliances, the project will lead to a reduction, not an expansion, of risk from waste, pollution, and hazardous substances.  See the entry in the next column.</w:t>
            </w:r>
          </w:p>
        </w:tc>
        <w:tc>
          <w:tcPr>
            <w:tcW w:w="3847" w:type="dxa"/>
            <w:gridSpan w:val="2"/>
            <w:shd w:val="clear" w:color="auto" w:fill="auto"/>
          </w:tcPr>
          <w:p w:rsidR="005D1710" w:rsidRPr="00F737AD" w:rsidRDefault="00893AC6"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lastRenderedPageBreak/>
              <w:t xml:space="preserve">Broad inclusiveness of stakeholders in development, review, and comment regarding new energy standards will help to retain this consensus by involving the private sector key players from the project design stage in the action formulation (Component 1). Among domestic manufacturers, technical support for compliance </w:t>
            </w:r>
            <w:r w:rsidR="00DD0EE8" w:rsidRPr="00F737AD">
              <w:rPr>
                <w:rFonts w:ascii="Cambria" w:eastAsia="MS Mincho" w:hAnsi="Cambria"/>
                <w:sz w:val="18"/>
                <w:szCs w:val="18"/>
                <w:lang w:val="en-GB" w:eastAsia="ja-JP"/>
              </w:rPr>
              <w:t>will</w:t>
            </w:r>
            <w:r w:rsidRPr="00F737AD">
              <w:rPr>
                <w:rFonts w:ascii="Cambria" w:eastAsia="MS Mincho" w:hAnsi="Cambria"/>
                <w:sz w:val="18"/>
                <w:szCs w:val="18"/>
                <w:lang w:val="en-GB" w:eastAsia="ja-JP"/>
              </w:rPr>
              <w:t xml:space="preserve"> also help to reduce resistance, as well as the effective communication to manufacturers and suppliers about the benefits and economic opportunities to be gained from </w:t>
            </w:r>
            <w:r w:rsidRPr="00F737AD">
              <w:rPr>
                <w:rFonts w:ascii="Cambria" w:eastAsia="MS Mincho" w:hAnsi="Cambria"/>
                <w:noProof/>
                <w:sz w:val="18"/>
                <w:szCs w:val="18"/>
                <w:lang w:val="en-GB" w:eastAsia="ja-JP"/>
              </w:rPr>
              <w:t>supply</w:t>
            </w:r>
            <w:r w:rsidR="00FB2439" w:rsidRPr="00F737AD">
              <w:rPr>
                <w:rFonts w:ascii="Cambria" w:eastAsia="MS Mincho" w:hAnsi="Cambria"/>
                <w:sz w:val="18"/>
                <w:szCs w:val="18"/>
                <w:lang w:val="en-GB" w:eastAsia="ja-JP"/>
              </w:rPr>
              <w:t xml:space="preserve">ing </w:t>
            </w:r>
            <w:r w:rsidRPr="00F737AD">
              <w:rPr>
                <w:rFonts w:ascii="Cambria" w:eastAsia="MS Mincho" w:hAnsi="Cambria"/>
                <w:sz w:val="18"/>
                <w:szCs w:val="18"/>
                <w:lang w:val="en-GB" w:eastAsia="ja-JP"/>
              </w:rPr>
              <w:t>LED lighting and high-efficiency transformers.</w:t>
            </w:r>
          </w:p>
          <w:p w:rsidR="00893AC6" w:rsidRPr="00F737AD" w:rsidRDefault="00893AC6" w:rsidP="00F737AD">
            <w:pPr>
              <w:spacing w:after="0"/>
              <w:jc w:val="left"/>
              <w:rPr>
                <w:rFonts w:ascii="Cambria" w:eastAsia="MS Mincho" w:hAnsi="Cambria"/>
                <w:sz w:val="18"/>
                <w:szCs w:val="18"/>
                <w:lang w:val="en-GB" w:eastAsia="ja-JP"/>
              </w:rPr>
            </w:pPr>
          </w:p>
          <w:p w:rsidR="00893AC6" w:rsidRPr="00F737AD" w:rsidRDefault="00893AC6"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lastRenderedPageBreak/>
              <w:t>Building on Eskom’s IDM efforts, awareness creation will help to reduce confusion, social burdens on the consumer side and communicate the benefits of LED lighting. Capacity technical and financial support within Component 3 will overcome political opposition and institutional barriers (e.g. lack of resources and skills) at the municipal level.</w:t>
            </w:r>
          </w:p>
          <w:p w:rsidR="00893AC6" w:rsidRPr="00F737AD" w:rsidRDefault="00893AC6" w:rsidP="00F737AD">
            <w:pPr>
              <w:spacing w:after="0"/>
              <w:jc w:val="left"/>
              <w:rPr>
                <w:rFonts w:ascii="Cambria" w:eastAsia="MS Mincho" w:hAnsi="Cambria"/>
                <w:sz w:val="18"/>
                <w:szCs w:val="18"/>
                <w:lang w:val="en-GB" w:eastAsia="ja-JP"/>
              </w:rPr>
            </w:pPr>
          </w:p>
        </w:tc>
      </w:tr>
      <w:tr w:rsidR="005D1710" w:rsidRPr="0057545E" w:rsidTr="00F737AD">
        <w:tc>
          <w:tcPr>
            <w:tcW w:w="3515" w:type="dxa"/>
            <w:shd w:val="clear" w:color="auto" w:fill="auto"/>
          </w:tcPr>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lastRenderedPageBreak/>
              <w:t xml:space="preserve">Risk 2: </w:t>
            </w:r>
            <w:r w:rsidR="000F4BD8" w:rsidRPr="00F737AD">
              <w:rPr>
                <w:rFonts w:ascii="Cambria" w:eastAsia="MS Mincho" w:hAnsi="Cambria" w:cs="Arial"/>
                <w:sz w:val="18"/>
                <w:szCs w:val="18"/>
                <w:lang w:val="en-GB" w:eastAsia="ja-JP"/>
              </w:rPr>
              <w:t>Hazardous substances (mercury, PCBs, etc) in existing and/or new products are not properly handled during production, lifetime and end of life</w:t>
            </w:r>
          </w:p>
        </w:tc>
        <w:tc>
          <w:tcPr>
            <w:tcW w:w="1075" w:type="dxa"/>
            <w:shd w:val="clear" w:color="auto" w:fill="auto"/>
          </w:tcPr>
          <w:p w:rsidR="005D1710" w:rsidRPr="00F737AD" w:rsidRDefault="005D1710" w:rsidP="00F737AD">
            <w:pPr>
              <w:spacing w:after="0"/>
              <w:jc w:val="left"/>
              <w:rPr>
                <w:rFonts w:ascii="Cambria" w:eastAsia="MS Mincho" w:hAnsi="Cambria" w:cs="Minion Pro"/>
                <w:sz w:val="18"/>
                <w:szCs w:val="18"/>
                <w:lang w:val="en-GB" w:eastAsia="ja-JP"/>
              </w:rPr>
            </w:pPr>
            <w:r w:rsidRPr="00F737AD">
              <w:rPr>
                <w:rFonts w:ascii="Cambria" w:eastAsia="MS Mincho" w:hAnsi="Cambria" w:cs="Minion Pro"/>
                <w:sz w:val="18"/>
                <w:szCs w:val="18"/>
                <w:lang w:val="en-GB" w:eastAsia="ja-JP"/>
              </w:rPr>
              <w:t xml:space="preserve">I = </w:t>
            </w:r>
            <w:r w:rsidR="00AE3D88" w:rsidRPr="00F737AD">
              <w:rPr>
                <w:rFonts w:ascii="Cambria" w:eastAsia="MS Mincho" w:hAnsi="Cambria" w:cs="Minion Pro"/>
                <w:sz w:val="18"/>
                <w:szCs w:val="18"/>
                <w:lang w:val="en-GB" w:eastAsia="ja-JP"/>
              </w:rPr>
              <w:t>1</w:t>
            </w:r>
          </w:p>
          <w:p w:rsidR="005D1710" w:rsidRPr="00F737AD" w:rsidRDefault="005D1710" w:rsidP="00F737AD">
            <w:pPr>
              <w:spacing w:after="0"/>
              <w:jc w:val="left"/>
              <w:rPr>
                <w:rFonts w:ascii="Cambria" w:eastAsia="MS Mincho" w:hAnsi="Cambria" w:cs="Minion Pro"/>
                <w:sz w:val="18"/>
                <w:szCs w:val="18"/>
                <w:lang w:val="en-GB" w:eastAsia="ja-JP"/>
              </w:rPr>
            </w:pPr>
            <w:r w:rsidRPr="00F737AD">
              <w:rPr>
                <w:rFonts w:ascii="Cambria" w:eastAsia="MS Mincho" w:hAnsi="Cambria" w:cs="Minion Pro"/>
                <w:sz w:val="18"/>
                <w:szCs w:val="18"/>
                <w:lang w:val="en-GB" w:eastAsia="ja-JP"/>
              </w:rPr>
              <w:t xml:space="preserve">P = </w:t>
            </w:r>
            <w:r w:rsidR="00AE3D88" w:rsidRPr="00F737AD">
              <w:rPr>
                <w:rFonts w:ascii="Cambria" w:eastAsia="MS Mincho" w:hAnsi="Cambria" w:cs="Minion Pro"/>
                <w:sz w:val="18"/>
                <w:szCs w:val="18"/>
                <w:lang w:val="en-GB" w:eastAsia="ja-JP"/>
              </w:rPr>
              <w:t>2</w:t>
            </w:r>
          </w:p>
        </w:tc>
        <w:tc>
          <w:tcPr>
            <w:tcW w:w="1170" w:type="dxa"/>
            <w:shd w:val="clear" w:color="auto" w:fill="auto"/>
          </w:tcPr>
          <w:p w:rsidR="005D1710" w:rsidRPr="00F737AD" w:rsidRDefault="005D1710" w:rsidP="00F737AD">
            <w:pPr>
              <w:spacing w:after="0"/>
              <w:jc w:val="left"/>
              <w:rPr>
                <w:rFonts w:ascii="Cambria" w:eastAsia="MS Mincho" w:hAnsi="Cambria"/>
                <w:b/>
                <w:sz w:val="18"/>
                <w:szCs w:val="18"/>
                <w:lang w:val="en-GB" w:eastAsia="ja-JP"/>
              </w:rPr>
            </w:pPr>
            <w:r w:rsidRPr="00F737AD">
              <w:rPr>
                <w:rFonts w:ascii="Cambria" w:eastAsia="MS Mincho" w:hAnsi="Cambria"/>
                <w:b/>
                <w:sz w:val="18"/>
                <w:szCs w:val="18"/>
                <w:lang w:val="en-GB" w:eastAsia="ja-JP"/>
              </w:rPr>
              <w:t>Low</w:t>
            </w:r>
          </w:p>
        </w:tc>
        <w:tc>
          <w:tcPr>
            <w:tcW w:w="3533" w:type="dxa"/>
            <w:gridSpan w:val="3"/>
            <w:shd w:val="clear" w:color="auto" w:fill="auto"/>
          </w:tcPr>
          <w:p w:rsidR="005D1710" w:rsidRPr="00F737AD" w:rsidRDefault="00893AC6"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Note that this risk involves acceleration of the creation of waste, but not the generation of new waste, as all existing electronic equipment is destined for decommissioning and disposition sooner or later.  Even with a more rapid replacement </w:t>
            </w:r>
            <w:r w:rsidRPr="00F737AD">
              <w:rPr>
                <w:rFonts w:ascii="Cambria" w:eastAsia="MS Mincho" w:hAnsi="Cambria"/>
                <w:noProof/>
                <w:sz w:val="18"/>
                <w:szCs w:val="18"/>
                <w:lang w:val="en-GB" w:eastAsia="ja-JP"/>
              </w:rPr>
              <w:t>of of</w:t>
            </w:r>
            <w:r w:rsidRPr="00F737AD">
              <w:rPr>
                <w:rFonts w:ascii="Cambria" w:eastAsia="MS Mincho" w:hAnsi="Cambria"/>
                <w:sz w:val="18"/>
                <w:szCs w:val="18"/>
                <w:lang w:val="en-GB" w:eastAsia="ja-JP"/>
              </w:rPr>
              <w:t xml:space="preserve"> CFLs (and </w:t>
            </w:r>
            <w:r w:rsidRPr="00F737AD">
              <w:rPr>
                <w:rFonts w:ascii="Cambria" w:eastAsia="MS Mincho" w:hAnsi="Cambria"/>
                <w:noProof/>
                <w:sz w:val="18"/>
                <w:szCs w:val="18"/>
                <w:lang w:val="en-GB" w:eastAsia="ja-JP"/>
              </w:rPr>
              <w:t>other fluorescent</w:t>
            </w:r>
            <w:r w:rsidRPr="00F737AD">
              <w:rPr>
                <w:rFonts w:ascii="Cambria" w:eastAsia="MS Mincho" w:hAnsi="Cambria"/>
                <w:sz w:val="18"/>
                <w:szCs w:val="18"/>
                <w:lang w:val="en-GB" w:eastAsia="ja-JP"/>
              </w:rPr>
              <w:t xml:space="preserve">, HID lamps) by LEDs in the short run, the project will lead to a reduction, not an expansion, of risk from waste, pollution, and hazardous substances.  See the entry in the next column.  The same applies to transformers. </w:t>
            </w:r>
          </w:p>
        </w:tc>
        <w:tc>
          <w:tcPr>
            <w:tcW w:w="3847" w:type="dxa"/>
            <w:gridSpan w:val="2"/>
            <w:shd w:val="clear" w:color="auto" w:fill="auto"/>
          </w:tcPr>
          <w:p w:rsidR="005D1710" w:rsidRPr="00F737AD" w:rsidRDefault="00893AC6"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Already the Government addresses </w:t>
            </w:r>
            <w:r w:rsidRPr="00F737AD">
              <w:rPr>
                <w:rFonts w:ascii="Cambria" w:eastAsia="MS Mincho" w:hAnsi="Cambria"/>
                <w:noProof/>
                <w:sz w:val="18"/>
                <w:szCs w:val="18"/>
                <w:lang w:val="en-GB" w:eastAsia="ja-JP"/>
              </w:rPr>
              <w:t>collection</w:t>
            </w:r>
            <w:r w:rsidRPr="00F737AD">
              <w:rPr>
                <w:rFonts w:ascii="Cambria" w:eastAsia="MS Mincho" w:hAnsi="Cambria"/>
                <w:sz w:val="18"/>
                <w:szCs w:val="18"/>
                <w:lang w:val="en-GB" w:eastAsia="ja-JP"/>
              </w:rPr>
              <w:t xml:space="preserve">, handling, and disposition of electronic waste in </w:t>
            </w:r>
            <w:r w:rsidRPr="00F737AD">
              <w:rPr>
                <w:rFonts w:ascii="Cambria" w:eastAsia="MS Mincho" w:hAnsi="Cambria"/>
                <w:noProof/>
                <w:sz w:val="18"/>
                <w:szCs w:val="18"/>
                <w:lang w:val="en-GB" w:eastAsia="ja-JP"/>
              </w:rPr>
              <w:t>policy</w:t>
            </w:r>
            <w:r w:rsidR="00FB2439" w:rsidRPr="00F737AD">
              <w:rPr>
                <w:rFonts w:ascii="Cambria" w:eastAsia="MS Mincho" w:hAnsi="Cambria"/>
                <w:noProof/>
                <w:sz w:val="18"/>
                <w:szCs w:val="18"/>
                <w:lang w:val="en-GB" w:eastAsia="ja-JP"/>
              </w:rPr>
              <w:t>-</w:t>
            </w:r>
            <w:r w:rsidRPr="00F737AD">
              <w:rPr>
                <w:rFonts w:ascii="Cambria" w:eastAsia="MS Mincho" w:hAnsi="Cambria"/>
                <w:noProof/>
                <w:sz w:val="18"/>
                <w:szCs w:val="18"/>
                <w:lang w:val="en-GB" w:eastAsia="ja-JP"/>
              </w:rPr>
              <w:t>making</w:t>
            </w:r>
            <w:r w:rsidRPr="00F737AD">
              <w:rPr>
                <w:rFonts w:ascii="Cambria" w:eastAsia="MS Mincho" w:hAnsi="Cambria"/>
                <w:sz w:val="18"/>
                <w:szCs w:val="18"/>
                <w:lang w:val="en-GB" w:eastAsia="ja-JP"/>
              </w:rPr>
              <w:t xml:space="preserve">. Awareness creation and training will be carried out both policymakers and practitioners on proper handling substances (e.g. lamp disposal and mercury recovery) are an integral part of Component 4 of the Project. The issue of PCB in oil-filled transformers is dealt separately </w:t>
            </w:r>
            <w:r w:rsidRPr="00F737AD">
              <w:rPr>
                <w:rFonts w:ascii="Cambria" w:eastAsia="MS Mincho" w:hAnsi="Cambria"/>
                <w:noProof/>
                <w:sz w:val="18"/>
                <w:szCs w:val="18"/>
                <w:lang w:val="en-GB" w:eastAsia="ja-JP"/>
              </w:rPr>
              <w:t>with in</w:t>
            </w:r>
            <w:r w:rsidRPr="00F737AD">
              <w:rPr>
                <w:rFonts w:ascii="Cambria" w:eastAsia="MS Mincho" w:hAnsi="Cambria"/>
                <w:sz w:val="18"/>
                <w:szCs w:val="18"/>
                <w:lang w:val="en-GB" w:eastAsia="ja-JP"/>
              </w:rPr>
              <w:t xml:space="preserve"> a proposed DBSA-implemented project on PCB-contaminated oil</w:t>
            </w:r>
            <w:r w:rsidR="00DD0EE8" w:rsidRPr="00F737AD">
              <w:rPr>
                <w:rFonts w:ascii="Cambria" w:eastAsia="MS Mincho" w:hAnsi="Cambria"/>
                <w:sz w:val="18"/>
                <w:szCs w:val="18"/>
                <w:lang w:val="en-GB" w:eastAsia="ja-JP"/>
              </w:rPr>
              <w:t>.</w:t>
            </w:r>
          </w:p>
        </w:tc>
      </w:tr>
      <w:tr w:rsidR="005D1710" w:rsidRPr="0057545E" w:rsidTr="00F737AD">
        <w:trPr>
          <w:trHeight w:val="593"/>
        </w:trPr>
        <w:tc>
          <w:tcPr>
            <w:tcW w:w="3515" w:type="dxa"/>
            <w:vMerge w:val="restart"/>
            <w:shd w:val="clear" w:color="auto" w:fill="auto"/>
          </w:tcPr>
          <w:p w:rsidR="000E010C" w:rsidRPr="00F737AD" w:rsidRDefault="000E010C" w:rsidP="00F737AD">
            <w:pPr>
              <w:spacing w:after="0"/>
              <w:jc w:val="left"/>
              <w:rPr>
                <w:rFonts w:ascii="Cambria" w:eastAsia="MS Mincho" w:hAnsi="Cambria"/>
                <w:b/>
                <w:noProof/>
                <w:sz w:val="24"/>
                <w:szCs w:val="20"/>
                <w:lang w:val="en-GB" w:eastAsia="ja-JP"/>
              </w:rPr>
            </w:pPr>
            <w:r w:rsidRPr="00F737AD">
              <w:rPr>
                <w:rFonts w:ascii="Cambria" w:eastAsia="MS Mincho" w:hAnsi="Cambria"/>
                <w:b/>
                <w:i/>
                <w:noProof/>
                <w:sz w:val="24"/>
                <w:szCs w:val="20"/>
                <w:lang w:val="en-GB" w:eastAsia="ja-JP"/>
              </w:rPr>
              <w:t>Significance:</w:t>
            </w:r>
          </w:p>
          <w:p w:rsidR="000E010C" w:rsidRPr="00F737AD" w:rsidRDefault="003A2690" w:rsidP="00F737AD">
            <w:pPr>
              <w:spacing w:after="0"/>
              <w:jc w:val="left"/>
              <w:rPr>
                <w:rFonts w:ascii="Cambria" w:eastAsia="MS Mincho" w:hAnsi="Cambria"/>
                <w:b/>
                <w:sz w:val="24"/>
                <w:szCs w:val="20"/>
                <w:lang w:val="en-GB" w:eastAsia="ja-JP"/>
              </w:rPr>
            </w:pPr>
            <w:r w:rsidRPr="00F737AD">
              <w:rPr>
                <w:rFonts w:ascii="Cambria" w:eastAsia="MS Mincho" w:hAnsi="Cambria"/>
                <w:b/>
                <w:noProof/>
                <w:sz w:val="24"/>
                <w:szCs w:val="20"/>
                <w:lang w:val="en-GB" w:eastAsia="ja-JP"/>
              </w:rPr>
              <w:drawing>
                <wp:inline distT="0" distB="0" distL="0" distR="0">
                  <wp:extent cx="2092960" cy="1452880"/>
                  <wp:effectExtent l="0" t="0" r="0" b="0"/>
                  <wp:docPr id="1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2092960" cy="1452880"/>
                          </a:xfrm>
                          <a:prstGeom prst="rect">
                            <a:avLst/>
                          </a:prstGeom>
                          <a:noFill/>
                          <a:ln>
                            <a:noFill/>
                          </a:ln>
                        </pic:spPr>
                      </pic:pic>
                    </a:graphicData>
                  </a:graphic>
                </wp:inline>
              </w:drawing>
            </w:r>
          </w:p>
          <w:p w:rsidR="005D1710" w:rsidRPr="00F737AD" w:rsidRDefault="000E010C"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1: slight, 2: not likely, 3: likely, 4: very likely, 5: expected</w:t>
            </w:r>
          </w:p>
        </w:tc>
        <w:tc>
          <w:tcPr>
            <w:tcW w:w="9625" w:type="dxa"/>
            <w:gridSpan w:val="7"/>
            <w:shd w:val="clear" w:color="auto" w:fill="0F243E"/>
          </w:tcPr>
          <w:p w:rsidR="005D1710" w:rsidRPr="00F737AD" w:rsidRDefault="005D1710" w:rsidP="00F737AD">
            <w:pPr>
              <w:spacing w:after="0"/>
              <w:jc w:val="left"/>
              <w:rPr>
                <w:rFonts w:ascii="Cambria" w:eastAsia="MS Mincho" w:hAnsi="Cambria"/>
                <w:b/>
                <w:sz w:val="18"/>
                <w:szCs w:val="18"/>
                <w:lang w:val="en-GB" w:eastAsia="ja-JP"/>
              </w:rPr>
            </w:pPr>
            <w:r w:rsidRPr="00F737AD">
              <w:rPr>
                <w:rFonts w:ascii="Cambria" w:eastAsia="MS Mincho" w:hAnsi="Cambria"/>
                <w:b/>
                <w:sz w:val="24"/>
                <w:szCs w:val="20"/>
                <w:lang w:val="en-GB" w:eastAsia="ja-JP"/>
              </w:rPr>
              <w:t xml:space="preserve">QUESTION 4: What is the overall Project risk categorization? </w:t>
            </w:r>
          </w:p>
        </w:tc>
      </w:tr>
      <w:tr w:rsidR="005D1710" w:rsidRPr="0057545E" w:rsidTr="00F737AD">
        <w:tc>
          <w:tcPr>
            <w:tcW w:w="3515" w:type="dxa"/>
            <w:vMerge/>
            <w:shd w:val="clear" w:color="auto" w:fill="auto"/>
          </w:tcPr>
          <w:p w:rsidR="005D1710" w:rsidRPr="00F737AD" w:rsidRDefault="005D1710" w:rsidP="00F737AD">
            <w:pPr>
              <w:spacing w:after="0"/>
              <w:jc w:val="left"/>
              <w:rPr>
                <w:rFonts w:ascii="Cambria" w:eastAsia="MS Mincho" w:hAnsi="Cambria"/>
                <w:sz w:val="18"/>
                <w:szCs w:val="18"/>
                <w:u w:val="single"/>
                <w:lang w:val="en-GB" w:eastAsia="ja-JP"/>
              </w:rPr>
            </w:pPr>
          </w:p>
        </w:tc>
        <w:tc>
          <w:tcPr>
            <w:tcW w:w="6048" w:type="dxa"/>
            <w:gridSpan w:val="6"/>
            <w:shd w:val="clear" w:color="auto" w:fill="auto"/>
          </w:tcPr>
          <w:p w:rsidR="005D1710" w:rsidRPr="00F737AD" w:rsidRDefault="005D1710" w:rsidP="00F737AD">
            <w:pPr>
              <w:spacing w:after="0"/>
              <w:jc w:val="center"/>
              <w:rPr>
                <w:rFonts w:ascii="Cambria" w:eastAsia="MS Mincho" w:hAnsi="Cambria"/>
                <w:b/>
                <w:sz w:val="18"/>
                <w:szCs w:val="18"/>
                <w:lang w:val="en-GB" w:eastAsia="ja-JP"/>
              </w:rPr>
            </w:pPr>
            <w:r w:rsidRPr="00F737AD">
              <w:rPr>
                <w:rFonts w:ascii="Cambria" w:eastAsia="MS Mincho" w:hAnsi="Cambria"/>
                <w:b/>
                <w:sz w:val="18"/>
                <w:szCs w:val="18"/>
                <w:lang w:val="en-GB" w:eastAsia="ja-JP"/>
              </w:rPr>
              <w:t xml:space="preserve">Select one (see </w:t>
            </w:r>
            <w:hyperlink r:id="rId173" w:history="1">
              <w:r w:rsidRPr="00F737AD">
                <w:rPr>
                  <w:rFonts w:ascii="Cambria" w:eastAsia="MS Mincho" w:hAnsi="Cambria"/>
                  <w:b/>
                  <w:color w:val="0000FF"/>
                  <w:sz w:val="18"/>
                  <w:szCs w:val="18"/>
                  <w:u w:val="single"/>
                  <w:lang w:val="en-GB" w:eastAsia="ja-JP"/>
                </w:rPr>
                <w:t>SESP</w:t>
              </w:r>
            </w:hyperlink>
            <w:r w:rsidRPr="00F737AD">
              <w:rPr>
                <w:rFonts w:ascii="Cambria" w:eastAsia="MS Mincho" w:hAnsi="Cambria"/>
                <w:b/>
                <w:sz w:val="18"/>
                <w:szCs w:val="18"/>
                <w:lang w:val="en-GB" w:eastAsia="ja-JP"/>
              </w:rPr>
              <w:t xml:space="preserve"> for guidance)</w:t>
            </w:r>
          </w:p>
        </w:tc>
        <w:tc>
          <w:tcPr>
            <w:tcW w:w="3577" w:type="dxa"/>
            <w:shd w:val="clear" w:color="auto" w:fill="auto"/>
          </w:tcPr>
          <w:p w:rsidR="005D1710" w:rsidRPr="00F737AD" w:rsidRDefault="005D1710" w:rsidP="00F737AD">
            <w:pPr>
              <w:spacing w:after="0"/>
              <w:jc w:val="center"/>
              <w:rPr>
                <w:rFonts w:ascii="Cambria" w:eastAsia="MS Mincho" w:hAnsi="Cambria"/>
                <w:b/>
                <w:sz w:val="18"/>
                <w:szCs w:val="18"/>
                <w:lang w:val="en-GB" w:eastAsia="ja-JP"/>
              </w:rPr>
            </w:pPr>
            <w:r w:rsidRPr="00F737AD">
              <w:rPr>
                <w:rFonts w:ascii="Cambria" w:eastAsia="MS Mincho" w:hAnsi="Cambria"/>
                <w:b/>
                <w:sz w:val="18"/>
                <w:szCs w:val="18"/>
                <w:lang w:val="en-GB" w:eastAsia="ja-JP"/>
              </w:rPr>
              <w:t>Comments</w:t>
            </w:r>
          </w:p>
        </w:tc>
      </w:tr>
      <w:tr w:rsidR="005D1710" w:rsidRPr="0057545E" w:rsidTr="00F737AD">
        <w:trPr>
          <w:trHeight w:val="251"/>
        </w:trPr>
        <w:tc>
          <w:tcPr>
            <w:tcW w:w="3515" w:type="dxa"/>
            <w:vMerge/>
            <w:shd w:val="clear" w:color="auto" w:fill="auto"/>
          </w:tcPr>
          <w:p w:rsidR="005D1710" w:rsidRPr="00F737AD" w:rsidRDefault="005D1710" w:rsidP="00F737AD">
            <w:pPr>
              <w:spacing w:after="0"/>
              <w:jc w:val="left"/>
              <w:rPr>
                <w:rFonts w:ascii="Cambria" w:eastAsia="MS Mincho" w:hAnsi="Cambria" w:cs="Minion Pro"/>
                <w:sz w:val="18"/>
                <w:szCs w:val="18"/>
                <w:lang w:val="en-GB" w:eastAsia="ja-JP"/>
              </w:rPr>
            </w:pPr>
          </w:p>
        </w:tc>
        <w:tc>
          <w:tcPr>
            <w:tcW w:w="4338" w:type="dxa"/>
            <w:gridSpan w:val="4"/>
            <w:shd w:val="clear" w:color="auto" w:fill="auto"/>
          </w:tcPr>
          <w:p w:rsidR="005D1710" w:rsidRPr="00F737AD" w:rsidRDefault="005D1710" w:rsidP="00F737AD">
            <w:pPr>
              <w:spacing w:after="0"/>
              <w:jc w:val="right"/>
              <w:rPr>
                <w:rFonts w:ascii="Cambria" w:eastAsia="MS Mincho" w:hAnsi="Cambria" w:cs="Minion Pro"/>
                <w:b/>
                <w:i/>
                <w:sz w:val="18"/>
                <w:szCs w:val="18"/>
                <w:lang w:val="en-GB" w:eastAsia="ja-JP"/>
              </w:rPr>
            </w:pPr>
            <w:r w:rsidRPr="00F737AD">
              <w:rPr>
                <w:rFonts w:ascii="Cambria" w:eastAsia="MS Mincho" w:hAnsi="Cambria" w:cs="Minion Pro"/>
                <w:b/>
                <w:i/>
                <w:sz w:val="18"/>
                <w:szCs w:val="18"/>
                <w:lang w:val="en-GB" w:eastAsia="ja-JP"/>
              </w:rPr>
              <w:t>Low Risk</w:t>
            </w:r>
          </w:p>
        </w:tc>
        <w:tc>
          <w:tcPr>
            <w:tcW w:w="1710" w:type="dxa"/>
            <w:gridSpan w:val="2"/>
            <w:shd w:val="clear" w:color="auto" w:fill="auto"/>
          </w:tcPr>
          <w:p w:rsidR="005D1710" w:rsidRPr="00F737AD" w:rsidRDefault="005D1710" w:rsidP="00F737AD">
            <w:pPr>
              <w:spacing w:after="0"/>
              <w:ind w:left="-2230" w:firstLine="2230"/>
              <w:jc w:val="left"/>
              <w:rPr>
                <w:rFonts w:ascii="Cambria" w:eastAsia="MS Mincho" w:hAnsi="Cambria"/>
                <w:b/>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spacing w:after="0"/>
              <w:jc w:val="left"/>
              <w:rPr>
                <w:rFonts w:ascii="Cambria" w:eastAsia="MS Mincho" w:hAnsi="Cambria"/>
                <w:sz w:val="18"/>
                <w:szCs w:val="18"/>
                <w:lang w:val="en-GB" w:eastAsia="ja-JP"/>
              </w:rPr>
            </w:pPr>
            <w:r w:rsidRPr="00F737AD">
              <w:rPr>
                <w:rFonts w:ascii="Cambria" w:eastAsia="MS Mincho" w:hAnsi="Cambria"/>
                <w:sz w:val="18"/>
                <w:szCs w:val="18"/>
                <w:lang w:val="en-GB" w:eastAsia="ja-JP"/>
              </w:rPr>
              <w:t xml:space="preserve">Following the UNDP guidance on project categorization and </w:t>
            </w:r>
            <w:r w:rsidRPr="00F737AD">
              <w:rPr>
                <w:rFonts w:ascii="Cambria" w:eastAsia="MS Mincho" w:hAnsi="Cambria"/>
                <w:noProof/>
                <w:sz w:val="18"/>
                <w:szCs w:val="18"/>
                <w:lang w:val="en-GB" w:eastAsia="ja-JP"/>
              </w:rPr>
              <w:t>results</w:t>
            </w:r>
            <w:r w:rsidRPr="00F737AD">
              <w:rPr>
                <w:rFonts w:ascii="Cambria" w:eastAsia="MS Mincho" w:hAnsi="Cambria"/>
                <w:sz w:val="18"/>
                <w:szCs w:val="18"/>
                <w:lang w:val="en-GB" w:eastAsia="ja-JP"/>
              </w:rPr>
              <w:t xml:space="preserve"> of the completed SESP checklist, this project has been assessed as the </w:t>
            </w:r>
            <w:r w:rsidRPr="00F737AD">
              <w:rPr>
                <w:rFonts w:ascii="Cambria" w:eastAsia="MS Mincho" w:hAnsi="Cambria"/>
                <w:noProof/>
                <w:sz w:val="18"/>
                <w:szCs w:val="18"/>
                <w:lang w:val="en-GB" w:eastAsia="ja-JP"/>
              </w:rPr>
              <w:t>low</w:t>
            </w:r>
            <w:r w:rsidR="00FB2439" w:rsidRPr="00F737AD">
              <w:rPr>
                <w:rFonts w:ascii="Cambria" w:eastAsia="MS Mincho" w:hAnsi="Cambria"/>
                <w:noProof/>
                <w:sz w:val="18"/>
                <w:szCs w:val="18"/>
                <w:lang w:val="en-GB" w:eastAsia="ja-JP"/>
              </w:rPr>
              <w:t>-</w:t>
            </w:r>
            <w:r w:rsidRPr="00F737AD">
              <w:rPr>
                <w:rFonts w:ascii="Cambria" w:eastAsia="MS Mincho" w:hAnsi="Cambria"/>
                <w:noProof/>
                <w:sz w:val="18"/>
                <w:szCs w:val="18"/>
                <w:lang w:val="en-GB" w:eastAsia="ja-JP"/>
              </w:rPr>
              <w:t>risk</w:t>
            </w:r>
            <w:r w:rsidRPr="00F737AD">
              <w:rPr>
                <w:rFonts w:ascii="Cambria" w:eastAsia="MS Mincho" w:hAnsi="Cambria"/>
                <w:sz w:val="18"/>
                <w:szCs w:val="18"/>
                <w:lang w:val="en-GB" w:eastAsia="ja-JP"/>
              </w:rPr>
              <w:t xml:space="preserve"> project with no or minimal adverse environmental impacts. Please see responses to Questions 2 and 3 above.</w:t>
            </w:r>
          </w:p>
        </w:tc>
      </w:tr>
      <w:tr w:rsidR="005D1710" w:rsidRPr="0057545E" w:rsidTr="00F737AD">
        <w:tc>
          <w:tcPr>
            <w:tcW w:w="3515" w:type="dxa"/>
            <w:vMerge/>
            <w:shd w:val="clear" w:color="auto" w:fill="auto"/>
          </w:tcPr>
          <w:p w:rsidR="005D1710" w:rsidRPr="00F737AD" w:rsidRDefault="005D1710" w:rsidP="00F737AD">
            <w:pPr>
              <w:spacing w:after="0"/>
              <w:jc w:val="left"/>
              <w:rPr>
                <w:rFonts w:ascii="Cambria" w:eastAsia="MS Mincho" w:hAnsi="Cambria" w:cs="Minion Pro"/>
                <w:sz w:val="18"/>
                <w:szCs w:val="18"/>
                <w:lang w:val="en-GB" w:eastAsia="ja-JP"/>
              </w:rPr>
            </w:pPr>
          </w:p>
        </w:tc>
        <w:tc>
          <w:tcPr>
            <w:tcW w:w="4338" w:type="dxa"/>
            <w:gridSpan w:val="4"/>
            <w:shd w:val="clear" w:color="auto" w:fill="auto"/>
          </w:tcPr>
          <w:p w:rsidR="005D1710" w:rsidRPr="00F737AD" w:rsidRDefault="005D1710" w:rsidP="00F737AD">
            <w:pPr>
              <w:spacing w:after="0"/>
              <w:jc w:val="right"/>
              <w:rPr>
                <w:rFonts w:ascii="Cambria" w:eastAsia="MS Mincho" w:hAnsi="Cambria" w:cs="Minion Pro"/>
                <w:b/>
                <w:i/>
                <w:sz w:val="18"/>
                <w:szCs w:val="18"/>
                <w:lang w:val="en-GB" w:eastAsia="ja-JP"/>
              </w:rPr>
            </w:pPr>
            <w:r w:rsidRPr="00F737AD">
              <w:rPr>
                <w:rFonts w:ascii="Cambria" w:eastAsia="MS Mincho" w:hAnsi="Cambria" w:cs="Minion Pro"/>
                <w:b/>
                <w:i/>
                <w:sz w:val="18"/>
                <w:szCs w:val="18"/>
                <w:lang w:val="en-GB" w:eastAsia="ja-JP"/>
              </w:rPr>
              <w:t>Moderate Risk</w:t>
            </w:r>
          </w:p>
        </w:tc>
        <w:tc>
          <w:tcPr>
            <w:tcW w:w="1710" w:type="dxa"/>
            <w:gridSpan w:val="2"/>
            <w:shd w:val="clear" w:color="auto" w:fill="auto"/>
          </w:tcPr>
          <w:p w:rsidR="005D1710" w:rsidRPr="00F737AD" w:rsidRDefault="005D1710" w:rsidP="00F737AD">
            <w:pPr>
              <w:spacing w:after="0"/>
              <w:ind w:left="-2230" w:firstLine="2230"/>
              <w:jc w:val="left"/>
              <w:rPr>
                <w:rFonts w:ascii="Cambria" w:eastAsia="MS Mincho" w:hAnsi="Cambria"/>
                <w:b/>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spacing w:after="0"/>
              <w:jc w:val="left"/>
              <w:rPr>
                <w:rFonts w:ascii="Cambria" w:eastAsia="MS Mincho" w:hAnsi="Cambria"/>
                <w:b/>
                <w:sz w:val="18"/>
                <w:szCs w:val="18"/>
                <w:lang w:val="en-GB" w:eastAsia="ja-JP"/>
              </w:rPr>
            </w:pPr>
          </w:p>
        </w:tc>
      </w:tr>
      <w:tr w:rsidR="005D1710" w:rsidRPr="0057545E" w:rsidTr="00F737AD">
        <w:tc>
          <w:tcPr>
            <w:tcW w:w="3515" w:type="dxa"/>
            <w:vMerge/>
            <w:shd w:val="clear" w:color="auto" w:fill="auto"/>
          </w:tcPr>
          <w:p w:rsidR="005D1710" w:rsidRPr="00F737AD" w:rsidRDefault="005D1710" w:rsidP="00F737AD">
            <w:pPr>
              <w:spacing w:after="0"/>
              <w:jc w:val="left"/>
              <w:rPr>
                <w:rFonts w:ascii="Cambria" w:eastAsia="MS Mincho" w:hAnsi="Cambria" w:cs="Minion Pro"/>
                <w:sz w:val="18"/>
                <w:szCs w:val="18"/>
                <w:lang w:val="en-GB" w:eastAsia="ja-JP"/>
              </w:rPr>
            </w:pPr>
          </w:p>
        </w:tc>
        <w:tc>
          <w:tcPr>
            <w:tcW w:w="4338" w:type="dxa"/>
            <w:gridSpan w:val="4"/>
            <w:shd w:val="clear" w:color="auto" w:fill="auto"/>
          </w:tcPr>
          <w:p w:rsidR="005D1710" w:rsidRPr="00F737AD" w:rsidRDefault="005D1710" w:rsidP="00F737AD">
            <w:pPr>
              <w:spacing w:after="0"/>
              <w:jc w:val="right"/>
              <w:rPr>
                <w:rFonts w:ascii="Cambria" w:eastAsia="MS Mincho" w:hAnsi="Cambria" w:cs="Minion Pro"/>
                <w:b/>
                <w:i/>
                <w:sz w:val="18"/>
                <w:szCs w:val="18"/>
                <w:lang w:val="en-GB" w:eastAsia="ja-JP"/>
              </w:rPr>
            </w:pPr>
            <w:r w:rsidRPr="00F737AD">
              <w:rPr>
                <w:rFonts w:ascii="Cambria" w:eastAsia="MS Mincho" w:hAnsi="Cambria" w:cs="Minion Pro"/>
                <w:b/>
                <w:i/>
                <w:sz w:val="18"/>
                <w:szCs w:val="18"/>
                <w:lang w:val="en-GB" w:eastAsia="ja-JP"/>
              </w:rPr>
              <w:t>High Risk</w:t>
            </w:r>
          </w:p>
        </w:tc>
        <w:tc>
          <w:tcPr>
            <w:tcW w:w="1710" w:type="dxa"/>
            <w:gridSpan w:val="2"/>
            <w:shd w:val="clear" w:color="auto" w:fill="auto"/>
          </w:tcPr>
          <w:p w:rsidR="005D1710" w:rsidRPr="00F737AD" w:rsidRDefault="005D1710" w:rsidP="00F737AD">
            <w:pPr>
              <w:spacing w:after="0"/>
              <w:ind w:left="-2230" w:firstLine="2230"/>
              <w:jc w:val="left"/>
              <w:rPr>
                <w:rFonts w:ascii="Cambria" w:eastAsia="MS Mincho" w:hAnsi="Cambria"/>
                <w:b/>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spacing w:after="0"/>
              <w:jc w:val="left"/>
              <w:rPr>
                <w:rFonts w:ascii="Cambria" w:eastAsia="MS Mincho" w:hAnsi="Cambria"/>
                <w:b/>
                <w:sz w:val="18"/>
                <w:szCs w:val="18"/>
                <w:lang w:val="en-GB" w:eastAsia="ja-JP"/>
              </w:rPr>
            </w:pPr>
          </w:p>
        </w:tc>
      </w:tr>
      <w:tr w:rsidR="005D1710" w:rsidRPr="0057545E" w:rsidTr="00F737AD">
        <w:trPr>
          <w:trHeight w:val="782"/>
        </w:trPr>
        <w:tc>
          <w:tcPr>
            <w:tcW w:w="3515" w:type="dxa"/>
            <w:vMerge w:val="restart"/>
            <w:shd w:val="clear" w:color="auto" w:fill="FFFFFF"/>
          </w:tcPr>
          <w:p w:rsidR="005D1710" w:rsidRPr="00F737AD" w:rsidRDefault="005D1710" w:rsidP="00F737AD">
            <w:pPr>
              <w:spacing w:after="0"/>
              <w:ind w:hanging="18"/>
              <w:jc w:val="left"/>
              <w:rPr>
                <w:rFonts w:ascii="Cambria" w:eastAsia="MS Mincho" w:hAnsi="Cambria"/>
                <w:b/>
                <w:sz w:val="24"/>
                <w:szCs w:val="20"/>
                <w:lang w:val="en-GB" w:eastAsia="ja-JP"/>
              </w:rPr>
            </w:pPr>
          </w:p>
        </w:tc>
        <w:tc>
          <w:tcPr>
            <w:tcW w:w="6048" w:type="dxa"/>
            <w:gridSpan w:val="6"/>
            <w:shd w:val="clear" w:color="auto" w:fill="0F243E"/>
            <w:vAlign w:val="center"/>
          </w:tcPr>
          <w:p w:rsidR="005D1710" w:rsidRPr="00F737AD" w:rsidRDefault="005D1710" w:rsidP="00F737AD">
            <w:pPr>
              <w:tabs>
                <w:tab w:val="left" w:pos="360"/>
              </w:tabs>
              <w:spacing w:after="0"/>
              <w:jc w:val="left"/>
              <w:rPr>
                <w:rFonts w:ascii="Cambria" w:eastAsia="MS Mincho" w:hAnsi="Cambria"/>
                <w:sz w:val="24"/>
                <w:szCs w:val="20"/>
                <w:lang w:val="en-GB" w:eastAsia="ja-JP"/>
              </w:rPr>
            </w:pPr>
            <w:r w:rsidRPr="00F737AD">
              <w:rPr>
                <w:rFonts w:ascii="Cambria" w:eastAsia="MS Mincho" w:hAnsi="Cambria"/>
                <w:b/>
                <w:sz w:val="24"/>
                <w:szCs w:val="20"/>
                <w:lang w:val="en-GB" w:eastAsia="ja-JP"/>
              </w:rPr>
              <w:t>QUESTION 5: Based on the identified risks and risk categorization, what requirements of the SES are relevant?</w:t>
            </w:r>
          </w:p>
        </w:tc>
        <w:tc>
          <w:tcPr>
            <w:tcW w:w="3577" w:type="dxa"/>
            <w:shd w:val="clear" w:color="auto" w:fill="0F243E"/>
            <w:vAlign w:val="center"/>
          </w:tcPr>
          <w:p w:rsidR="005D1710" w:rsidRPr="00F737AD" w:rsidRDefault="005D1710" w:rsidP="00F737AD">
            <w:pPr>
              <w:tabs>
                <w:tab w:val="left" w:pos="360"/>
              </w:tabs>
              <w:spacing w:after="0"/>
              <w:jc w:val="center"/>
              <w:rPr>
                <w:rFonts w:ascii="Cambria" w:eastAsia="MS Mincho" w:hAnsi="Cambria"/>
                <w:b/>
                <w:sz w:val="24"/>
                <w:szCs w:val="20"/>
                <w:lang w:val="en-GB" w:eastAsia="ja-JP"/>
              </w:rPr>
            </w:pPr>
          </w:p>
        </w:tc>
      </w:tr>
      <w:tr w:rsidR="005D1710" w:rsidRPr="0057545E" w:rsidTr="00F737AD">
        <w:trPr>
          <w:trHeight w:val="296"/>
        </w:trPr>
        <w:tc>
          <w:tcPr>
            <w:tcW w:w="3515" w:type="dxa"/>
            <w:vMerge/>
            <w:shd w:val="clear" w:color="auto" w:fill="FFFFFF"/>
          </w:tcPr>
          <w:p w:rsidR="005D1710" w:rsidRPr="00F737AD" w:rsidRDefault="005D1710" w:rsidP="00F737AD">
            <w:pPr>
              <w:spacing w:after="0"/>
              <w:jc w:val="left"/>
              <w:rPr>
                <w:rFonts w:ascii="Cambria" w:eastAsia="MS Mincho" w:hAnsi="Cambria"/>
                <w:sz w:val="18"/>
                <w:szCs w:val="18"/>
                <w:u w:val="single"/>
                <w:lang w:val="en-GB" w:eastAsia="ja-JP"/>
              </w:rPr>
            </w:pPr>
          </w:p>
        </w:tc>
        <w:tc>
          <w:tcPr>
            <w:tcW w:w="6048" w:type="dxa"/>
            <w:gridSpan w:val="6"/>
            <w:shd w:val="clear" w:color="auto" w:fill="auto"/>
          </w:tcPr>
          <w:p w:rsidR="005D1710" w:rsidRPr="00F737AD" w:rsidRDefault="005D1710" w:rsidP="00F737AD">
            <w:pPr>
              <w:tabs>
                <w:tab w:val="left" w:pos="360"/>
              </w:tabs>
              <w:spacing w:after="0"/>
              <w:jc w:val="center"/>
              <w:rPr>
                <w:rFonts w:ascii="Menlo Bold" w:eastAsia="MS Mincho" w:hAnsi="Menlo Bold" w:cs="Menlo Bold"/>
                <w:b/>
                <w:sz w:val="24"/>
                <w:szCs w:val="20"/>
                <w:lang w:val="en-GB" w:eastAsia="ja-JP"/>
              </w:rPr>
            </w:pPr>
            <w:r w:rsidRPr="00F737AD">
              <w:rPr>
                <w:rFonts w:ascii="Cambria" w:eastAsia="MS Mincho" w:hAnsi="Cambria"/>
                <w:sz w:val="18"/>
                <w:szCs w:val="18"/>
                <w:lang w:val="en-GB" w:eastAsia="ja-JP"/>
              </w:rPr>
              <w:t>Check all that apply</w:t>
            </w:r>
          </w:p>
        </w:tc>
        <w:tc>
          <w:tcPr>
            <w:tcW w:w="3577" w:type="dxa"/>
            <w:shd w:val="clear" w:color="auto" w:fill="auto"/>
          </w:tcPr>
          <w:p w:rsidR="005D1710" w:rsidRPr="00F737AD" w:rsidRDefault="005D1710" w:rsidP="00F737AD">
            <w:pPr>
              <w:tabs>
                <w:tab w:val="left" w:pos="360"/>
              </w:tabs>
              <w:spacing w:after="0"/>
              <w:jc w:val="center"/>
              <w:rPr>
                <w:rFonts w:ascii="Cambria" w:eastAsia="MS Mincho" w:hAnsi="Cambria"/>
                <w:b/>
                <w:sz w:val="18"/>
                <w:szCs w:val="18"/>
                <w:lang w:val="en-GB" w:eastAsia="ja-JP"/>
              </w:rPr>
            </w:pPr>
            <w:r w:rsidRPr="00F737AD">
              <w:rPr>
                <w:rFonts w:ascii="Cambria" w:eastAsia="MS Mincho" w:hAnsi="Cambria"/>
                <w:b/>
                <w:sz w:val="18"/>
                <w:szCs w:val="18"/>
                <w:lang w:val="en-GB" w:eastAsia="ja-JP"/>
              </w:rPr>
              <w:t>Comments</w:t>
            </w: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Principle 1: Human Rights</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Principle 2: Gender Equality and Women’s Empowerment</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1.</w:t>
            </w:r>
            <w:r w:rsidRPr="00F737AD">
              <w:rPr>
                <w:rFonts w:ascii="Cambria" w:eastAsia="MS Mincho" w:hAnsi="Cambria"/>
                <w:b/>
                <w:i/>
                <w:sz w:val="18"/>
                <w:szCs w:val="18"/>
                <w:lang w:val="en-GB" w:eastAsia="ja-JP"/>
              </w:rPr>
              <w:tab/>
              <w:t>Biodiversity Conservation and Natural Resource Management</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2.</w:t>
            </w:r>
            <w:r w:rsidRPr="00F737AD">
              <w:rPr>
                <w:rFonts w:ascii="Cambria" w:eastAsia="MS Mincho" w:hAnsi="Cambria"/>
                <w:b/>
                <w:i/>
                <w:sz w:val="18"/>
                <w:szCs w:val="18"/>
                <w:lang w:val="en-GB" w:eastAsia="ja-JP"/>
              </w:rPr>
              <w:tab/>
              <w:t>Climate Change Mitigation and Adaptation</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3.</w:t>
            </w:r>
            <w:r w:rsidRPr="00F737AD">
              <w:rPr>
                <w:rFonts w:ascii="Cambria" w:eastAsia="MS Mincho" w:hAnsi="Cambria"/>
                <w:b/>
                <w:i/>
                <w:sz w:val="18"/>
                <w:szCs w:val="18"/>
                <w:lang w:val="en-GB" w:eastAsia="ja-JP"/>
              </w:rPr>
              <w:tab/>
              <w:t xml:space="preserve">Community Health, Safety </w:t>
            </w:r>
            <w:r w:rsidRPr="00F737AD">
              <w:rPr>
                <w:rFonts w:ascii="Cambria" w:eastAsia="MS Mincho" w:hAnsi="Cambria"/>
                <w:b/>
                <w:i/>
                <w:noProof/>
                <w:sz w:val="18"/>
                <w:szCs w:val="18"/>
                <w:lang w:val="en-GB" w:eastAsia="ja-JP"/>
              </w:rPr>
              <w:t>and</w:t>
            </w:r>
            <w:r w:rsidRPr="00F737AD">
              <w:rPr>
                <w:rFonts w:ascii="Cambria" w:eastAsia="MS Mincho" w:hAnsi="Cambria"/>
                <w:b/>
                <w:i/>
                <w:sz w:val="18"/>
                <w:szCs w:val="18"/>
                <w:lang w:val="en-GB" w:eastAsia="ja-JP"/>
              </w:rPr>
              <w:t xml:space="preserve"> Working Conditions</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4.</w:t>
            </w:r>
            <w:r w:rsidRPr="00F737AD">
              <w:rPr>
                <w:rFonts w:ascii="Cambria" w:eastAsia="MS Mincho" w:hAnsi="Cambria"/>
                <w:b/>
                <w:i/>
                <w:sz w:val="18"/>
                <w:szCs w:val="18"/>
                <w:lang w:val="en-GB" w:eastAsia="ja-JP"/>
              </w:rPr>
              <w:tab/>
              <w:t>Cultural Heritage</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5.</w:t>
            </w:r>
            <w:r w:rsidRPr="00F737AD">
              <w:rPr>
                <w:rFonts w:ascii="Cambria" w:eastAsia="MS Mincho" w:hAnsi="Cambria"/>
                <w:b/>
                <w:i/>
                <w:sz w:val="18"/>
                <w:szCs w:val="18"/>
                <w:lang w:val="en-GB" w:eastAsia="ja-JP"/>
              </w:rPr>
              <w:tab/>
              <w:t>Displacement and Resettlement</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6.</w:t>
            </w:r>
            <w:r w:rsidRPr="00F737AD">
              <w:rPr>
                <w:rFonts w:ascii="Cambria" w:eastAsia="MS Mincho" w:hAnsi="Cambria"/>
                <w:b/>
                <w:i/>
                <w:sz w:val="18"/>
                <w:szCs w:val="18"/>
                <w:lang w:val="en-GB" w:eastAsia="ja-JP"/>
              </w:rPr>
              <w:tab/>
              <w:t>Indigenous Peoples</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r w:rsidR="005D1710" w:rsidRPr="0057545E" w:rsidTr="00F737AD">
        <w:tc>
          <w:tcPr>
            <w:tcW w:w="3515" w:type="dxa"/>
            <w:vMerge/>
            <w:shd w:val="clear" w:color="auto" w:fill="FFFFFF"/>
          </w:tcPr>
          <w:p w:rsidR="005D1710" w:rsidRPr="00F737AD" w:rsidRDefault="005D1710" w:rsidP="00F737AD">
            <w:pPr>
              <w:tabs>
                <w:tab w:val="left" w:pos="270"/>
              </w:tabs>
              <w:spacing w:after="0"/>
              <w:ind w:left="270" w:hanging="270"/>
              <w:jc w:val="left"/>
              <w:rPr>
                <w:rFonts w:ascii="Cambria" w:eastAsia="MS Mincho" w:hAnsi="Cambria"/>
                <w:sz w:val="18"/>
                <w:szCs w:val="18"/>
                <w:lang w:val="en-GB" w:eastAsia="ja-JP"/>
              </w:rPr>
            </w:pPr>
          </w:p>
        </w:tc>
        <w:tc>
          <w:tcPr>
            <w:tcW w:w="4338" w:type="dxa"/>
            <w:gridSpan w:val="4"/>
            <w:shd w:val="clear" w:color="auto" w:fill="auto"/>
          </w:tcPr>
          <w:p w:rsidR="005D1710" w:rsidRPr="00F737AD" w:rsidRDefault="005D1710" w:rsidP="00F737AD">
            <w:pPr>
              <w:tabs>
                <w:tab w:val="left" w:pos="270"/>
              </w:tabs>
              <w:spacing w:after="0"/>
              <w:ind w:left="270" w:hanging="27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7.</w:t>
            </w:r>
            <w:r w:rsidRPr="00F737AD">
              <w:rPr>
                <w:rFonts w:ascii="Cambria" w:eastAsia="MS Mincho" w:hAnsi="Cambria"/>
                <w:b/>
                <w:i/>
                <w:sz w:val="18"/>
                <w:szCs w:val="18"/>
                <w:lang w:val="en-GB" w:eastAsia="ja-JP"/>
              </w:rPr>
              <w:tab/>
              <w:t>Pollution Prevention and Resource Efficiency</w:t>
            </w:r>
          </w:p>
        </w:tc>
        <w:tc>
          <w:tcPr>
            <w:tcW w:w="1710" w:type="dxa"/>
            <w:gridSpan w:val="2"/>
            <w:shd w:val="clear" w:color="auto" w:fill="auto"/>
            <w:vAlign w:val="center"/>
          </w:tcPr>
          <w:p w:rsidR="005D1710" w:rsidRPr="00F737AD" w:rsidRDefault="005D1710" w:rsidP="00F737AD">
            <w:pPr>
              <w:tabs>
                <w:tab w:val="left" w:pos="360"/>
              </w:tabs>
              <w:spacing w:after="0"/>
              <w:jc w:val="left"/>
              <w:rPr>
                <w:rFonts w:ascii="Cambria" w:eastAsia="MS Mincho" w:hAnsi="Cambria"/>
                <w:sz w:val="18"/>
                <w:szCs w:val="18"/>
                <w:lang w:val="en-GB" w:eastAsia="ja-JP"/>
              </w:rPr>
            </w:pPr>
            <w:r w:rsidRPr="00F737AD">
              <w:rPr>
                <w:rFonts w:ascii="Segoe UI Symbol" w:eastAsia="MS Mincho" w:hAnsi="Segoe UI Symbol" w:cs="Segoe UI Symbol"/>
                <w:b/>
                <w:sz w:val="24"/>
                <w:szCs w:val="20"/>
                <w:lang w:val="en-GB" w:eastAsia="ja-JP"/>
              </w:rPr>
              <w:t>☐</w:t>
            </w:r>
          </w:p>
        </w:tc>
        <w:tc>
          <w:tcPr>
            <w:tcW w:w="3577" w:type="dxa"/>
            <w:shd w:val="clear" w:color="auto" w:fill="auto"/>
          </w:tcPr>
          <w:p w:rsidR="005D1710" w:rsidRPr="00F737AD" w:rsidRDefault="005D1710" w:rsidP="00F737AD">
            <w:pPr>
              <w:tabs>
                <w:tab w:val="left" w:pos="360"/>
              </w:tabs>
              <w:spacing w:after="0"/>
              <w:jc w:val="left"/>
              <w:rPr>
                <w:rFonts w:ascii="Cambria" w:eastAsia="MS Mincho" w:hAnsi="Cambria"/>
                <w:sz w:val="18"/>
                <w:szCs w:val="18"/>
                <w:lang w:val="en-GB" w:eastAsia="ja-JP"/>
              </w:rPr>
            </w:pPr>
          </w:p>
        </w:tc>
      </w:tr>
    </w:tbl>
    <w:p w:rsidR="005D1710" w:rsidRPr="0057545E" w:rsidRDefault="005D1710" w:rsidP="005D1710">
      <w:pPr>
        <w:tabs>
          <w:tab w:val="left" w:pos="360"/>
        </w:tabs>
        <w:spacing w:after="0"/>
        <w:jc w:val="left"/>
        <w:rPr>
          <w:rFonts w:eastAsia="MS Mincho"/>
          <w:b/>
          <w:i/>
          <w:sz w:val="18"/>
          <w:szCs w:val="18"/>
          <w:lang w:val="en-GB" w:eastAsia="ja-JP"/>
        </w:rPr>
      </w:pPr>
    </w:p>
    <w:p w:rsidR="000E010C" w:rsidRPr="003B7D62" w:rsidRDefault="000E010C" w:rsidP="000E010C">
      <w:pPr>
        <w:spacing w:before="200" w:after="0"/>
        <w:ind w:left="360"/>
        <w:jc w:val="left"/>
        <w:rPr>
          <w:rFonts w:eastAsia="MS Mincho"/>
          <w:b/>
          <w:color w:val="4F81BD"/>
          <w:sz w:val="24"/>
          <w:lang w:val="en-GB" w:eastAsia="ja-JP"/>
        </w:rPr>
      </w:pPr>
      <w:r w:rsidRPr="00353542">
        <w:rPr>
          <w:rFonts w:eastAsia="MS Mincho"/>
          <w:b/>
          <w:color w:val="4F81BD"/>
          <w:sz w:val="24"/>
          <w:lang w:val="en-GB" w:eastAsia="ja-JP"/>
        </w:rPr>
        <w:t xml:space="preserve">Final Sign Off </w:t>
      </w:r>
    </w:p>
    <w:p w:rsidR="000E010C" w:rsidRPr="004722F0" w:rsidRDefault="000E010C" w:rsidP="000E010C">
      <w:pPr>
        <w:tabs>
          <w:tab w:val="left" w:pos="360"/>
          <w:tab w:val="left" w:pos="4320"/>
        </w:tabs>
        <w:spacing w:after="0"/>
        <w:jc w:val="left"/>
        <w:rPr>
          <w:rFonts w:eastAsia="MS Mincho"/>
          <w:sz w:val="18"/>
          <w:szCs w:val="18"/>
          <w:lang w:val="en-GB" w:eastAsia="ja-JP"/>
        </w:rPr>
      </w:pPr>
    </w:p>
    <w:p w:rsidR="005D1710" w:rsidRPr="00666B27" w:rsidRDefault="005D1710" w:rsidP="005D1710">
      <w:pPr>
        <w:tabs>
          <w:tab w:val="left" w:pos="360"/>
        </w:tabs>
        <w:spacing w:after="0"/>
        <w:jc w:val="left"/>
        <w:rPr>
          <w:rFonts w:eastAsia="MS Mincho"/>
          <w:sz w:val="18"/>
          <w:szCs w:val="18"/>
          <w:lang w:val="en-GB" w:eastAsia="ja-JP"/>
        </w:rPr>
      </w:pPr>
    </w:p>
    <w:tbl>
      <w:tblPr>
        <w:tblpPr w:leftFromText="180" w:rightFromText="180" w:vertAnchor="text" w:horzAnchor="margin" w:tblpY="6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5D1710" w:rsidRPr="0057545E" w:rsidTr="00F737AD">
        <w:tc>
          <w:tcPr>
            <w:tcW w:w="2875" w:type="dxa"/>
            <w:shd w:val="clear" w:color="auto" w:fill="C6D9F1"/>
          </w:tcPr>
          <w:p w:rsidR="005D1710" w:rsidRPr="00F737AD" w:rsidRDefault="005D1710" w:rsidP="00F737AD">
            <w:pPr>
              <w:tabs>
                <w:tab w:val="left" w:pos="360"/>
                <w:tab w:val="left" w:pos="4320"/>
              </w:tabs>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Signature</w:t>
            </w:r>
          </w:p>
        </w:tc>
        <w:tc>
          <w:tcPr>
            <w:tcW w:w="1350" w:type="dxa"/>
            <w:shd w:val="clear" w:color="auto" w:fill="C6D9F1"/>
          </w:tcPr>
          <w:p w:rsidR="005D1710" w:rsidRPr="00F737AD" w:rsidRDefault="005D1710" w:rsidP="00F737AD">
            <w:pPr>
              <w:tabs>
                <w:tab w:val="left" w:pos="360"/>
                <w:tab w:val="left" w:pos="4320"/>
              </w:tabs>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Date</w:t>
            </w:r>
          </w:p>
        </w:tc>
        <w:tc>
          <w:tcPr>
            <w:tcW w:w="8725" w:type="dxa"/>
            <w:shd w:val="clear" w:color="auto" w:fill="C6D9F1"/>
          </w:tcPr>
          <w:p w:rsidR="005D1710" w:rsidRPr="00F737AD" w:rsidRDefault="005D1710" w:rsidP="00F737AD">
            <w:pPr>
              <w:tabs>
                <w:tab w:val="left" w:pos="360"/>
                <w:tab w:val="left" w:pos="4320"/>
              </w:tabs>
              <w:spacing w:after="0"/>
              <w:jc w:val="left"/>
              <w:rPr>
                <w:rFonts w:ascii="Cambria" w:eastAsia="MS Mincho" w:hAnsi="Cambria"/>
                <w:b/>
                <w:i/>
                <w:sz w:val="18"/>
                <w:szCs w:val="18"/>
                <w:lang w:val="en-GB" w:eastAsia="ja-JP"/>
              </w:rPr>
            </w:pPr>
            <w:r w:rsidRPr="00F737AD">
              <w:rPr>
                <w:rFonts w:ascii="Cambria" w:eastAsia="MS Mincho" w:hAnsi="Cambria"/>
                <w:b/>
                <w:i/>
                <w:sz w:val="18"/>
                <w:szCs w:val="18"/>
                <w:lang w:val="en-GB" w:eastAsia="ja-JP"/>
              </w:rPr>
              <w:t>Description</w:t>
            </w:r>
          </w:p>
        </w:tc>
      </w:tr>
      <w:tr w:rsidR="005D1710" w:rsidRPr="0057545E" w:rsidTr="00F737AD">
        <w:trPr>
          <w:trHeight w:val="629"/>
        </w:trPr>
        <w:tc>
          <w:tcPr>
            <w:tcW w:w="2875" w:type="dxa"/>
            <w:shd w:val="clear" w:color="auto" w:fill="auto"/>
          </w:tcPr>
          <w:p w:rsidR="005D1710" w:rsidRPr="00F737AD" w:rsidRDefault="005D1710" w:rsidP="00F737AD">
            <w:pPr>
              <w:tabs>
                <w:tab w:val="left" w:pos="360"/>
                <w:tab w:val="left" w:pos="4320"/>
              </w:tabs>
              <w:spacing w:after="0"/>
              <w:jc w:val="left"/>
              <w:rPr>
                <w:rFonts w:ascii="Cambria" w:eastAsia="MS Mincho" w:hAnsi="Cambria"/>
                <w:sz w:val="24"/>
                <w:szCs w:val="20"/>
                <w:lang w:val="en-GB" w:eastAsia="ja-JP"/>
              </w:rPr>
            </w:pPr>
            <w:r w:rsidRPr="00F737AD">
              <w:rPr>
                <w:rFonts w:ascii="Cambria" w:eastAsia="MS Mincho" w:hAnsi="Cambria"/>
                <w:sz w:val="24"/>
                <w:szCs w:val="20"/>
                <w:lang w:val="en-GB" w:eastAsia="ja-JP"/>
              </w:rPr>
              <w:t>QA Assessor</w:t>
            </w:r>
          </w:p>
        </w:tc>
        <w:tc>
          <w:tcPr>
            <w:tcW w:w="1350" w:type="dxa"/>
            <w:shd w:val="clear" w:color="auto" w:fill="auto"/>
          </w:tcPr>
          <w:p w:rsidR="005D1710" w:rsidRPr="00F737AD" w:rsidRDefault="005D1710" w:rsidP="00F737AD">
            <w:pPr>
              <w:tabs>
                <w:tab w:val="left" w:pos="360"/>
                <w:tab w:val="left" w:pos="4320"/>
              </w:tabs>
              <w:spacing w:after="0"/>
              <w:jc w:val="left"/>
              <w:rPr>
                <w:rFonts w:ascii="Cambria" w:eastAsia="MS Mincho" w:hAnsi="Cambria"/>
                <w:sz w:val="24"/>
                <w:szCs w:val="20"/>
                <w:lang w:val="en-GB" w:eastAsia="ja-JP"/>
              </w:rPr>
            </w:pPr>
          </w:p>
        </w:tc>
        <w:tc>
          <w:tcPr>
            <w:tcW w:w="8725" w:type="dxa"/>
            <w:shd w:val="clear" w:color="auto" w:fill="auto"/>
          </w:tcPr>
          <w:p w:rsidR="005D1710" w:rsidRPr="00F737AD" w:rsidRDefault="005D1710" w:rsidP="00F737AD">
            <w:pPr>
              <w:tabs>
                <w:tab w:val="left" w:pos="360"/>
                <w:tab w:val="left" w:pos="720"/>
              </w:tabs>
              <w:spacing w:before="120" w:after="120" w:line="264" w:lineRule="auto"/>
              <w:jc w:val="left"/>
              <w:rPr>
                <w:rFonts w:ascii="Cambria" w:eastAsia="MS Mincho" w:hAnsi="Cambria"/>
                <w:sz w:val="24"/>
                <w:szCs w:val="20"/>
                <w:lang w:val="en-GB" w:eastAsia="ja-JP"/>
              </w:rPr>
            </w:pPr>
          </w:p>
        </w:tc>
      </w:tr>
      <w:tr w:rsidR="005D1710" w:rsidRPr="0057545E" w:rsidTr="00F737AD">
        <w:tc>
          <w:tcPr>
            <w:tcW w:w="2875" w:type="dxa"/>
            <w:shd w:val="clear" w:color="auto" w:fill="auto"/>
          </w:tcPr>
          <w:p w:rsidR="005D1710" w:rsidRPr="00F737AD" w:rsidRDefault="005D1710" w:rsidP="00F737AD">
            <w:pPr>
              <w:tabs>
                <w:tab w:val="left" w:pos="360"/>
                <w:tab w:val="left" w:pos="4320"/>
              </w:tabs>
              <w:spacing w:after="0"/>
              <w:jc w:val="left"/>
              <w:rPr>
                <w:rFonts w:ascii="Cambria" w:eastAsia="MS Mincho" w:hAnsi="Cambria"/>
                <w:sz w:val="24"/>
                <w:szCs w:val="20"/>
                <w:lang w:val="en-GB" w:eastAsia="ja-JP"/>
              </w:rPr>
            </w:pPr>
            <w:r w:rsidRPr="00F737AD">
              <w:rPr>
                <w:rFonts w:ascii="Cambria" w:eastAsia="MS Mincho" w:hAnsi="Cambria"/>
                <w:sz w:val="24"/>
                <w:szCs w:val="20"/>
                <w:lang w:val="en-GB" w:eastAsia="ja-JP"/>
              </w:rPr>
              <w:t>QA Approver and PAC Chair</w:t>
            </w:r>
          </w:p>
        </w:tc>
        <w:tc>
          <w:tcPr>
            <w:tcW w:w="1350" w:type="dxa"/>
            <w:shd w:val="clear" w:color="auto" w:fill="auto"/>
          </w:tcPr>
          <w:p w:rsidR="005D1710" w:rsidRPr="00F737AD" w:rsidRDefault="005D1710" w:rsidP="00F737AD">
            <w:pPr>
              <w:tabs>
                <w:tab w:val="left" w:pos="360"/>
                <w:tab w:val="left" w:pos="4320"/>
              </w:tabs>
              <w:spacing w:after="0"/>
              <w:jc w:val="left"/>
              <w:rPr>
                <w:rFonts w:ascii="Cambria" w:eastAsia="MS Mincho" w:hAnsi="Cambria"/>
                <w:sz w:val="24"/>
                <w:szCs w:val="20"/>
                <w:lang w:val="en-GB" w:eastAsia="ja-JP"/>
              </w:rPr>
            </w:pPr>
          </w:p>
        </w:tc>
        <w:tc>
          <w:tcPr>
            <w:tcW w:w="8725" w:type="dxa"/>
            <w:shd w:val="clear" w:color="auto" w:fill="auto"/>
          </w:tcPr>
          <w:p w:rsidR="005D1710" w:rsidRPr="00F737AD" w:rsidRDefault="005D1710" w:rsidP="00F737AD">
            <w:pPr>
              <w:tabs>
                <w:tab w:val="left" w:pos="360"/>
                <w:tab w:val="left" w:pos="4320"/>
              </w:tabs>
              <w:spacing w:after="0"/>
              <w:jc w:val="left"/>
              <w:rPr>
                <w:rFonts w:ascii="Cambria" w:eastAsia="MS Mincho" w:hAnsi="Cambria"/>
                <w:sz w:val="24"/>
                <w:szCs w:val="20"/>
                <w:lang w:val="en-GB" w:eastAsia="ja-JP"/>
              </w:rPr>
            </w:pPr>
          </w:p>
        </w:tc>
      </w:tr>
    </w:tbl>
    <w:p w:rsidR="005D1710" w:rsidRPr="00666B27" w:rsidRDefault="005D1710" w:rsidP="005D1710">
      <w:pPr>
        <w:spacing w:after="0"/>
        <w:jc w:val="left"/>
        <w:rPr>
          <w:rFonts w:eastAsia="MS Mincho"/>
          <w:lang w:val="en-GB" w:eastAsia="ja-JP"/>
        </w:rPr>
        <w:sectPr w:rsidR="005D1710" w:rsidRPr="00666B27" w:rsidSect="005D1710">
          <w:pgSz w:w="15840" w:h="12240" w:orient="landscape"/>
          <w:pgMar w:top="1440" w:right="1440" w:bottom="1440" w:left="1440" w:header="720" w:footer="720" w:gutter="0"/>
          <w:cols w:space="720"/>
          <w:titlePg/>
          <w:docGrid w:linePitch="360"/>
        </w:sectPr>
      </w:pPr>
    </w:p>
    <w:p w:rsidR="005D1710" w:rsidRPr="00666B27" w:rsidRDefault="005D1710" w:rsidP="005D1710">
      <w:pPr>
        <w:keepNext/>
        <w:keepLines/>
        <w:numPr>
          <w:ilvl w:val="0"/>
          <w:numId w:val="58"/>
        </w:numPr>
        <w:spacing w:before="200" w:after="0"/>
        <w:ind w:firstLine="0"/>
        <w:jc w:val="left"/>
        <w:outlineLvl w:val="2"/>
        <w:rPr>
          <w:rFonts w:eastAsia="MS Gothic"/>
          <w:b/>
          <w:bCs/>
          <w:color w:val="4F81BD"/>
          <w:szCs w:val="20"/>
          <w:lang w:val="en-GB" w:eastAsia="ja-JP"/>
        </w:rPr>
      </w:pPr>
      <w:bookmarkStart w:id="347" w:name="_Toc404528202"/>
      <w:r w:rsidRPr="00666B27">
        <w:rPr>
          <w:rFonts w:eastAsia="MS Gothic"/>
          <w:b/>
          <w:bCs/>
          <w:color w:val="4F81BD"/>
          <w:szCs w:val="20"/>
          <w:lang w:val="en-GB" w:eastAsia="ja-JP"/>
        </w:rPr>
        <w:lastRenderedPageBreak/>
        <w:t>SESP Attachment 1. Social and Environmental Risk Screening Checklist</w:t>
      </w:r>
      <w:bookmarkEnd w:id="347"/>
    </w:p>
    <w:p w:rsidR="005D1710" w:rsidRPr="00666B27" w:rsidRDefault="005D1710" w:rsidP="005D1710">
      <w:pPr>
        <w:spacing w:after="0"/>
        <w:jc w:val="left"/>
        <w:rPr>
          <w:rFonts w:eastAsia="MS Mincho"/>
          <w:lang w:val="en-GB" w:eastAsia="ja-JP"/>
        </w:rPr>
      </w:pPr>
    </w:p>
    <w:p w:rsidR="005D1710" w:rsidRPr="00666B27" w:rsidRDefault="005D1710" w:rsidP="005D1710">
      <w:pPr>
        <w:spacing w:after="0"/>
        <w:jc w:val="left"/>
        <w:rPr>
          <w:rFonts w:eastAsia="MS Mincho"/>
          <w:sz w:val="22"/>
          <w:szCs w:val="22"/>
          <w:lang w:val="en-GB"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5D1710" w:rsidRPr="0057545E" w:rsidTr="005D1710">
        <w:tc>
          <w:tcPr>
            <w:tcW w:w="8635" w:type="dxa"/>
            <w:tcBorders>
              <w:bottom w:val="single" w:sz="4" w:space="0" w:color="auto"/>
            </w:tcBorders>
            <w:shd w:val="clear" w:color="auto" w:fill="8DB3E2"/>
          </w:tcPr>
          <w:p w:rsidR="005D1710" w:rsidRPr="00666B27" w:rsidRDefault="005D1710" w:rsidP="005D1710">
            <w:pPr>
              <w:tabs>
                <w:tab w:val="left" w:pos="810"/>
              </w:tabs>
              <w:spacing w:after="0"/>
              <w:jc w:val="left"/>
              <w:rPr>
                <w:rFonts w:eastAsia="Times New Roman"/>
                <w:sz w:val="22"/>
                <w:szCs w:val="22"/>
                <w:u w:val="single"/>
                <w:lang w:val="en-GB" w:eastAsia="ja-JP"/>
              </w:rPr>
            </w:pPr>
            <w:r w:rsidRPr="00666B27">
              <w:rPr>
                <w:rFonts w:eastAsia="MS Mincho"/>
                <w:b/>
                <w:sz w:val="22"/>
                <w:szCs w:val="22"/>
                <w:lang w:val="en-GB" w:eastAsia="ja-JP"/>
              </w:rPr>
              <w:t xml:space="preserve">Checklist Potential Social and Environmental </w:t>
            </w:r>
            <w:r w:rsidRPr="00666B27">
              <w:rPr>
                <w:rFonts w:eastAsia="MS Mincho"/>
                <w:b/>
                <w:sz w:val="22"/>
                <w:szCs w:val="22"/>
                <w:u w:val="single"/>
                <w:lang w:val="en-GB" w:eastAsia="ja-JP"/>
              </w:rPr>
              <w:t>Risks</w:t>
            </w:r>
          </w:p>
        </w:tc>
        <w:tc>
          <w:tcPr>
            <w:tcW w:w="833" w:type="dxa"/>
            <w:tcBorders>
              <w:bottom w:val="single" w:sz="4" w:space="0" w:color="auto"/>
            </w:tcBorders>
            <w:shd w:val="clear" w:color="auto" w:fill="8DB3E2"/>
          </w:tcPr>
          <w:p w:rsidR="005D1710" w:rsidRPr="00666B27" w:rsidRDefault="005D1710" w:rsidP="005D1710">
            <w:pPr>
              <w:tabs>
                <w:tab w:val="left" w:pos="810"/>
              </w:tabs>
              <w:spacing w:after="0"/>
              <w:jc w:val="left"/>
              <w:rPr>
                <w:rFonts w:eastAsia="Times New Roman"/>
                <w:sz w:val="22"/>
                <w:szCs w:val="22"/>
                <w:lang w:val="en-GB" w:eastAsia="ja-JP"/>
              </w:rPr>
            </w:pPr>
          </w:p>
        </w:tc>
      </w:tr>
      <w:tr w:rsidR="005D1710" w:rsidRPr="0057545E" w:rsidTr="005D1710">
        <w:tc>
          <w:tcPr>
            <w:tcW w:w="8635" w:type="dxa"/>
            <w:tcBorders>
              <w:bottom w:val="single" w:sz="4" w:space="0" w:color="auto"/>
            </w:tcBorders>
            <w:shd w:val="clear" w:color="auto" w:fill="DBE5F1"/>
          </w:tcPr>
          <w:p w:rsidR="005D1710" w:rsidRPr="00353542" w:rsidRDefault="005D1710" w:rsidP="005D1710">
            <w:pPr>
              <w:tabs>
                <w:tab w:val="left" w:pos="810"/>
              </w:tabs>
              <w:spacing w:before="120" w:after="120"/>
              <w:jc w:val="left"/>
              <w:rPr>
                <w:rFonts w:eastAsia="MS Mincho"/>
                <w:b/>
                <w:sz w:val="18"/>
                <w:szCs w:val="18"/>
                <w:lang w:val="en-GB" w:eastAsia="ja-JP"/>
              </w:rPr>
            </w:pPr>
            <w:r w:rsidRPr="0057545E">
              <w:rPr>
                <w:rFonts w:eastAsia="MS Mincho"/>
                <w:b/>
                <w:sz w:val="18"/>
                <w:szCs w:val="18"/>
                <w:lang w:val="en-GB" w:eastAsia="ja-JP"/>
              </w:rPr>
              <w:t>Principles 1: Human Rights</w:t>
            </w:r>
          </w:p>
        </w:tc>
        <w:tc>
          <w:tcPr>
            <w:tcW w:w="833" w:type="dxa"/>
            <w:tcBorders>
              <w:bottom w:val="single" w:sz="4" w:space="0" w:color="auto"/>
            </w:tcBorders>
            <w:shd w:val="clear" w:color="auto" w:fill="DBE5F1"/>
          </w:tcPr>
          <w:p w:rsidR="005D1710" w:rsidRPr="004722F0" w:rsidRDefault="005D1710" w:rsidP="005D1710">
            <w:pPr>
              <w:tabs>
                <w:tab w:val="left" w:pos="810"/>
              </w:tabs>
              <w:spacing w:after="0"/>
              <w:jc w:val="center"/>
              <w:rPr>
                <w:rFonts w:eastAsia="MS Mincho"/>
                <w:b/>
                <w:sz w:val="18"/>
                <w:szCs w:val="18"/>
                <w:lang w:val="en-GB" w:eastAsia="ja-JP"/>
              </w:rPr>
            </w:pPr>
            <w:r w:rsidRPr="003B7D62">
              <w:rPr>
                <w:rFonts w:eastAsia="Times New Roman"/>
                <w:b/>
                <w:sz w:val="16"/>
                <w:szCs w:val="16"/>
                <w:lang w:val="en-GB" w:eastAsia="ja-JP"/>
              </w:rPr>
              <w:t xml:space="preserve">Answer </w:t>
            </w:r>
            <w:r w:rsidRPr="003B7D62">
              <w:rPr>
                <w:rFonts w:eastAsia="Times New Roman"/>
                <w:b/>
                <w:sz w:val="16"/>
                <w:szCs w:val="16"/>
                <w:lang w:val="en-GB" w:eastAsia="ja-JP"/>
              </w:rPr>
              <w:br/>
              <w:t>(Yes/No)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w:t>
            </w:r>
            <w:r w:rsidRPr="0057545E">
              <w:rPr>
                <w:rFonts w:eastAsia="Times New Roman"/>
                <w:sz w:val="18"/>
                <w:szCs w:val="18"/>
                <w:lang w:val="en-GB" w:eastAsia="ja-JP"/>
              </w:rPr>
              <w:tab/>
              <w:t xml:space="preserve">Could the Project lead to adverse impacts on </w:t>
            </w:r>
            <w:r w:rsidRPr="00353542">
              <w:rPr>
                <w:rFonts w:eastAsia="Times New Roman"/>
                <w:noProof/>
                <w:sz w:val="18"/>
                <w:szCs w:val="18"/>
                <w:lang w:val="en-GB" w:eastAsia="ja-JP"/>
              </w:rPr>
              <w:t>enjoyment</w:t>
            </w:r>
            <w:r w:rsidRPr="003B7D62">
              <w:rPr>
                <w:rFonts w:eastAsia="Times New Roman"/>
                <w:sz w:val="18"/>
                <w:szCs w:val="18"/>
                <w:lang w:val="en-GB" w:eastAsia="ja-JP"/>
              </w:rPr>
              <w:t xml:space="preserve"> of </w:t>
            </w:r>
            <w:r w:rsidRPr="004722F0">
              <w:rPr>
                <w:rFonts w:eastAsia="Times New Roman"/>
                <w:noProof/>
                <w:sz w:val="18"/>
                <w:szCs w:val="18"/>
                <w:lang w:val="en-GB" w:eastAsia="ja-JP"/>
              </w:rPr>
              <w:t>the human</w:t>
            </w:r>
            <w:r w:rsidRPr="00666B27">
              <w:rPr>
                <w:rFonts w:eastAsia="Times New Roman"/>
                <w:sz w:val="18"/>
                <w:szCs w:val="18"/>
                <w:lang w:val="en-GB" w:eastAsia="ja-JP"/>
              </w:rPr>
              <w:t xml:space="preserve"> rights (civil, political, economic, social or cultural) of the affected population and particularly of marginalized groups?</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2. </w:t>
            </w:r>
            <w:r w:rsidRPr="0057545E">
              <w:rPr>
                <w:rFonts w:eastAsia="Times New Roman"/>
                <w:sz w:val="18"/>
                <w:szCs w:val="18"/>
                <w:lang w:val="en-GB" w:eastAsia="ja-JP"/>
              </w:rPr>
              <w:tab/>
              <w:t xml:space="preserve">Is there a likelihood that the Project would have inequitable or discriminatory adverse impacts on affected </w:t>
            </w:r>
            <w:r w:rsidRPr="00353542">
              <w:rPr>
                <w:rFonts w:eastAsia="Times New Roman"/>
                <w:sz w:val="18"/>
                <w:szCs w:val="18"/>
                <w:lang w:val="en-GB" w:eastAsia="ja-JP"/>
              </w:rPr>
              <w:t>populations, particularly people living in poverty or marginalized or excluded individuals or groups?</w:t>
            </w:r>
            <w:r w:rsidRPr="003B7D62">
              <w:rPr>
                <w:rFonts w:eastAsia="Times New Roman"/>
                <w:sz w:val="18"/>
                <w:szCs w:val="18"/>
                <w:vertAlign w:val="superscript"/>
                <w:lang w:val="en-GB" w:eastAsia="ja-JP"/>
              </w:rPr>
              <w:t xml:space="preserve"> </w:t>
            </w:r>
            <w:r w:rsidRPr="0057545E">
              <w:rPr>
                <w:rFonts w:eastAsia="Times New Roman"/>
                <w:sz w:val="18"/>
                <w:szCs w:val="18"/>
                <w:vertAlign w:val="superscript"/>
                <w:lang w:val="en-GB" w:eastAsia="ja-JP"/>
              </w:rPr>
              <w:footnoteReference w:id="63"/>
            </w:r>
            <w:r w:rsidRPr="0057545E">
              <w:rPr>
                <w:rFonts w:eastAsia="Times New Roman"/>
                <w:sz w:val="18"/>
                <w:szCs w:val="18"/>
                <w:lang w:val="en-GB" w:eastAsia="ja-JP"/>
              </w:rPr>
              <w:t xml:space="preserve"> </w:t>
            </w:r>
          </w:p>
        </w:tc>
        <w:tc>
          <w:tcPr>
            <w:tcW w:w="833" w:type="dxa"/>
            <w:tcBorders>
              <w:bottom w:val="single" w:sz="4" w:space="0" w:color="auto"/>
            </w:tcBorders>
            <w:shd w:val="clear" w:color="auto" w:fill="auto"/>
          </w:tcPr>
          <w:p w:rsidR="005D1710" w:rsidRPr="004722F0" w:rsidRDefault="005D1710" w:rsidP="005D1710">
            <w:pPr>
              <w:tabs>
                <w:tab w:val="left" w:pos="810"/>
              </w:tabs>
              <w:spacing w:after="0"/>
              <w:jc w:val="left"/>
              <w:rPr>
                <w:rFonts w:eastAsia="MS Mincho"/>
                <w:sz w:val="18"/>
                <w:szCs w:val="18"/>
                <w:lang w:val="en-GB" w:eastAsia="ja-JP"/>
              </w:rPr>
            </w:pPr>
            <w:r w:rsidRPr="003B7D62">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w:t>
            </w:r>
            <w:r w:rsidRPr="0057545E">
              <w:rPr>
                <w:rFonts w:eastAsia="Times New Roman"/>
                <w:sz w:val="18"/>
                <w:szCs w:val="18"/>
                <w:lang w:val="en-GB" w:eastAsia="ja-JP"/>
              </w:rPr>
              <w:tab/>
              <w:t xml:space="preserve">Could the Project potentially restrict availability, quality of and access to resources or basic services, in particular to </w:t>
            </w:r>
            <w:r w:rsidRPr="00353542">
              <w:rPr>
                <w:rFonts w:eastAsia="Times New Roman"/>
                <w:sz w:val="18"/>
                <w:szCs w:val="18"/>
                <w:lang w:val="en-GB" w:eastAsia="ja-JP"/>
              </w:rPr>
              <w:t>marginalized individuals or groups?</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4722F0">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4.</w:t>
            </w:r>
            <w:r w:rsidRPr="0057545E">
              <w:rPr>
                <w:rFonts w:eastAsia="Times New Roman"/>
                <w:sz w:val="18"/>
                <w:szCs w:val="18"/>
                <w:lang w:val="en-GB" w:eastAsia="ja-JP"/>
              </w:rPr>
              <w:tab/>
              <w:t xml:space="preserve">Is there a likelihood that the Project would exclude any potentially affected stakeholders, in </w:t>
            </w:r>
            <w:r w:rsidRPr="00353542">
              <w:rPr>
                <w:rFonts w:eastAsia="Times New Roman"/>
                <w:noProof/>
                <w:sz w:val="18"/>
                <w:szCs w:val="18"/>
                <w:lang w:val="en-GB" w:eastAsia="ja-JP"/>
              </w:rPr>
              <w:t>particular</w:t>
            </w:r>
            <w:r w:rsidR="00FB2439" w:rsidRPr="003B7D62">
              <w:rPr>
                <w:rFonts w:eastAsia="Times New Roman"/>
                <w:noProof/>
                <w:sz w:val="18"/>
                <w:szCs w:val="18"/>
                <w:shd w:val="clear" w:color="auto" w:fill="BFEEDE"/>
                <w:lang w:val="en-GB" w:eastAsia="ja-JP"/>
              </w:rPr>
              <w:t>,</w:t>
            </w:r>
            <w:r w:rsidRPr="004722F0">
              <w:rPr>
                <w:rFonts w:eastAsia="Times New Roman"/>
                <w:sz w:val="18"/>
                <w:szCs w:val="18"/>
                <w:lang w:val="en-GB" w:eastAsia="ja-JP"/>
              </w:rPr>
              <w:t xml:space="preserve"> marginalized group</w:t>
            </w:r>
            <w:r w:rsidRPr="00666B27">
              <w:rPr>
                <w:rFonts w:eastAsia="Times New Roman"/>
                <w:sz w:val="18"/>
                <w:szCs w:val="18"/>
                <w:lang w:val="en-GB" w:eastAsia="ja-JP"/>
              </w:rPr>
              <w:t>s, from fully participating in decisions that may affect them?</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Del="00074D34"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5.</w:t>
            </w:r>
            <w:r w:rsidRPr="0057545E">
              <w:rPr>
                <w:rFonts w:eastAsia="Times New Roman"/>
                <w:sz w:val="18"/>
                <w:szCs w:val="18"/>
                <w:lang w:val="en-GB" w:eastAsia="ja-JP"/>
              </w:rPr>
              <w:tab/>
              <w:t>Is there a risk th</w:t>
            </w:r>
            <w:r w:rsidRPr="00353542">
              <w:rPr>
                <w:rFonts w:eastAsia="Times New Roman"/>
                <w:sz w:val="18"/>
                <w:szCs w:val="18"/>
                <w:lang w:val="en-GB" w:eastAsia="ja-JP"/>
              </w:rPr>
              <w:t>at duty-bearers do not have the capacity to meet their obligations in the Project?</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4722F0">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6.</w:t>
            </w:r>
            <w:r w:rsidRPr="0057545E">
              <w:rPr>
                <w:rFonts w:eastAsia="Times New Roman"/>
                <w:sz w:val="18"/>
                <w:szCs w:val="18"/>
                <w:lang w:val="en-GB" w:eastAsia="ja-JP"/>
              </w:rPr>
              <w:tab/>
            </w:r>
            <w:r w:rsidRPr="00353542">
              <w:rPr>
                <w:rFonts w:eastAsia="Times New Roman"/>
                <w:sz w:val="18"/>
                <w:szCs w:val="18"/>
                <w:lang w:val="en-GB" w:eastAsia="ja-JP"/>
              </w:rPr>
              <w:t>Is there a risk that rights-holders do not have the capacity to claim their ri</w:t>
            </w:r>
            <w:r w:rsidRPr="003B7D62">
              <w:rPr>
                <w:rFonts w:eastAsia="Times New Roman"/>
                <w:sz w:val="18"/>
                <w:szCs w:val="18"/>
                <w:lang w:val="en-GB" w:eastAsia="ja-JP"/>
              </w:rPr>
              <w:t xml:space="preserve">ghts? </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7.</w:t>
            </w:r>
            <w:r w:rsidRPr="0057545E">
              <w:rPr>
                <w:rFonts w:eastAsia="Times New Roman"/>
                <w:sz w:val="18"/>
                <w:szCs w:val="18"/>
                <w:lang w:val="en-GB"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tcPr>
          <w:p w:rsidR="005D1710" w:rsidRPr="004722F0" w:rsidRDefault="005D1710" w:rsidP="005D1710">
            <w:pPr>
              <w:tabs>
                <w:tab w:val="left" w:pos="810"/>
              </w:tabs>
              <w:spacing w:after="0"/>
              <w:jc w:val="left"/>
              <w:rPr>
                <w:rFonts w:eastAsia="MS Mincho"/>
                <w:sz w:val="18"/>
                <w:szCs w:val="18"/>
                <w:lang w:val="en-GB" w:eastAsia="ja-JP"/>
              </w:rPr>
            </w:pPr>
            <w:r w:rsidRPr="003B7D62">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8.</w:t>
            </w:r>
            <w:r w:rsidRPr="0057545E">
              <w:rPr>
                <w:rFonts w:eastAsia="Times New Roman"/>
                <w:sz w:val="18"/>
                <w:szCs w:val="18"/>
                <w:lang w:val="en-GB" w:eastAsia="ja-JP"/>
              </w:rPr>
              <w:tab/>
              <w:t>I</w:t>
            </w:r>
            <w:r w:rsidRPr="00353542">
              <w:rPr>
                <w:rFonts w:eastAsia="Times New Roman"/>
                <w:sz w:val="18"/>
                <w:szCs w:val="18"/>
                <w:lang w:val="en-GB" w:eastAsia="ja-JP"/>
              </w:rPr>
              <w:t>s there a risk that the Project would exacerbate conflicts among and/or the ri</w:t>
            </w:r>
            <w:r w:rsidRPr="003B7D62">
              <w:rPr>
                <w:rFonts w:eastAsia="Times New Roman"/>
                <w:sz w:val="18"/>
                <w:szCs w:val="18"/>
                <w:lang w:val="en-GB" w:eastAsia="ja-JP"/>
              </w:rPr>
              <w:t>sk of violence to project-affected communities and individuals?</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DBE5F1"/>
          </w:tcPr>
          <w:p w:rsidR="005D1710" w:rsidRPr="00353542" w:rsidRDefault="005D1710" w:rsidP="005D1710">
            <w:pPr>
              <w:tabs>
                <w:tab w:val="left" w:pos="810"/>
              </w:tabs>
              <w:spacing w:before="120" w:after="120"/>
              <w:jc w:val="left"/>
              <w:rPr>
                <w:rFonts w:eastAsia="MS Mincho"/>
                <w:b/>
                <w:sz w:val="18"/>
                <w:szCs w:val="18"/>
                <w:lang w:val="en-GB" w:eastAsia="ja-JP"/>
              </w:rPr>
            </w:pPr>
            <w:r w:rsidRPr="0057545E">
              <w:rPr>
                <w:rFonts w:eastAsia="MS Mincho"/>
                <w:b/>
                <w:sz w:val="18"/>
                <w:szCs w:val="18"/>
                <w:lang w:val="en-GB" w:eastAsia="ja-JP"/>
              </w:rPr>
              <w:t>Principle 2: Gender Equality and Women’s Empowerment</w:t>
            </w:r>
          </w:p>
        </w:tc>
        <w:tc>
          <w:tcPr>
            <w:tcW w:w="833" w:type="dxa"/>
            <w:tcBorders>
              <w:bottom w:val="single" w:sz="4" w:space="0" w:color="auto"/>
            </w:tcBorders>
            <w:shd w:val="clear" w:color="auto" w:fill="DBE5F1"/>
          </w:tcPr>
          <w:p w:rsidR="005D1710" w:rsidRPr="003B7D62" w:rsidRDefault="005D1710" w:rsidP="005D1710">
            <w:pPr>
              <w:tabs>
                <w:tab w:val="left" w:pos="810"/>
              </w:tabs>
              <w:spacing w:before="120" w:after="120"/>
              <w:jc w:val="left"/>
              <w:rPr>
                <w:rFonts w:eastAsia="MS Mincho"/>
                <w:b/>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w:t>
            </w:r>
            <w:r w:rsidRPr="0057545E">
              <w:rPr>
                <w:rFonts w:eastAsia="Times New Roman"/>
                <w:sz w:val="18"/>
                <w:szCs w:val="18"/>
                <w:lang w:val="en-GB" w:eastAsia="ja-JP"/>
              </w:rPr>
              <w:tab/>
            </w:r>
            <w:r w:rsidRPr="00353542">
              <w:rPr>
                <w:rFonts w:eastAsia="Times New Roman"/>
                <w:sz w:val="18"/>
                <w:szCs w:val="18"/>
                <w:lang w:val="en-GB" w:eastAsia="ja-JP"/>
              </w:rPr>
              <w:t>Is there a likelihood that the proposed Project would have adverse impacts on gender equality and/or the situation of women and gi</w:t>
            </w:r>
            <w:r w:rsidRPr="003B7D62">
              <w:rPr>
                <w:rFonts w:eastAsia="Times New Roman"/>
                <w:sz w:val="18"/>
                <w:szCs w:val="18"/>
                <w:lang w:val="en-GB" w:eastAsia="ja-JP"/>
              </w:rPr>
              <w:t xml:space="preserve">rls? </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2.</w:t>
            </w:r>
            <w:r w:rsidRPr="0057545E">
              <w:rPr>
                <w:rFonts w:eastAsia="Times New Roman"/>
                <w:sz w:val="18"/>
                <w:szCs w:val="18"/>
                <w:lang w:val="en-GB" w:eastAsia="ja-JP"/>
              </w:rPr>
              <w:tab/>
              <w:t xml:space="preserve">Would the Project potentially reproduce discriminations against women based on gender, especially </w:t>
            </w:r>
            <w:r w:rsidRPr="00353542">
              <w:rPr>
                <w:rFonts w:eastAsia="Times New Roman"/>
                <w:sz w:val="18"/>
                <w:szCs w:val="18"/>
                <w:lang w:val="en-GB" w:eastAsia="ja-JP"/>
              </w:rPr>
              <w:t>regarding participation in design and implementation or access to opportunities and benefits?</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4722F0">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w:t>
            </w:r>
            <w:r w:rsidRPr="0057545E">
              <w:rPr>
                <w:rFonts w:eastAsia="Times New Roman"/>
                <w:sz w:val="18"/>
                <w:szCs w:val="18"/>
                <w:lang w:val="en-GB" w:eastAsia="ja-JP"/>
              </w:rPr>
              <w:tab/>
              <w:t>Have women’s groups/leaders raised gender equality concerns regarding the Project during the stakeholder engagement process and has this been included in t</w:t>
            </w:r>
            <w:r w:rsidRPr="00353542">
              <w:rPr>
                <w:rFonts w:eastAsia="Times New Roman"/>
                <w:sz w:val="18"/>
                <w:szCs w:val="18"/>
                <w:lang w:val="en-GB" w:eastAsia="ja-JP"/>
              </w:rPr>
              <w:t>he overall Project proposal and in the risk assessment?</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4722F0">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4.</w:t>
            </w:r>
            <w:r w:rsidRPr="0057545E">
              <w:rPr>
                <w:rFonts w:eastAsia="Times New Roman"/>
                <w:sz w:val="18"/>
                <w:szCs w:val="18"/>
                <w:lang w:val="en-GB" w:eastAsia="ja-JP"/>
              </w:rPr>
              <w:tab/>
              <w:t xml:space="preserve">Would the Project potentially limit women’s ability to use, develop and protect natural resources, taking into account different roles and positions of women and men in accessing environmental </w:t>
            </w:r>
            <w:r w:rsidRPr="00353542">
              <w:rPr>
                <w:rFonts w:eastAsia="Times New Roman"/>
                <w:sz w:val="18"/>
                <w:szCs w:val="18"/>
                <w:lang w:val="en-GB" w:eastAsia="ja-JP"/>
              </w:rPr>
              <w:t>goods and services?</w:t>
            </w:r>
          </w:p>
          <w:p w:rsidR="005D1710" w:rsidRPr="00666B27" w:rsidRDefault="005D1710" w:rsidP="005D1710">
            <w:pPr>
              <w:tabs>
                <w:tab w:val="left" w:pos="900"/>
              </w:tabs>
              <w:spacing w:before="60"/>
              <w:ind w:left="567" w:hanging="567"/>
              <w:jc w:val="left"/>
              <w:rPr>
                <w:rFonts w:eastAsia="Times New Roman"/>
                <w:i/>
                <w:sz w:val="18"/>
                <w:szCs w:val="18"/>
                <w:lang w:val="en-GB" w:eastAsia="ja-JP"/>
              </w:rPr>
            </w:pPr>
            <w:r w:rsidRPr="00666B27">
              <w:rPr>
                <w:rFonts w:eastAsia="MS Mincho"/>
                <w:sz w:val="18"/>
                <w:szCs w:val="18"/>
                <w:lang w:val="en-GB" w:eastAsia="ja-JP"/>
              </w:rPr>
              <w:tab/>
            </w:r>
            <w:r w:rsidRPr="00666B27">
              <w:rPr>
                <w:rFonts w:eastAsia="MS Mincho"/>
                <w:i/>
                <w:sz w:val="18"/>
                <w:szCs w:val="18"/>
                <w:lang w:val="en-GB"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tcPr>
          <w:p w:rsidR="005D1710" w:rsidRPr="00666B27" w:rsidRDefault="005D1710" w:rsidP="005D1710">
            <w:pPr>
              <w:tabs>
                <w:tab w:val="left" w:pos="810"/>
              </w:tabs>
              <w:spacing w:after="0"/>
              <w:jc w:val="left"/>
              <w:rPr>
                <w:rFonts w:eastAsia="MS Mincho"/>
                <w:sz w:val="18"/>
                <w:szCs w:val="18"/>
                <w:lang w:val="en-GB" w:eastAsia="ja-JP"/>
              </w:rPr>
            </w:pPr>
            <w:r w:rsidRPr="00666B27">
              <w:rPr>
                <w:rFonts w:eastAsia="MS Mincho"/>
                <w:sz w:val="18"/>
                <w:szCs w:val="18"/>
                <w:lang w:val="en-GB" w:eastAsia="ja-JP"/>
              </w:rPr>
              <w:t>No</w:t>
            </w:r>
          </w:p>
        </w:tc>
      </w:tr>
      <w:tr w:rsidR="005D1710" w:rsidRPr="0057545E" w:rsidTr="005D1710">
        <w:tc>
          <w:tcPr>
            <w:tcW w:w="8635" w:type="dxa"/>
            <w:tcBorders>
              <w:bottom w:val="single" w:sz="4" w:space="0" w:color="auto"/>
            </w:tcBorders>
            <w:shd w:val="clear" w:color="auto" w:fill="DBE5F1"/>
          </w:tcPr>
          <w:p w:rsidR="005D1710" w:rsidRPr="00666B27" w:rsidRDefault="005D1710" w:rsidP="005D1710">
            <w:pPr>
              <w:tabs>
                <w:tab w:val="left" w:pos="810"/>
              </w:tabs>
              <w:spacing w:before="120" w:after="120"/>
              <w:jc w:val="left"/>
              <w:rPr>
                <w:rFonts w:eastAsia="Times New Roman"/>
                <w:b/>
                <w:sz w:val="18"/>
                <w:szCs w:val="18"/>
                <w:lang w:val="en-GB" w:eastAsia="ja-JP"/>
              </w:rPr>
            </w:pPr>
            <w:r w:rsidRPr="0057545E">
              <w:rPr>
                <w:rFonts w:eastAsia="MS Mincho"/>
                <w:b/>
                <w:sz w:val="18"/>
                <w:szCs w:val="18"/>
                <w:lang w:val="en-GB" w:eastAsia="ja-JP"/>
              </w:rPr>
              <w:t xml:space="preserve">Principle 3:  Environmental Sustainability: </w:t>
            </w:r>
            <w:r w:rsidRPr="00353542">
              <w:rPr>
                <w:rFonts w:eastAsia="MS Mincho"/>
                <w:sz w:val="18"/>
                <w:szCs w:val="18"/>
                <w:lang w:val="en-GB" w:eastAsia="ja-JP"/>
              </w:rPr>
              <w:t>Screening</w:t>
            </w:r>
            <w:r w:rsidRPr="003B7D62">
              <w:rPr>
                <w:rFonts w:eastAsia="MS Mincho"/>
                <w:b/>
                <w:sz w:val="18"/>
                <w:szCs w:val="18"/>
                <w:lang w:val="en-GB" w:eastAsia="ja-JP"/>
              </w:rPr>
              <w:t xml:space="preserve"> </w:t>
            </w:r>
            <w:r w:rsidRPr="004722F0">
              <w:rPr>
                <w:rFonts w:eastAsia="MS Mincho"/>
                <w:sz w:val="18"/>
                <w:szCs w:val="18"/>
                <w:lang w:val="en-GB" w:eastAsia="ja-JP"/>
              </w:rPr>
              <w:t>questions regarding environmental risks are encompassed by the specific Standard-related questions below</w:t>
            </w:r>
          </w:p>
        </w:tc>
        <w:tc>
          <w:tcPr>
            <w:tcW w:w="833" w:type="dxa"/>
            <w:tcBorders>
              <w:bottom w:val="single" w:sz="4" w:space="0" w:color="auto"/>
            </w:tcBorders>
            <w:shd w:val="clear" w:color="auto" w:fill="DBE5F1"/>
          </w:tcPr>
          <w:p w:rsidR="005D1710" w:rsidRPr="00666B27" w:rsidRDefault="005D1710" w:rsidP="005D1710">
            <w:pPr>
              <w:tabs>
                <w:tab w:val="left" w:pos="810"/>
              </w:tabs>
              <w:spacing w:after="0"/>
              <w:jc w:val="left"/>
              <w:rPr>
                <w:rFonts w:eastAsia="MS Mincho"/>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57545E" w:rsidRDefault="005D1710" w:rsidP="005D1710">
            <w:pPr>
              <w:tabs>
                <w:tab w:val="left" w:pos="810"/>
              </w:tabs>
              <w:spacing w:after="0"/>
              <w:jc w:val="left"/>
              <w:rPr>
                <w:rFonts w:eastAsia="Times New Roman"/>
                <w:b/>
                <w:sz w:val="18"/>
                <w:szCs w:val="18"/>
                <w:lang w:val="en-GB" w:eastAsia="ja-JP"/>
              </w:rPr>
            </w:pPr>
          </w:p>
        </w:tc>
        <w:tc>
          <w:tcPr>
            <w:tcW w:w="833" w:type="dxa"/>
            <w:tcBorders>
              <w:bottom w:val="single" w:sz="4" w:space="0" w:color="auto"/>
            </w:tcBorders>
            <w:shd w:val="clear" w:color="auto" w:fill="auto"/>
          </w:tcPr>
          <w:p w:rsidR="005D1710" w:rsidRPr="00353542" w:rsidRDefault="005D1710" w:rsidP="005D1710">
            <w:pPr>
              <w:tabs>
                <w:tab w:val="left" w:pos="810"/>
              </w:tabs>
              <w:spacing w:after="0"/>
              <w:jc w:val="left"/>
              <w:rPr>
                <w:rFonts w:eastAsia="MS Mincho"/>
                <w:sz w:val="18"/>
                <w:szCs w:val="18"/>
                <w:lang w:val="en-GB" w:eastAsia="ja-JP"/>
              </w:rPr>
            </w:pPr>
          </w:p>
        </w:tc>
      </w:tr>
      <w:tr w:rsidR="005D1710" w:rsidRPr="0057545E" w:rsidTr="005D1710">
        <w:tc>
          <w:tcPr>
            <w:tcW w:w="8635" w:type="dxa"/>
            <w:tcBorders>
              <w:bottom w:val="single" w:sz="4" w:space="0" w:color="auto"/>
            </w:tcBorders>
            <w:shd w:val="clear" w:color="auto" w:fill="DBE5F1"/>
            <w:vAlign w:val="center"/>
          </w:tcPr>
          <w:p w:rsidR="005D1710" w:rsidRPr="00353542" w:rsidRDefault="005D1710" w:rsidP="005D1710">
            <w:pPr>
              <w:tabs>
                <w:tab w:val="left" w:pos="570"/>
              </w:tabs>
              <w:spacing w:before="120" w:after="120"/>
              <w:jc w:val="left"/>
              <w:rPr>
                <w:rFonts w:eastAsia="Times New Roman"/>
                <w:b/>
                <w:sz w:val="18"/>
                <w:szCs w:val="18"/>
                <w:lang w:val="en-GB" w:eastAsia="ja-JP"/>
              </w:rPr>
            </w:pPr>
            <w:r w:rsidRPr="0057545E">
              <w:rPr>
                <w:rFonts w:eastAsia="Times New Roman"/>
                <w:b/>
                <w:sz w:val="18"/>
                <w:szCs w:val="18"/>
                <w:lang w:val="en-GB" w:eastAsia="ja-JP"/>
              </w:rPr>
              <w:t xml:space="preserve">Standard 1: Biodiversity Conservation and Sustainable </w:t>
            </w:r>
            <w:hyperlink w:anchor="SustNatResManGlossary" w:history="1">
              <w:r w:rsidRPr="00666B27">
                <w:rPr>
                  <w:rFonts w:eastAsia="Times New Roman"/>
                  <w:b/>
                  <w:sz w:val="18"/>
                  <w:szCs w:val="18"/>
                  <w:lang w:val="en-GB" w:eastAsia="ja-JP"/>
                </w:rPr>
                <w:t>Natural</w:t>
              </w:r>
            </w:hyperlink>
            <w:r w:rsidRPr="0057545E">
              <w:rPr>
                <w:rFonts w:eastAsia="MS Mincho"/>
                <w:b/>
                <w:sz w:val="18"/>
                <w:szCs w:val="18"/>
                <w:lang w:val="en-GB" w:eastAsia="ja-JP"/>
              </w:rPr>
              <w:t xml:space="preserve"> Resource Management</w:t>
            </w:r>
          </w:p>
        </w:tc>
        <w:tc>
          <w:tcPr>
            <w:tcW w:w="833" w:type="dxa"/>
            <w:tcBorders>
              <w:bottom w:val="single" w:sz="4" w:space="0" w:color="auto"/>
            </w:tcBorders>
            <w:shd w:val="clear" w:color="auto" w:fill="DBE5F1"/>
          </w:tcPr>
          <w:p w:rsidR="005D1710" w:rsidRPr="003B7D62" w:rsidRDefault="005D1710" w:rsidP="005D1710">
            <w:pPr>
              <w:spacing w:after="0"/>
              <w:jc w:val="left"/>
              <w:rPr>
                <w:rFonts w:eastAsia="Times New Roman"/>
                <w:b/>
                <w:sz w:val="18"/>
                <w:szCs w:val="18"/>
                <w:lang w:val="en-GB" w:eastAsia="ja-JP"/>
              </w:rPr>
            </w:pPr>
          </w:p>
        </w:tc>
      </w:tr>
      <w:tr w:rsidR="005D1710" w:rsidRPr="0057545E" w:rsidTr="005D1710">
        <w:tc>
          <w:tcPr>
            <w:tcW w:w="8635" w:type="dxa"/>
            <w:shd w:val="clear" w:color="auto" w:fill="auto"/>
          </w:tcPr>
          <w:p w:rsidR="005D1710" w:rsidRPr="00666B27"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1.1 </w:t>
            </w:r>
            <w:r w:rsidRPr="0057545E">
              <w:rPr>
                <w:rFonts w:eastAsia="Times New Roman"/>
                <w:sz w:val="18"/>
                <w:szCs w:val="18"/>
                <w:lang w:val="en-GB" w:eastAsia="ja-JP"/>
              </w:rPr>
              <w:tab/>
              <w:t xml:space="preserve">Would the Project potentially cause adverse impacts to habitats (e.g. modified, natural, and critical habitats) and/or </w:t>
            </w:r>
            <w:r w:rsidRPr="00353542">
              <w:rPr>
                <w:rFonts w:eastAsia="Times New Roman"/>
                <w:sz w:val="18"/>
                <w:szCs w:val="18"/>
                <w:lang w:val="en-GB" w:eastAsia="ja-JP"/>
              </w:rPr>
              <w:t>ecosystems and ecosystem services?</w:t>
            </w:r>
            <w:r w:rsidRPr="00353542">
              <w:rPr>
                <w:rFonts w:eastAsia="Times New Roman"/>
                <w:sz w:val="18"/>
                <w:szCs w:val="18"/>
                <w:lang w:val="en-GB" w:eastAsia="ja-JP"/>
              </w:rPr>
              <w:br/>
            </w:r>
            <w:r w:rsidRPr="00353542">
              <w:rPr>
                <w:rFonts w:eastAsia="Times New Roman"/>
                <w:sz w:val="18"/>
                <w:szCs w:val="18"/>
                <w:lang w:val="en-GB" w:eastAsia="ja-JP"/>
              </w:rPr>
              <w:lastRenderedPageBreak/>
              <w:br/>
            </w:r>
            <w:r w:rsidRPr="003B7D62">
              <w:rPr>
                <w:rFonts w:eastAsia="Times New Roman"/>
                <w:i/>
                <w:sz w:val="18"/>
                <w:szCs w:val="18"/>
                <w:lang w:val="en-GB" w:eastAsia="ja-JP"/>
              </w:rPr>
              <w:t>For example, th</w:t>
            </w:r>
            <w:r w:rsidRPr="004722F0">
              <w:rPr>
                <w:rFonts w:eastAsia="Times New Roman"/>
                <w:i/>
                <w:sz w:val="18"/>
                <w:szCs w:val="18"/>
                <w:lang w:val="en-GB" w:eastAsia="ja-JP"/>
              </w:rPr>
              <w:t>rough habitat loss, conversion or degradation, fragmentation, hydrological changes</w:t>
            </w:r>
          </w:p>
        </w:tc>
        <w:tc>
          <w:tcPr>
            <w:tcW w:w="833" w:type="dxa"/>
            <w:shd w:val="clear" w:color="auto" w:fill="auto"/>
          </w:tcPr>
          <w:p w:rsidR="005D1710" w:rsidRPr="00666B27" w:rsidRDefault="005D1710" w:rsidP="005D1710">
            <w:pPr>
              <w:spacing w:after="0"/>
              <w:jc w:val="left"/>
              <w:rPr>
                <w:rFonts w:eastAsia="Times New Roman"/>
                <w:sz w:val="18"/>
                <w:szCs w:val="18"/>
                <w:lang w:val="en-GB" w:eastAsia="ja-JP"/>
              </w:rPr>
            </w:pPr>
            <w:r w:rsidRPr="00666B27">
              <w:rPr>
                <w:rFonts w:eastAsia="Times New Roman"/>
                <w:sz w:val="18"/>
                <w:szCs w:val="18"/>
                <w:lang w:val="en-GB" w:eastAsia="ja-JP"/>
              </w:rPr>
              <w:lastRenderedPageBreak/>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autoSpaceDE w:val="0"/>
              <w:autoSpaceDN w:val="0"/>
              <w:adjustRightInd w:val="0"/>
              <w:spacing w:before="60"/>
              <w:ind w:left="567" w:hanging="567"/>
              <w:jc w:val="left"/>
              <w:rPr>
                <w:rFonts w:eastAsia="Times New Roman"/>
                <w:color w:val="000000"/>
                <w:sz w:val="18"/>
                <w:szCs w:val="18"/>
                <w:lang w:val="en-GB" w:eastAsia="ja-JP"/>
              </w:rPr>
            </w:pPr>
            <w:r w:rsidRPr="0057545E">
              <w:rPr>
                <w:rFonts w:eastAsia="Times New Roman"/>
                <w:bCs/>
                <w:color w:val="000000"/>
                <w:sz w:val="18"/>
                <w:szCs w:val="18"/>
                <w:lang w:val="en-GB" w:eastAsia="ja-JP"/>
              </w:rPr>
              <w:t xml:space="preserve">1.2 </w:t>
            </w:r>
            <w:r w:rsidRPr="0057545E">
              <w:rPr>
                <w:rFonts w:eastAsia="Times New Roman"/>
                <w:bCs/>
                <w:color w:val="000000"/>
                <w:sz w:val="18"/>
                <w:szCs w:val="18"/>
                <w:lang w:val="en-GB" w:eastAsia="ja-JP"/>
              </w:rPr>
              <w:tab/>
              <w:t xml:space="preserve">Are any Project activities proposed within or adjacent to critical habitats and/or environmentally </w:t>
            </w:r>
            <w:r w:rsidRPr="00353542">
              <w:rPr>
                <w:rFonts w:eastAsia="Times New Roman"/>
                <w:bCs/>
                <w:color w:val="000000"/>
                <w:sz w:val="18"/>
                <w:szCs w:val="18"/>
                <w:lang w:val="en-GB" w:eastAsia="ja-JP"/>
              </w:rPr>
              <w:t>sensitive areas, including legally protected areas (e.g. nature r</w:t>
            </w:r>
            <w:r w:rsidRPr="003B7D62">
              <w:rPr>
                <w:rFonts w:eastAsia="Times New Roman"/>
                <w:bCs/>
                <w:color w:val="000000"/>
                <w:sz w:val="18"/>
                <w:szCs w:val="18"/>
                <w:lang w:val="en-GB" w:eastAsia="ja-JP"/>
              </w:rPr>
              <w:t>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1.3</w:t>
            </w:r>
            <w:r w:rsidRPr="0057545E">
              <w:rPr>
                <w:rFonts w:eastAsia="Times New Roman"/>
                <w:sz w:val="18"/>
                <w:szCs w:val="18"/>
                <w:lang w:val="en-GB" w:eastAsia="ja-JP"/>
              </w:rPr>
              <w:tab/>
              <w:t xml:space="preserve">Does the Project involve </w:t>
            </w:r>
            <w:r w:rsidRPr="00353542">
              <w:rPr>
                <w:rFonts w:eastAsia="Times New Roman"/>
                <w:sz w:val="18"/>
                <w:szCs w:val="18"/>
                <w:lang w:val="en-GB" w:eastAsia="ja-JP"/>
              </w:rPr>
              <w:t>changes to the use of lands and resources that may have adverse impacts o</w:t>
            </w:r>
            <w:r w:rsidRPr="003B7D62">
              <w:rPr>
                <w:rFonts w:eastAsia="Times New Roman"/>
                <w:sz w:val="18"/>
                <w:szCs w:val="18"/>
                <w:lang w:val="en-GB" w:eastAsia="ja-JP"/>
              </w:rPr>
              <w:t>n habitats, ecosystems, and/or livelihoods? (Note: if restrictions and/or limitations of access to lands would apply, refer to Standard 5)</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1.4</w:t>
            </w:r>
            <w:r w:rsidRPr="0057545E">
              <w:rPr>
                <w:rFonts w:eastAsia="Times New Roman"/>
                <w:sz w:val="18"/>
                <w:szCs w:val="18"/>
                <w:lang w:val="en-GB" w:eastAsia="ja-JP"/>
              </w:rPr>
              <w:tab/>
              <w:t xml:space="preserve">Would Project activities pose risks </w:t>
            </w:r>
            <w:r w:rsidRPr="00353542">
              <w:rPr>
                <w:rFonts w:eastAsia="Times New Roman"/>
                <w:sz w:val="18"/>
                <w:szCs w:val="18"/>
                <w:lang w:val="en-GB" w:eastAsia="ja-JP"/>
              </w:rPr>
              <w:t>to endangered species?</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1.5 </w:t>
            </w:r>
            <w:r w:rsidRPr="0057545E">
              <w:rPr>
                <w:rFonts w:eastAsia="Times New Roman"/>
                <w:sz w:val="18"/>
                <w:szCs w:val="18"/>
                <w:lang w:val="en-GB" w:eastAsia="ja-JP"/>
              </w:rPr>
              <w:tab/>
              <w:t xml:space="preserve">Would the Project pose a risk of introducing invasive alien species? </w:t>
            </w:r>
          </w:p>
        </w:tc>
        <w:tc>
          <w:tcPr>
            <w:tcW w:w="833" w:type="dxa"/>
            <w:tcBorders>
              <w:bottom w:val="single" w:sz="4" w:space="0" w:color="auto"/>
            </w:tcBorders>
            <w:shd w:val="clear" w:color="auto" w:fill="auto"/>
          </w:tcPr>
          <w:p w:rsidR="005D1710" w:rsidRPr="004722F0" w:rsidRDefault="005D1710" w:rsidP="005D1710">
            <w:pPr>
              <w:spacing w:after="0"/>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1.6</w:t>
            </w:r>
            <w:r w:rsidRPr="0057545E">
              <w:rPr>
                <w:rFonts w:eastAsia="Times New Roman"/>
                <w:sz w:val="18"/>
                <w:szCs w:val="18"/>
                <w:lang w:val="en-GB" w:eastAsia="ja-JP"/>
              </w:rPr>
              <w:tab/>
              <w:t>Does the Project involve harvesting of natural forests, plantation development, or reforestation?</w:t>
            </w:r>
          </w:p>
        </w:tc>
        <w:tc>
          <w:tcPr>
            <w:tcW w:w="833" w:type="dxa"/>
            <w:tcBorders>
              <w:bottom w:val="single" w:sz="4" w:space="0" w:color="auto"/>
            </w:tcBorders>
            <w:shd w:val="clear" w:color="auto" w:fill="auto"/>
          </w:tcPr>
          <w:p w:rsidR="005D1710" w:rsidRPr="004722F0" w:rsidRDefault="005D1710" w:rsidP="005D1710">
            <w:pPr>
              <w:spacing w:after="0"/>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1.7 </w:t>
            </w:r>
            <w:r w:rsidRPr="0057545E">
              <w:rPr>
                <w:rFonts w:eastAsia="Times New Roman"/>
                <w:sz w:val="18"/>
                <w:szCs w:val="18"/>
                <w:lang w:val="en-GB" w:eastAsia="ja-JP"/>
              </w:rPr>
              <w:tab/>
              <w:t>Does the Project involve the production</w:t>
            </w:r>
            <w:r w:rsidRPr="00353542">
              <w:rPr>
                <w:rFonts w:eastAsia="Times New Roman"/>
                <w:sz w:val="18"/>
                <w:szCs w:val="18"/>
                <w:lang w:val="en-GB" w:eastAsia="ja-JP"/>
              </w:rPr>
              <w:t xml:space="preserve"> and/or harvesting of fish populations or other aquatic species?</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1.8 </w:t>
            </w:r>
            <w:r w:rsidRPr="0057545E">
              <w:rPr>
                <w:rFonts w:eastAsia="Times New Roman"/>
                <w:sz w:val="18"/>
                <w:szCs w:val="18"/>
                <w:lang w:val="en-GB" w:eastAsia="ja-JP"/>
              </w:rPr>
              <w:tab/>
              <w:t xml:space="preserve">Does the Project involve significant extraction, diversion or containment of surface or </w:t>
            </w:r>
            <w:r w:rsidRPr="00353542">
              <w:rPr>
                <w:rFonts w:eastAsia="Times New Roman"/>
                <w:noProof/>
                <w:sz w:val="18"/>
                <w:szCs w:val="18"/>
                <w:lang w:val="en-GB" w:eastAsia="ja-JP"/>
              </w:rPr>
              <w:t>ground water</w:t>
            </w:r>
            <w:r w:rsidRPr="003B7D62">
              <w:rPr>
                <w:rFonts w:eastAsia="Times New Roman"/>
                <w:sz w:val="18"/>
                <w:szCs w:val="18"/>
                <w:lang w:val="en-GB" w:eastAsia="ja-JP"/>
              </w:rPr>
              <w:t>?</w:t>
            </w:r>
          </w:p>
          <w:p w:rsidR="005D1710" w:rsidRPr="00666B27" w:rsidRDefault="005D1710" w:rsidP="005D1710">
            <w:pPr>
              <w:tabs>
                <w:tab w:val="left" w:pos="900"/>
              </w:tabs>
              <w:spacing w:before="60"/>
              <w:ind w:left="567" w:hanging="567"/>
              <w:jc w:val="left"/>
              <w:rPr>
                <w:rFonts w:eastAsia="Times New Roman"/>
                <w:i/>
                <w:sz w:val="18"/>
                <w:szCs w:val="18"/>
                <w:lang w:val="en-GB" w:eastAsia="ja-JP"/>
              </w:rPr>
            </w:pPr>
            <w:r w:rsidRPr="00666B27">
              <w:rPr>
                <w:rFonts w:eastAsia="Times New Roman"/>
                <w:sz w:val="18"/>
                <w:szCs w:val="18"/>
                <w:lang w:val="en-GB" w:eastAsia="ja-JP"/>
              </w:rPr>
              <w:tab/>
            </w:r>
            <w:r w:rsidRPr="00666B27">
              <w:rPr>
                <w:rFonts w:eastAsia="Times New Roman"/>
                <w:i/>
                <w:sz w:val="18"/>
                <w:szCs w:val="18"/>
                <w:lang w:val="en-GB" w:eastAsia="ja-JP"/>
              </w:rPr>
              <w:t>For example, construction of dams, reservoirs, river basin developments, groundwater extraction</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1.9</w:t>
            </w:r>
            <w:r w:rsidRPr="0057545E">
              <w:rPr>
                <w:rFonts w:eastAsia="Times New Roman"/>
                <w:sz w:val="18"/>
                <w:szCs w:val="18"/>
                <w:lang w:val="en-GB" w:eastAsia="ja-JP"/>
              </w:rPr>
              <w:tab/>
            </w:r>
            <w:r w:rsidRPr="00353542">
              <w:rPr>
                <w:rFonts w:eastAsia="Times New Roman"/>
                <w:sz w:val="18"/>
                <w:szCs w:val="18"/>
                <w:lang w:val="en-GB" w:eastAsia="ja-JP"/>
              </w:rPr>
              <w:t xml:space="preserve">Does the Project involve utilization of genetic </w:t>
            </w:r>
            <w:r w:rsidRPr="003B7D62">
              <w:rPr>
                <w:rFonts w:eastAsia="Times New Roman"/>
                <w:sz w:val="18"/>
                <w:szCs w:val="18"/>
                <w:lang w:val="en-GB" w:eastAsia="ja-JP"/>
              </w:rPr>
              <w:t xml:space="preserve">resources? (e.g. collection and/or harvesting, commercial development)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900"/>
              </w:tabs>
              <w:spacing w:before="60"/>
              <w:ind w:left="567" w:hanging="567"/>
              <w:jc w:val="left"/>
              <w:rPr>
                <w:rFonts w:eastAsia="Times New Roman"/>
                <w:b/>
                <w:sz w:val="18"/>
                <w:szCs w:val="18"/>
                <w:lang w:val="en-GB" w:eastAsia="ja-JP"/>
              </w:rPr>
            </w:pPr>
            <w:r w:rsidRPr="0057545E">
              <w:rPr>
                <w:rFonts w:eastAsia="Times New Roman"/>
                <w:sz w:val="18"/>
                <w:szCs w:val="18"/>
                <w:lang w:val="en-GB" w:eastAsia="ja-JP"/>
              </w:rPr>
              <w:t>1.10</w:t>
            </w:r>
            <w:r w:rsidRPr="0057545E">
              <w:rPr>
                <w:rFonts w:eastAsia="Times New Roman"/>
                <w:sz w:val="18"/>
                <w:szCs w:val="18"/>
                <w:lang w:val="en-GB" w:eastAsia="ja-JP"/>
              </w:rPr>
              <w:tab/>
              <w:t>Would the Project generate potential adverse transboundary or global environmental concerns?</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900"/>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1.11</w:t>
            </w:r>
            <w:r w:rsidRPr="0057545E">
              <w:rPr>
                <w:rFonts w:eastAsia="Times New Roman"/>
                <w:sz w:val="18"/>
                <w:szCs w:val="18"/>
                <w:lang w:val="en-GB" w:eastAsia="ja-JP"/>
              </w:rPr>
              <w:tab/>
              <w:t xml:space="preserve">Would the Project </w:t>
            </w:r>
            <w:r w:rsidRPr="00353542">
              <w:rPr>
                <w:rFonts w:eastAsia="Times New Roman"/>
                <w:sz w:val="18"/>
                <w:szCs w:val="18"/>
                <w:lang w:val="en-GB" w:eastAsia="ja-JP"/>
              </w:rPr>
              <w:t>result in secondary or consequential development activi</w:t>
            </w:r>
            <w:r w:rsidRPr="003B7D62">
              <w:rPr>
                <w:rFonts w:eastAsia="Times New Roman"/>
                <w:sz w:val="18"/>
                <w:szCs w:val="18"/>
                <w:lang w:val="en-GB" w:eastAsia="ja-JP"/>
              </w:rPr>
              <w:t>ties which could lead to adverse social and environmental effects, or would it generate cumulative impacts with other known existing or planned activities in the area?</w:t>
            </w:r>
          </w:p>
          <w:p w:rsidR="005D1710" w:rsidRPr="00666B27" w:rsidRDefault="005D1710" w:rsidP="005D1710">
            <w:pPr>
              <w:tabs>
                <w:tab w:val="left" w:pos="900"/>
              </w:tabs>
              <w:spacing w:before="60"/>
              <w:ind w:left="567" w:hanging="567"/>
              <w:jc w:val="left"/>
              <w:rPr>
                <w:rFonts w:eastAsia="Times New Roman"/>
                <w:i/>
                <w:sz w:val="18"/>
                <w:szCs w:val="18"/>
                <w:lang w:val="en-GB" w:eastAsia="ja-JP"/>
              </w:rPr>
            </w:pPr>
            <w:r w:rsidRPr="00666B27">
              <w:rPr>
                <w:rFonts w:eastAsia="Times New Roman"/>
                <w:sz w:val="18"/>
                <w:szCs w:val="18"/>
                <w:lang w:val="en-GB" w:eastAsia="ja-JP"/>
              </w:rPr>
              <w:tab/>
            </w:r>
            <w:r w:rsidRPr="00666B27">
              <w:rPr>
                <w:rFonts w:eastAsia="Times New Roman"/>
                <w:i/>
                <w:sz w:val="18"/>
                <w:szCs w:val="18"/>
                <w:lang w:val="en-GB"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jc w:val="left"/>
              <w:rPr>
                <w:rFonts w:eastAsia="Times New Roman"/>
                <w:sz w:val="18"/>
                <w:szCs w:val="18"/>
                <w:lang w:val="en-GB" w:eastAsia="ja-JP"/>
              </w:rPr>
            </w:pPr>
            <w:r w:rsidRPr="00666B27">
              <w:rPr>
                <w:rFonts w:eastAsia="Times New Roman"/>
                <w:sz w:val="18"/>
                <w:szCs w:val="18"/>
                <w:lang w:val="en-GB" w:eastAsia="ja-JP"/>
              </w:rPr>
              <w:t xml:space="preserve">No </w:t>
            </w:r>
          </w:p>
        </w:tc>
      </w:tr>
      <w:tr w:rsidR="005D1710" w:rsidRPr="0057545E" w:rsidTr="005D1710">
        <w:trPr>
          <w:trHeight w:val="530"/>
        </w:trPr>
        <w:tc>
          <w:tcPr>
            <w:tcW w:w="8635" w:type="dxa"/>
            <w:tcBorders>
              <w:bottom w:val="single" w:sz="4" w:space="0" w:color="auto"/>
            </w:tcBorders>
            <w:shd w:val="clear" w:color="auto" w:fill="DBE5F1"/>
            <w:vAlign w:val="center"/>
          </w:tcPr>
          <w:p w:rsidR="005D1710" w:rsidRPr="00353542" w:rsidRDefault="005D1710" w:rsidP="005D1710">
            <w:pPr>
              <w:tabs>
                <w:tab w:val="left" w:pos="555"/>
              </w:tabs>
              <w:spacing w:before="120" w:after="120"/>
              <w:jc w:val="left"/>
              <w:rPr>
                <w:rFonts w:eastAsia="Times New Roman"/>
                <w:b/>
                <w:sz w:val="18"/>
                <w:szCs w:val="18"/>
                <w:lang w:val="en-GB" w:eastAsia="ja-JP"/>
              </w:rPr>
            </w:pPr>
            <w:r w:rsidRPr="0057545E">
              <w:rPr>
                <w:rFonts w:eastAsia="Times New Roman"/>
                <w:b/>
                <w:sz w:val="18"/>
                <w:szCs w:val="18"/>
                <w:lang w:val="en-GB" w:eastAsia="ja-JP"/>
              </w:rPr>
              <w:t>Standard 2: Climate Change Mitigation and Adaptation</w:t>
            </w:r>
          </w:p>
        </w:tc>
        <w:tc>
          <w:tcPr>
            <w:tcW w:w="833" w:type="dxa"/>
            <w:tcBorders>
              <w:bottom w:val="single" w:sz="4" w:space="0" w:color="auto"/>
            </w:tcBorders>
            <w:shd w:val="clear" w:color="auto" w:fill="DBE5F1"/>
          </w:tcPr>
          <w:p w:rsidR="005D1710" w:rsidRPr="003B7D62" w:rsidRDefault="005D1710" w:rsidP="005D1710">
            <w:pPr>
              <w:tabs>
                <w:tab w:val="left" w:pos="585"/>
              </w:tabs>
              <w:spacing w:before="60"/>
              <w:ind w:left="567" w:hanging="567"/>
              <w:jc w:val="left"/>
              <w:rPr>
                <w:rFonts w:eastAsia="Times New Roman"/>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2.1 </w:t>
            </w:r>
            <w:r w:rsidRPr="0057545E">
              <w:rPr>
                <w:rFonts w:eastAsia="Times New Roman"/>
                <w:sz w:val="18"/>
                <w:szCs w:val="18"/>
                <w:lang w:val="en-GB" w:eastAsia="ja-JP"/>
              </w:rPr>
              <w:tab/>
              <w:t>Will the proposed Project result in significant</w:t>
            </w:r>
            <w:r w:rsidRPr="0057545E">
              <w:rPr>
                <w:rFonts w:eastAsia="MS Mincho"/>
                <w:sz w:val="18"/>
                <w:szCs w:val="18"/>
                <w:vertAlign w:val="superscript"/>
                <w:lang w:val="en-GB" w:eastAsia="ja-JP"/>
              </w:rPr>
              <w:footnoteReference w:id="64"/>
            </w:r>
            <w:r w:rsidRPr="0057545E">
              <w:rPr>
                <w:rFonts w:eastAsia="Times New Roman"/>
                <w:sz w:val="18"/>
                <w:szCs w:val="18"/>
                <w:vertAlign w:val="superscript"/>
                <w:lang w:val="en-GB" w:eastAsia="ja-JP"/>
              </w:rPr>
              <w:t xml:space="preserve"> </w:t>
            </w:r>
            <w:r w:rsidRPr="00353542">
              <w:rPr>
                <w:rFonts w:eastAsia="Times New Roman"/>
                <w:sz w:val="18"/>
                <w:szCs w:val="18"/>
                <w:lang w:val="en-GB" w:eastAsia="ja-JP"/>
              </w:rPr>
              <w:t xml:space="preserve">greenhouse gas emissions or may exacerbate climate change?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autoSpaceDE w:val="0"/>
              <w:autoSpaceDN w:val="0"/>
              <w:adjustRightInd w:val="0"/>
              <w:spacing w:before="60"/>
              <w:ind w:left="567" w:hanging="567"/>
              <w:jc w:val="left"/>
              <w:rPr>
                <w:rFonts w:eastAsia="Times New Roman"/>
                <w:sz w:val="18"/>
                <w:szCs w:val="18"/>
                <w:lang w:val="en-GB" w:eastAsia="ja-JP"/>
              </w:rPr>
            </w:pPr>
            <w:r w:rsidRPr="0057545E">
              <w:rPr>
                <w:rFonts w:eastAsia="Times New Roman"/>
                <w:sz w:val="18"/>
                <w:szCs w:val="18"/>
                <w:lang w:val="en-GB" w:eastAsia="ja-JP"/>
              </w:rPr>
              <w:t>2.2</w:t>
            </w:r>
            <w:r w:rsidRPr="0057545E">
              <w:rPr>
                <w:rFonts w:eastAsia="Times New Roman"/>
                <w:sz w:val="18"/>
                <w:szCs w:val="18"/>
                <w:lang w:val="en-GB" w:eastAsia="ja-JP"/>
              </w:rPr>
              <w:tab/>
            </w:r>
            <w:r w:rsidRPr="00353542">
              <w:rPr>
                <w:rFonts w:eastAsia="Times New Roman"/>
                <w:sz w:val="18"/>
                <w:szCs w:val="18"/>
                <w:lang w:val="en-GB" w:eastAsia="ja-JP"/>
              </w:rPr>
              <w:t>Would the potential outcomes of the Project be sensitive or vulnerable to</w:t>
            </w:r>
            <w:r w:rsidRPr="003B7D62">
              <w:rPr>
                <w:rFonts w:eastAsia="Times New Roman"/>
                <w:sz w:val="18"/>
                <w:szCs w:val="18"/>
                <w:lang w:val="en-GB" w:eastAsia="ja-JP"/>
              </w:rPr>
              <w:t xml:space="preserve"> potential impacts of </w:t>
            </w:r>
            <w:r w:rsidRPr="004722F0">
              <w:rPr>
                <w:rFonts w:eastAsia="Times New Roman"/>
                <w:bCs/>
                <w:color w:val="000000"/>
                <w:sz w:val="18"/>
                <w:szCs w:val="18"/>
                <w:lang w:val="en-GB" w:eastAsia="ja-JP"/>
              </w:rPr>
              <w:t>climate</w:t>
            </w:r>
            <w:r w:rsidRPr="00666B27">
              <w:rPr>
                <w:rFonts w:eastAsia="Times New Roman"/>
                <w:sz w:val="18"/>
                <w:szCs w:val="18"/>
                <w:lang w:val="en-GB" w:eastAsia="ja-JP"/>
              </w:rPr>
              <w:t xml:space="preserve"> change?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2.3</w:t>
            </w:r>
            <w:r w:rsidRPr="0057545E">
              <w:rPr>
                <w:rFonts w:eastAsia="Times New Roman"/>
                <w:sz w:val="18"/>
                <w:szCs w:val="18"/>
                <w:lang w:val="en-GB" w:eastAsia="ja-JP"/>
              </w:rPr>
              <w:tab/>
            </w:r>
            <w:r w:rsidRPr="00353542">
              <w:rPr>
                <w:rFonts w:eastAsia="Times New Roman"/>
                <w:sz w:val="18"/>
                <w:szCs w:val="18"/>
                <w:lang w:val="en-GB" w:eastAsia="ja-JP"/>
              </w:rPr>
              <w:t xml:space="preserve">Is the proposed Project likely to directly or indirectly increase social and environmental </w:t>
            </w:r>
            <w:hyperlink w:anchor="CCVulnerabilityGlossary" w:history="1">
              <w:r w:rsidRPr="00666B27">
                <w:rPr>
                  <w:rFonts w:eastAsia="Times New Roman"/>
                  <w:sz w:val="18"/>
                  <w:szCs w:val="18"/>
                  <w:lang w:val="en-GB" w:eastAsia="ja-JP"/>
                </w:rPr>
                <w:t>vulnerability to climate change</w:t>
              </w:r>
            </w:hyperlink>
            <w:r w:rsidRPr="0057545E">
              <w:rPr>
                <w:rFonts w:eastAsia="Times New Roman"/>
                <w:sz w:val="18"/>
                <w:szCs w:val="18"/>
                <w:lang w:val="en-GB" w:eastAsia="ja-JP"/>
              </w:rPr>
              <w:t xml:space="preserve"> now or in the future (also known as maladaptive practices)?</w:t>
            </w:r>
          </w:p>
          <w:p w:rsidR="005D1710" w:rsidRPr="00666B27" w:rsidRDefault="005D1710" w:rsidP="005D1710">
            <w:pPr>
              <w:tabs>
                <w:tab w:val="left" w:pos="630"/>
              </w:tabs>
              <w:spacing w:before="60"/>
              <w:ind w:left="630"/>
              <w:jc w:val="left"/>
              <w:rPr>
                <w:rFonts w:eastAsia="Times New Roman"/>
                <w:sz w:val="18"/>
                <w:szCs w:val="18"/>
                <w:lang w:val="en-GB" w:eastAsia="ja-JP"/>
              </w:rPr>
            </w:pPr>
            <w:r w:rsidRPr="003B7D62">
              <w:rPr>
                <w:rFonts w:eastAsia="Times New Roman"/>
                <w:i/>
                <w:sz w:val="18"/>
                <w:szCs w:val="18"/>
                <w:lang w:val="en-GB" w:eastAsia="ja-JP"/>
              </w:rPr>
              <w:t>For example, changes to land u</w:t>
            </w:r>
            <w:r w:rsidRPr="004722F0">
              <w:rPr>
                <w:rFonts w:eastAsia="Times New Roman"/>
                <w:i/>
                <w:sz w:val="18"/>
                <w:szCs w:val="18"/>
                <w:lang w:val="en-GB" w:eastAsia="ja-JP"/>
              </w:rPr>
              <w:t>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rPr>
          <w:trHeight w:val="539"/>
        </w:trPr>
        <w:tc>
          <w:tcPr>
            <w:tcW w:w="8635" w:type="dxa"/>
            <w:tcBorders>
              <w:bottom w:val="single" w:sz="4" w:space="0" w:color="auto"/>
            </w:tcBorders>
            <w:shd w:val="clear" w:color="auto" w:fill="DBE5F1"/>
            <w:vAlign w:val="center"/>
          </w:tcPr>
          <w:p w:rsidR="005D1710" w:rsidRPr="00666B27" w:rsidRDefault="005D1710" w:rsidP="005D1710">
            <w:pPr>
              <w:tabs>
                <w:tab w:val="left" w:pos="0"/>
                <w:tab w:val="left" w:pos="555"/>
              </w:tabs>
              <w:spacing w:before="60"/>
              <w:jc w:val="left"/>
              <w:rPr>
                <w:rFonts w:eastAsia="Times New Roman"/>
                <w:b/>
                <w:sz w:val="18"/>
                <w:szCs w:val="18"/>
                <w:lang w:val="en-GB" w:eastAsia="ja-JP"/>
              </w:rPr>
            </w:pPr>
            <w:r w:rsidRPr="0057545E">
              <w:rPr>
                <w:rFonts w:eastAsia="Times New Roman"/>
                <w:b/>
                <w:sz w:val="18"/>
                <w:szCs w:val="18"/>
                <w:lang w:val="en-GB" w:eastAsia="ja-JP"/>
              </w:rPr>
              <w:t xml:space="preserve">Standard 3: Community Health, Safety </w:t>
            </w:r>
            <w:r w:rsidRPr="00353542">
              <w:rPr>
                <w:rFonts w:eastAsia="Times New Roman"/>
                <w:b/>
                <w:noProof/>
                <w:sz w:val="18"/>
                <w:szCs w:val="18"/>
                <w:lang w:val="en-GB" w:eastAsia="ja-JP"/>
              </w:rPr>
              <w:t>and</w:t>
            </w:r>
            <w:r w:rsidRPr="003B7D62">
              <w:rPr>
                <w:rFonts w:eastAsia="Times New Roman"/>
                <w:b/>
                <w:sz w:val="18"/>
                <w:szCs w:val="18"/>
                <w:lang w:val="en-GB" w:eastAsia="ja-JP"/>
              </w:rPr>
              <w:t xml:space="preserve"> Working</w:t>
            </w:r>
            <w:r w:rsidRPr="004722F0">
              <w:rPr>
                <w:rFonts w:eastAsia="Times New Roman"/>
                <w:b/>
                <w:sz w:val="18"/>
                <w:szCs w:val="18"/>
                <w:lang w:val="en-GB" w:eastAsia="ja-JP"/>
              </w:rPr>
              <w:t xml:space="preserve"> Conditions</w:t>
            </w:r>
          </w:p>
        </w:tc>
        <w:tc>
          <w:tcPr>
            <w:tcW w:w="833" w:type="dxa"/>
            <w:tcBorders>
              <w:bottom w:val="single" w:sz="4" w:space="0" w:color="auto"/>
            </w:tcBorders>
            <w:shd w:val="clear" w:color="auto" w:fill="DBE5F1"/>
            <w:vAlign w:val="center"/>
          </w:tcPr>
          <w:p w:rsidR="005D1710" w:rsidRPr="00666B27" w:rsidRDefault="005D1710" w:rsidP="005D1710">
            <w:pPr>
              <w:tabs>
                <w:tab w:val="left" w:pos="585"/>
              </w:tabs>
              <w:spacing w:before="60"/>
              <w:ind w:left="567" w:hanging="567"/>
              <w:jc w:val="left"/>
              <w:rPr>
                <w:rFonts w:eastAsia="Times New Roman"/>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3.1</w:t>
            </w:r>
            <w:r w:rsidRPr="0057545E">
              <w:rPr>
                <w:rFonts w:eastAsia="Times New Roman"/>
                <w:sz w:val="18"/>
                <w:szCs w:val="18"/>
                <w:lang w:val="en-GB" w:eastAsia="ja-JP"/>
              </w:rPr>
              <w:tab/>
              <w:t xml:space="preserve">Would elements of </w:t>
            </w:r>
            <w:r w:rsidRPr="00353542">
              <w:rPr>
                <w:rFonts w:eastAsia="Times New Roman"/>
                <w:sz w:val="18"/>
                <w:szCs w:val="18"/>
                <w:lang w:val="en-GB" w:eastAsia="ja-JP"/>
              </w:rPr>
              <w:t>Project construction, operation, or decommissioning pose potential safety risks to local communities?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57545E">
              <w:rPr>
                <w:rFonts w:eastAsia="MS Mincho"/>
                <w:sz w:val="18"/>
                <w:szCs w:val="18"/>
                <w:lang w:val="en-GB" w:eastAsia="ja-JP"/>
              </w:rPr>
              <w:t>3.2</w:t>
            </w:r>
            <w:r w:rsidRPr="0057545E">
              <w:rPr>
                <w:rFonts w:eastAsia="MS Mincho"/>
                <w:sz w:val="18"/>
                <w:szCs w:val="18"/>
                <w:lang w:val="en-GB" w:eastAsia="ja-JP"/>
              </w:rPr>
              <w:tab/>
            </w:r>
            <w:r w:rsidRPr="00353542">
              <w:rPr>
                <w:rFonts w:eastAsia="MS Mincho"/>
                <w:sz w:val="18"/>
                <w:szCs w:val="18"/>
                <w:lang w:val="en-GB" w:eastAsia="ja-JP"/>
              </w:rPr>
              <w:t>Would the Project pose potential risks to community health and safety due to the transport, storage, and use a</w:t>
            </w:r>
            <w:r w:rsidRPr="003B7D62">
              <w:rPr>
                <w:rFonts w:eastAsia="MS Mincho"/>
                <w:sz w:val="18"/>
                <w:szCs w:val="18"/>
                <w:lang w:val="en-GB" w:eastAsia="ja-JP"/>
              </w:rPr>
              <w:t xml:space="preserve">nd/or disposal of hazardous or dangerous materials (e.g. explosives, fuel </w:t>
            </w:r>
            <w:r w:rsidRPr="004722F0">
              <w:rPr>
                <w:rFonts w:eastAsia="MS Mincho"/>
                <w:noProof/>
                <w:sz w:val="18"/>
                <w:szCs w:val="18"/>
                <w:lang w:val="en-GB" w:eastAsia="ja-JP"/>
              </w:rPr>
              <w:t>and</w:t>
            </w:r>
            <w:r w:rsidRPr="00666B27">
              <w:rPr>
                <w:rFonts w:eastAsia="MS Mincho"/>
                <w:sz w:val="18"/>
                <w:szCs w:val="18"/>
                <w:lang w:val="en-GB" w:eastAsia="ja-JP"/>
              </w:rPr>
              <w:t xml:space="preserve"> other chemicals during construction and operation)?</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jc w:val="left"/>
              <w:rPr>
                <w:rFonts w:eastAsia="Times New Roman"/>
                <w:sz w:val="18"/>
                <w:szCs w:val="18"/>
                <w:lang w:val="en-GB" w:eastAsia="ja-JP"/>
              </w:rPr>
            </w:pPr>
            <w:r w:rsidRPr="00666B27">
              <w:rPr>
                <w:rFonts w:eastAsia="Times New Roman"/>
                <w:sz w:val="18"/>
                <w:szCs w:val="18"/>
                <w:lang w:val="en-GB" w:eastAsia="ja-JP"/>
              </w:rPr>
              <w:t>No</w:t>
            </w:r>
          </w:p>
          <w:p w:rsidR="005D1710" w:rsidRPr="00666B27" w:rsidRDefault="005D1710" w:rsidP="005D1710">
            <w:pPr>
              <w:tabs>
                <w:tab w:val="left" w:pos="585"/>
              </w:tabs>
              <w:spacing w:before="60"/>
              <w:jc w:val="left"/>
              <w:rPr>
                <w:rFonts w:eastAsia="Times New Roman"/>
                <w:sz w:val="18"/>
                <w:szCs w:val="18"/>
                <w:lang w:val="en-GB" w:eastAsia="ja-JP"/>
              </w:rPr>
            </w:pPr>
            <w:r w:rsidRPr="00666B27">
              <w:rPr>
                <w:rFonts w:eastAsia="Times New Roman"/>
                <w:sz w:val="18"/>
                <w:szCs w:val="18"/>
                <w:lang w:val="en-GB" w:eastAsia="ja-JP"/>
              </w:rPr>
              <w:lastRenderedPageBreak/>
              <w:t>(See part B, risk 1)</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lastRenderedPageBreak/>
              <w:t>3.3</w:t>
            </w:r>
            <w:r w:rsidRPr="0057545E">
              <w:rPr>
                <w:rFonts w:eastAsia="Times New Roman"/>
                <w:sz w:val="18"/>
                <w:szCs w:val="18"/>
                <w:lang w:val="en-GB" w:eastAsia="ja-JP"/>
              </w:rPr>
              <w:tab/>
              <w:t>Does the Project involve large-scale infrastructure development (e.g. dams, roads, buildings)?</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3.4</w:t>
            </w:r>
            <w:r w:rsidRPr="0057545E">
              <w:rPr>
                <w:rFonts w:eastAsia="Times New Roman"/>
                <w:sz w:val="18"/>
                <w:szCs w:val="18"/>
                <w:lang w:val="en-GB"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3.5</w:t>
            </w:r>
            <w:r w:rsidRPr="0057545E">
              <w:rPr>
                <w:rFonts w:eastAsia="Times New Roman"/>
                <w:sz w:val="18"/>
                <w:szCs w:val="18"/>
                <w:lang w:val="en-GB" w:eastAsia="ja-JP"/>
              </w:rPr>
              <w:tab/>
              <w:t>Wou</w:t>
            </w:r>
            <w:r w:rsidRPr="00353542">
              <w:rPr>
                <w:rFonts w:eastAsia="Times New Roman"/>
                <w:sz w:val="18"/>
                <w:szCs w:val="18"/>
                <w:lang w:val="en-GB" w:eastAsia="ja-JP"/>
              </w:rPr>
              <w:t>ld the proposed Project be susceptible to or lead to increased vulnerability to earthquakes, subsidence, landslid</w:t>
            </w:r>
            <w:r w:rsidRPr="003B7D62">
              <w:rPr>
                <w:rFonts w:eastAsia="Times New Roman"/>
                <w:sz w:val="18"/>
                <w:szCs w:val="18"/>
                <w:lang w:val="en-GB" w:eastAsia="ja-JP"/>
              </w:rPr>
              <w:t>es, erosion, flooding or extreme climatic conditions?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3.6</w:t>
            </w:r>
            <w:r w:rsidRPr="0057545E">
              <w:rPr>
                <w:rFonts w:eastAsia="Times New Roman"/>
                <w:sz w:val="18"/>
                <w:szCs w:val="18"/>
                <w:lang w:val="en-GB" w:eastAsia="ja-JP"/>
              </w:rPr>
              <w:tab/>
              <w:t xml:space="preserve">Would the Project result in potential increased health risks (e.g. from </w:t>
            </w:r>
            <w:r w:rsidRPr="00353542">
              <w:rPr>
                <w:rFonts w:eastAsia="Times New Roman"/>
                <w:sz w:val="18"/>
                <w:szCs w:val="18"/>
                <w:lang w:val="en-GB" w:eastAsia="ja-JP"/>
              </w:rPr>
              <w:t>water-borne or other vector-borne diseases or communicable infections such as HIV/AIDS)?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3.7</w:t>
            </w:r>
            <w:r w:rsidRPr="0057545E">
              <w:rPr>
                <w:rFonts w:eastAsia="Times New Roman"/>
                <w:sz w:val="18"/>
                <w:szCs w:val="18"/>
                <w:lang w:val="en-GB" w:eastAsia="ja-JP"/>
              </w:rPr>
              <w:tab/>
              <w:t>Does the Project pose potential risks and vulnerabilities related to occupational health and safety due to physical, chemical, biological, and radiological haz</w:t>
            </w:r>
            <w:r w:rsidRPr="00353542">
              <w:rPr>
                <w:rFonts w:eastAsia="Times New Roman"/>
                <w:sz w:val="18"/>
                <w:szCs w:val="18"/>
                <w:lang w:val="en-GB" w:eastAsia="ja-JP"/>
              </w:rPr>
              <w:t>ards during Project construction, operation, or decommissioning?</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3.8</w:t>
            </w:r>
            <w:r w:rsidRPr="0057545E">
              <w:rPr>
                <w:rFonts w:eastAsia="Times New Roman"/>
                <w:sz w:val="18"/>
                <w:szCs w:val="18"/>
                <w:lang w:val="en-GB" w:eastAsia="ja-JP"/>
              </w:rPr>
              <w:tab/>
              <w:t>Does the Project involve support for employment or livelihoods that may fail to comply with national and international labor standards (i.e. principles and standards of ILO fundamenta</w:t>
            </w:r>
            <w:r w:rsidRPr="00353542">
              <w:rPr>
                <w:rFonts w:eastAsia="Times New Roman"/>
                <w:sz w:val="18"/>
                <w:szCs w:val="18"/>
                <w:lang w:val="en-GB" w:eastAsia="ja-JP"/>
              </w:rPr>
              <w:t xml:space="preserve">l conventions)?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3.9</w:t>
            </w:r>
            <w:r w:rsidRPr="0057545E">
              <w:rPr>
                <w:rFonts w:eastAsia="Times New Roman"/>
                <w:sz w:val="18"/>
                <w:szCs w:val="18"/>
                <w:lang w:val="en-GB"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rPr>
          <w:trHeight w:val="503"/>
        </w:trPr>
        <w:tc>
          <w:tcPr>
            <w:tcW w:w="8635" w:type="dxa"/>
            <w:tcBorders>
              <w:bottom w:val="single" w:sz="4" w:space="0" w:color="auto"/>
            </w:tcBorders>
            <w:shd w:val="clear" w:color="auto" w:fill="DBE5F1"/>
            <w:vAlign w:val="center"/>
          </w:tcPr>
          <w:p w:rsidR="005D1710" w:rsidRPr="003B7D62" w:rsidRDefault="005D1710" w:rsidP="005D1710">
            <w:pPr>
              <w:tabs>
                <w:tab w:val="left" w:pos="0"/>
                <w:tab w:val="left" w:pos="555"/>
              </w:tabs>
              <w:spacing w:before="60"/>
              <w:jc w:val="left"/>
              <w:rPr>
                <w:rFonts w:eastAsia="Times New Roman"/>
                <w:b/>
                <w:sz w:val="18"/>
                <w:szCs w:val="18"/>
                <w:lang w:val="en-GB" w:eastAsia="ja-JP"/>
              </w:rPr>
            </w:pPr>
            <w:r w:rsidRPr="0057545E">
              <w:rPr>
                <w:rFonts w:eastAsia="Times New Roman"/>
                <w:b/>
                <w:sz w:val="18"/>
                <w:szCs w:val="18"/>
                <w:lang w:val="en-GB" w:eastAsia="ja-JP"/>
              </w:rPr>
              <w:t xml:space="preserve">Standard 4: Cultural </w:t>
            </w:r>
            <w:r w:rsidRPr="00353542">
              <w:rPr>
                <w:rFonts w:eastAsia="Times New Roman"/>
                <w:b/>
                <w:sz w:val="18"/>
                <w:szCs w:val="18"/>
                <w:lang w:val="en-GB" w:eastAsia="ja-JP"/>
              </w:rPr>
              <w:t>Heritage</w:t>
            </w:r>
          </w:p>
        </w:tc>
        <w:tc>
          <w:tcPr>
            <w:tcW w:w="833" w:type="dxa"/>
            <w:tcBorders>
              <w:bottom w:val="single" w:sz="4" w:space="0" w:color="auto"/>
            </w:tcBorders>
            <w:shd w:val="clear" w:color="auto" w:fill="DBE5F1"/>
            <w:vAlign w:val="center"/>
          </w:tcPr>
          <w:p w:rsidR="005D1710" w:rsidRPr="004722F0" w:rsidRDefault="005D1710" w:rsidP="005D1710">
            <w:pPr>
              <w:tabs>
                <w:tab w:val="left" w:pos="585"/>
              </w:tabs>
              <w:spacing w:before="60"/>
              <w:ind w:left="567" w:hanging="567"/>
              <w:jc w:val="left"/>
              <w:rPr>
                <w:rFonts w:eastAsia="Times New Roman"/>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4.1</w:t>
            </w:r>
            <w:r w:rsidRPr="0057545E">
              <w:rPr>
                <w:rFonts w:eastAsia="Times New Roman"/>
                <w:sz w:val="18"/>
                <w:szCs w:val="18"/>
                <w:lang w:val="en-GB" w:eastAsia="ja-JP"/>
              </w:rPr>
              <w:tab/>
              <w:t>Will the proposed Project result in interventions that would potentially adversely impact sites, structures, or objects with historical, cultural, artistic, traditional or religious values or intangible forms of culture (e.g. knowledge, inno</w:t>
            </w:r>
            <w:r w:rsidRPr="00353542">
              <w:rPr>
                <w:rFonts w:eastAsia="Times New Roman"/>
                <w:sz w:val="18"/>
                <w:szCs w:val="18"/>
                <w:lang w:val="en-GB" w:eastAsia="ja-JP"/>
              </w:rPr>
              <w:t>vations, practices)? (Note: Projects intended to protect and conserve Cultural Heritage may also have inadvertent adverse impacts)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b/>
                <w:sz w:val="18"/>
                <w:szCs w:val="18"/>
                <w:lang w:val="en-GB" w:eastAsia="ja-JP"/>
              </w:rPr>
            </w:pPr>
            <w:r w:rsidRPr="0057545E">
              <w:rPr>
                <w:rFonts w:eastAsia="Times New Roman"/>
                <w:sz w:val="18"/>
                <w:szCs w:val="18"/>
                <w:lang w:val="en-GB" w:eastAsia="ja-JP"/>
              </w:rPr>
              <w:t>4.2</w:t>
            </w:r>
            <w:r w:rsidRPr="0057545E">
              <w:rPr>
                <w:rFonts w:eastAsia="Times New Roman"/>
                <w:sz w:val="18"/>
                <w:szCs w:val="18"/>
                <w:lang w:val="en-GB" w:eastAsia="ja-JP"/>
              </w:rPr>
              <w:tab/>
              <w:t xml:space="preserve">Does the Project propose utilizing tangible and/or intangible forms of cultural heritage for commercial or other </w:t>
            </w:r>
            <w:r w:rsidRPr="00353542">
              <w:rPr>
                <w:rFonts w:eastAsia="Times New Roman"/>
                <w:sz w:val="18"/>
                <w:szCs w:val="18"/>
                <w:lang w:val="en-GB" w:eastAsia="ja-JP"/>
              </w:rPr>
              <w:t>purposes?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rPr>
          <w:trHeight w:val="566"/>
        </w:trPr>
        <w:tc>
          <w:tcPr>
            <w:tcW w:w="8635" w:type="dxa"/>
            <w:tcBorders>
              <w:bottom w:val="single" w:sz="4" w:space="0" w:color="auto"/>
            </w:tcBorders>
            <w:shd w:val="clear" w:color="auto" w:fill="DBE5F1"/>
            <w:vAlign w:val="center"/>
          </w:tcPr>
          <w:p w:rsidR="005D1710" w:rsidRPr="00353542" w:rsidRDefault="005D1710" w:rsidP="005D1710">
            <w:pPr>
              <w:tabs>
                <w:tab w:val="left" w:pos="0"/>
                <w:tab w:val="left" w:pos="555"/>
              </w:tabs>
              <w:spacing w:before="60"/>
              <w:jc w:val="left"/>
              <w:rPr>
                <w:rFonts w:eastAsia="Times New Roman"/>
                <w:b/>
                <w:sz w:val="18"/>
                <w:szCs w:val="18"/>
                <w:lang w:val="en-GB" w:eastAsia="ja-JP"/>
              </w:rPr>
            </w:pPr>
            <w:r w:rsidRPr="0057545E">
              <w:rPr>
                <w:rFonts w:eastAsia="Times New Roman"/>
                <w:b/>
                <w:sz w:val="18"/>
                <w:szCs w:val="18"/>
                <w:lang w:val="en-GB" w:eastAsia="ja-JP"/>
              </w:rPr>
              <w:t>Standard 5: Displacement and Resettlement</w:t>
            </w:r>
          </w:p>
        </w:tc>
        <w:tc>
          <w:tcPr>
            <w:tcW w:w="833" w:type="dxa"/>
            <w:tcBorders>
              <w:bottom w:val="single" w:sz="4" w:space="0" w:color="auto"/>
            </w:tcBorders>
            <w:shd w:val="clear" w:color="auto" w:fill="DBE5F1"/>
            <w:vAlign w:val="center"/>
          </w:tcPr>
          <w:p w:rsidR="005D1710" w:rsidRPr="003B7D62" w:rsidRDefault="005D1710" w:rsidP="005D1710">
            <w:pPr>
              <w:tabs>
                <w:tab w:val="left" w:pos="585"/>
              </w:tabs>
              <w:spacing w:before="60"/>
              <w:ind w:left="567" w:hanging="567"/>
              <w:jc w:val="left"/>
              <w:rPr>
                <w:rFonts w:eastAsia="Times New Roman"/>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b/>
                <w:sz w:val="18"/>
                <w:szCs w:val="18"/>
                <w:lang w:val="en-GB" w:eastAsia="ja-JP"/>
              </w:rPr>
            </w:pPr>
            <w:r w:rsidRPr="0057545E">
              <w:rPr>
                <w:rFonts w:eastAsia="MS Mincho"/>
                <w:sz w:val="18"/>
                <w:szCs w:val="18"/>
                <w:lang w:val="en-GB"/>
              </w:rPr>
              <w:t>5.1</w:t>
            </w:r>
            <w:r w:rsidRPr="0057545E">
              <w:rPr>
                <w:rFonts w:eastAsia="MS Mincho"/>
                <w:sz w:val="18"/>
                <w:szCs w:val="18"/>
                <w:lang w:val="en-GB"/>
              </w:rPr>
              <w:tab/>
            </w:r>
            <w:r w:rsidRPr="00353542">
              <w:rPr>
                <w:rFonts w:eastAsia="Times New Roman"/>
                <w:sz w:val="18"/>
                <w:szCs w:val="18"/>
                <w:lang w:val="en-GB" w:eastAsia="ja-JP"/>
              </w:rPr>
              <w:t>Would</w:t>
            </w:r>
            <w:r w:rsidRPr="003B7D62">
              <w:rPr>
                <w:rFonts w:eastAsia="MS Mincho"/>
                <w:sz w:val="18"/>
                <w:szCs w:val="18"/>
                <w:lang w:val="en-GB"/>
              </w:rPr>
              <w:t xml:space="preserve"> the Project potentially involve temporary or perma</w:t>
            </w:r>
            <w:r w:rsidRPr="004722F0">
              <w:rPr>
                <w:rFonts w:eastAsia="MS Mincho"/>
                <w:sz w:val="18"/>
                <w:szCs w:val="18"/>
                <w:lang w:val="en-GB"/>
              </w:rPr>
              <w:t>nent and full or partia</w:t>
            </w:r>
            <w:r w:rsidRPr="00666B27">
              <w:rPr>
                <w:rFonts w:eastAsia="MS Mincho"/>
                <w:sz w:val="18"/>
                <w:szCs w:val="18"/>
                <w:lang w:val="en-GB"/>
              </w:rPr>
              <w:t>l physical displacement?</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b/>
                <w:sz w:val="18"/>
                <w:szCs w:val="18"/>
                <w:lang w:val="en-GB" w:eastAsia="ja-JP"/>
              </w:rPr>
            </w:pPr>
            <w:r w:rsidRPr="0057545E">
              <w:rPr>
                <w:rFonts w:eastAsia="MS Mincho"/>
                <w:sz w:val="18"/>
                <w:szCs w:val="18"/>
                <w:lang w:val="en-GB"/>
              </w:rPr>
              <w:t>5.2</w:t>
            </w:r>
            <w:r w:rsidRPr="0057545E">
              <w:rPr>
                <w:rFonts w:eastAsia="MS Mincho"/>
                <w:sz w:val="18"/>
                <w:szCs w:val="18"/>
                <w:lang w:val="en-GB"/>
              </w:rPr>
              <w:tab/>
            </w:r>
            <w:r w:rsidRPr="00353542">
              <w:rPr>
                <w:rFonts w:eastAsia="Times New Roman"/>
                <w:sz w:val="18"/>
                <w:szCs w:val="18"/>
                <w:lang w:val="en-GB" w:eastAsia="ja-JP"/>
              </w:rPr>
              <w:t>Would</w:t>
            </w:r>
            <w:r w:rsidRPr="003B7D62">
              <w:rPr>
                <w:rFonts w:eastAsia="MS Mincho"/>
                <w:sz w:val="18"/>
                <w:szCs w:val="18"/>
                <w:lang w:val="en-GB"/>
              </w:rPr>
              <w:t xml:space="preserve"> the Project possibly result in economic displacement (e.g. loss of assets or access to resources due to land acquisition or access restrictions</w:t>
            </w:r>
            <w:r w:rsidRPr="004722F0">
              <w:rPr>
                <w:rFonts w:eastAsia="MS Mincho"/>
                <w:sz w:val="18"/>
                <w:szCs w:val="18"/>
                <w:lang w:val="en-GB"/>
              </w:rPr>
              <w:t xml:space="preserve"> – even in the absence of physical relocation)?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57545E" w:rsidRDefault="005D1710" w:rsidP="005D1710">
            <w:pPr>
              <w:tabs>
                <w:tab w:val="left" w:pos="585"/>
              </w:tabs>
              <w:spacing w:before="60"/>
              <w:ind w:left="567" w:hanging="567"/>
              <w:jc w:val="left"/>
              <w:rPr>
                <w:rFonts w:eastAsia="MS Mincho"/>
                <w:sz w:val="18"/>
                <w:szCs w:val="18"/>
                <w:lang w:val="en-GB"/>
              </w:rPr>
            </w:pPr>
            <w:r w:rsidRPr="0057545E">
              <w:rPr>
                <w:rFonts w:eastAsia="Times New Roman"/>
                <w:sz w:val="18"/>
                <w:szCs w:val="18"/>
                <w:lang w:val="en-GB" w:eastAsia="ja-JP"/>
              </w:rPr>
              <w:t>5.3</w:t>
            </w:r>
            <w:r w:rsidRPr="0057545E">
              <w:rPr>
                <w:rFonts w:eastAsia="Times New Roman"/>
                <w:sz w:val="18"/>
                <w:szCs w:val="18"/>
                <w:lang w:val="en-GB" w:eastAsia="ja-JP"/>
              </w:rPr>
              <w:tab/>
              <w:t>Is there a risk that the Project would lead to forced evictions?</w:t>
            </w:r>
            <w:r w:rsidRPr="0057545E">
              <w:rPr>
                <w:rFonts w:eastAsia="Times New Roman"/>
                <w:sz w:val="18"/>
                <w:szCs w:val="18"/>
                <w:vertAlign w:val="superscript"/>
                <w:lang w:val="en-GB" w:eastAsia="ja-JP"/>
              </w:rPr>
              <w:footnoteReference w:id="65"/>
            </w:r>
          </w:p>
        </w:tc>
        <w:tc>
          <w:tcPr>
            <w:tcW w:w="833"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35354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5.4</w:t>
            </w:r>
            <w:r w:rsidRPr="0057545E">
              <w:rPr>
                <w:rFonts w:eastAsia="Times New Roman"/>
                <w:sz w:val="18"/>
                <w:szCs w:val="18"/>
                <w:lang w:val="en-GB" w:eastAsia="ja-JP"/>
              </w:rPr>
              <w:tab/>
            </w:r>
            <w:r w:rsidRPr="00353542">
              <w:rPr>
                <w:rFonts w:eastAsia="Times New Roman"/>
                <w:sz w:val="18"/>
                <w:szCs w:val="18"/>
                <w:lang w:val="en-GB" w:eastAsia="ja-JP"/>
              </w:rPr>
              <w:t xml:space="preserve">Would the proposed Project possibly affect land tenure arrangements and/or </w:t>
            </w:r>
            <w:r w:rsidRPr="003B7D62">
              <w:rPr>
                <w:rFonts w:eastAsia="Times New Roman"/>
                <w:noProof/>
                <w:sz w:val="18"/>
                <w:szCs w:val="18"/>
                <w:lang w:val="en-GB" w:eastAsia="ja-JP"/>
              </w:rPr>
              <w:t>community based</w:t>
            </w:r>
            <w:r w:rsidRPr="004722F0">
              <w:rPr>
                <w:rFonts w:eastAsia="Times New Roman"/>
                <w:sz w:val="18"/>
                <w:szCs w:val="18"/>
                <w:lang w:val="en-GB" w:eastAsia="ja-JP"/>
              </w:rPr>
              <w:t xml:space="preserve"> property rights/customary rights to land, territories and/or resources?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rPr>
          <w:trHeight w:val="584"/>
        </w:trPr>
        <w:tc>
          <w:tcPr>
            <w:tcW w:w="8635" w:type="dxa"/>
            <w:tcBorders>
              <w:bottom w:val="single" w:sz="4" w:space="0" w:color="auto"/>
            </w:tcBorders>
            <w:shd w:val="clear" w:color="auto" w:fill="DBE5F1"/>
            <w:vAlign w:val="center"/>
          </w:tcPr>
          <w:p w:rsidR="005D1710" w:rsidRPr="00353542" w:rsidRDefault="005D1710" w:rsidP="005D1710">
            <w:pPr>
              <w:tabs>
                <w:tab w:val="left" w:pos="0"/>
                <w:tab w:val="left" w:pos="555"/>
              </w:tabs>
              <w:spacing w:before="60"/>
              <w:jc w:val="left"/>
              <w:rPr>
                <w:rFonts w:eastAsia="Times New Roman"/>
                <w:b/>
                <w:sz w:val="18"/>
                <w:szCs w:val="18"/>
                <w:lang w:val="en-GB" w:eastAsia="ja-JP"/>
              </w:rPr>
            </w:pPr>
            <w:r w:rsidRPr="0057545E">
              <w:rPr>
                <w:rFonts w:eastAsia="Times New Roman"/>
                <w:b/>
                <w:sz w:val="18"/>
                <w:szCs w:val="18"/>
                <w:lang w:val="en-GB" w:eastAsia="ja-JP"/>
              </w:rPr>
              <w:t>Standard 6: Indigenous Peoples</w:t>
            </w:r>
          </w:p>
        </w:tc>
        <w:tc>
          <w:tcPr>
            <w:tcW w:w="833" w:type="dxa"/>
            <w:tcBorders>
              <w:bottom w:val="single" w:sz="4" w:space="0" w:color="auto"/>
            </w:tcBorders>
            <w:shd w:val="clear" w:color="auto" w:fill="DBE5F1"/>
            <w:vAlign w:val="center"/>
          </w:tcPr>
          <w:p w:rsidR="005D1710" w:rsidRPr="003B7D62" w:rsidRDefault="005D1710" w:rsidP="005D1710">
            <w:pPr>
              <w:tabs>
                <w:tab w:val="left" w:pos="585"/>
              </w:tabs>
              <w:spacing w:before="60"/>
              <w:ind w:left="567" w:hanging="567"/>
              <w:jc w:val="left"/>
              <w:rPr>
                <w:rFonts w:eastAsia="Times New Roman"/>
                <w:sz w:val="18"/>
                <w:szCs w:val="18"/>
                <w:lang w:val="en-GB" w:eastAsia="ja-JP"/>
              </w:rPr>
            </w:pP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6.1</w:t>
            </w:r>
            <w:r w:rsidRPr="0057545E">
              <w:rPr>
                <w:rFonts w:eastAsia="MS Mincho"/>
                <w:sz w:val="18"/>
                <w:szCs w:val="18"/>
                <w:lang w:val="en-GB"/>
              </w:rPr>
              <w:tab/>
              <w:t xml:space="preserve">Are indigenous peoples present in the </w:t>
            </w:r>
            <w:r w:rsidRPr="00353542">
              <w:rPr>
                <w:rFonts w:eastAsia="MS Mincho"/>
                <w:sz w:val="18"/>
                <w:szCs w:val="18"/>
                <w:lang w:val="en-GB"/>
              </w:rPr>
              <w:t>Project area (including Project area of influence)?</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6.2</w:t>
            </w:r>
            <w:r w:rsidRPr="0057545E">
              <w:rPr>
                <w:rFonts w:eastAsia="MS Mincho"/>
                <w:sz w:val="18"/>
                <w:szCs w:val="18"/>
                <w:lang w:val="en-GB"/>
              </w:rPr>
              <w:tab/>
            </w:r>
            <w:r w:rsidRPr="00353542">
              <w:rPr>
                <w:rFonts w:eastAsia="MS Mincho"/>
                <w:sz w:val="18"/>
                <w:szCs w:val="18"/>
                <w:lang w:val="en-GB"/>
              </w:rPr>
              <w:t xml:space="preserve">Is it likely that the Project or portions of the Project will be located on lands and territories claimed by </w:t>
            </w:r>
            <w:r w:rsidRPr="003B7D62">
              <w:rPr>
                <w:rFonts w:eastAsia="MS Mincho"/>
                <w:noProof/>
                <w:sz w:val="18"/>
                <w:szCs w:val="18"/>
                <w:lang w:val="en-GB"/>
              </w:rPr>
              <w:t>indigeno</w:t>
            </w:r>
            <w:r w:rsidRPr="004722F0">
              <w:rPr>
                <w:rFonts w:eastAsia="MS Mincho"/>
                <w:sz w:val="18"/>
                <w:szCs w:val="18"/>
                <w:lang w:val="en-GB"/>
              </w:rPr>
              <w:t>us peoples?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6.3</w:t>
            </w:r>
            <w:r w:rsidRPr="0057545E">
              <w:rPr>
                <w:rFonts w:eastAsia="MS Mincho"/>
                <w:sz w:val="18"/>
                <w:szCs w:val="18"/>
                <w:lang w:val="en-GB"/>
              </w:rPr>
              <w:tab/>
            </w:r>
            <w:r w:rsidRPr="00353542">
              <w:rPr>
                <w:rFonts w:eastAsia="MS Mincho"/>
                <w:sz w:val="18"/>
                <w:szCs w:val="18"/>
                <w:lang w:val="en-GB"/>
              </w:rPr>
              <w:t>Would the propo</w:t>
            </w:r>
            <w:r w:rsidRPr="003B7D62">
              <w:rPr>
                <w:rFonts w:eastAsia="MS Mincho"/>
                <w:sz w:val="18"/>
                <w:szCs w:val="18"/>
                <w:lang w:val="en-GB"/>
              </w:rPr>
              <w:t>sed Project potentially affect the human rights, lands, natural resources, territories, and traditional livelihoods of indigenous peoples (regardless of whether indigenous peoples possess the legal titles to such areas, whether the P</w:t>
            </w:r>
            <w:r w:rsidRPr="004722F0">
              <w:rPr>
                <w:rFonts w:eastAsia="MS Mincho"/>
                <w:sz w:val="18"/>
                <w:szCs w:val="18"/>
                <w:lang w:val="en-GB"/>
              </w:rPr>
              <w:t>roject i</w:t>
            </w:r>
            <w:r w:rsidRPr="00666B27">
              <w:rPr>
                <w:rFonts w:eastAsia="MS Mincho"/>
                <w:sz w:val="18"/>
                <w:szCs w:val="18"/>
                <w:lang w:val="en-GB"/>
              </w:rPr>
              <w:t xml:space="preserve">s located within or outside of the lands and territories inhabited </w:t>
            </w:r>
            <w:r w:rsidRPr="00666B27">
              <w:rPr>
                <w:rFonts w:eastAsia="MS Mincho"/>
                <w:sz w:val="18"/>
                <w:szCs w:val="18"/>
                <w:lang w:val="en-GB"/>
              </w:rPr>
              <w:lastRenderedPageBreak/>
              <w:t xml:space="preserve">by the affected peoples, or whether the indigenous peoples are recognized as indigenous peoples by the country in question)? </w:t>
            </w:r>
          </w:p>
          <w:p w:rsidR="005D1710" w:rsidRPr="00666B27" w:rsidRDefault="005D1710" w:rsidP="005D1710">
            <w:pPr>
              <w:tabs>
                <w:tab w:val="left" w:pos="585"/>
              </w:tabs>
              <w:spacing w:before="60"/>
              <w:ind w:left="567" w:firstLine="40"/>
              <w:jc w:val="left"/>
              <w:rPr>
                <w:rFonts w:eastAsia="MS Mincho"/>
                <w:i/>
                <w:sz w:val="18"/>
                <w:szCs w:val="18"/>
                <w:lang w:val="en-GB"/>
              </w:rPr>
            </w:pPr>
            <w:r w:rsidRPr="00666B27">
              <w:rPr>
                <w:rFonts w:eastAsia="MS Mincho"/>
                <w:i/>
                <w:sz w:val="18"/>
                <w:szCs w:val="18"/>
                <w:lang w:val="en-GB"/>
              </w:rPr>
              <w:t>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lastRenderedPageBreak/>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6.4</w:t>
            </w:r>
            <w:r w:rsidRPr="0057545E">
              <w:rPr>
                <w:rFonts w:eastAsia="MS Mincho"/>
                <w:sz w:val="18"/>
                <w:szCs w:val="18"/>
                <w:lang w:val="en-GB"/>
              </w:rPr>
              <w:tab/>
              <w:t>Has there been an absence of culturally appropriate consultations carried out with the objective of achieving F</w:t>
            </w:r>
            <w:r w:rsidRPr="00353542">
              <w:rPr>
                <w:rFonts w:eastAsia="MS Mincho"/>
                <w:sz w:val="18"/>
                <w:szCs w:val="18"/>
                <w:lang w:val="en-GB"/>
              </w:rPr>
              <w:t xml:space="preserve">PIC on matters </w:t>
            </w:r>
            <w:r w:rsidRPr="003B7D62">
              <w:rPr>
                <w:rFonts w:eastAsia="MS Mincho"/>
                <w:sz w:val="18"/>
                <w:szCs w:val="18"/>
                <w:lang w:val="en-GB"/>
              </w:rPr>
              <w:t>that may affect the rights and interests, lands, resources, territories and traditional livelihoods of the indigenous peoples concerned?</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6.5</w:t>
            </w:r>
            <w:r w:rsidRPr="0057545E">
              <w:rPr>
                <w:rFonts w:eastAsia="MS Mincho"/>
                <w:sz w:val="18"/>
                <w:szCs w:val="18"/>
                <w:lang w:val="en-GB"/>
              </w:rPr>
              <w:tab/>
              <w:t>Does the proposed Project involve the utilization and/or commercial development of natural resou</w:t>
            </w:r>
            <w:r w:rsidRPr="00353542">
              <w:rPr>
                <w:rFonts w:eastAsia="MS Mincho"/>
                <w:sz w:val="18"/>
                <w:szCs w:val="18"/>
                <w:lang w:val="en-GB"/>
              </w:rPr>
              <w:t>rces on lands a</w:t>
            </w:r>
            <w:r w:rsidRPr="003B7D62">
              <w:rPr>
                <w:rFonts w:eastAsia="MS Mincho"/>
                <w:sz w:val="18"/>
                <w:szCs w:val="18"/>
                <w:lang w:val="en-GB"/>
              </w:rPr>
              <w:t>nd territories claimed by indigenous peoples?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6.6</w:t>
            </w:r>
            <w:r w:rsidRPr="0057545E">
              <w:rPr>
                <w:rFonts w:eastAsia="MS Mincho"/>
                <w:sz w:val="18"/>
                <w:szCs w:val="18"/>
                <w:lang w:val="en-GB"/>
              </w:rPr>
              <w:tab/>
              <w:t xml:space="preserve">Is there a potential for forced eviction or the whole or partial physical or economic displacement of indigenous peoples, including through access restrictions to lands, territories, and </w:t>
            </w:r>
            <w:r w:rsidRPr="00353542">
              <w:rPr>
                <w:rFonts w:eastAsia="MS Mincho"/>
                <w:sz w:val="18"/>
                <w:szCs w:val="18"/>
                <w:lang w:val="en-GB"/>
              </w:rPr>
              <w:t>resources?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6.7</w:t>
            </w:r>
            <w:r w:rsidRPr="0057545E">
              <w:rPr>
                <w:rFonts w:eastAsia="MS Mincho"/>
                <w:sz w:val="18"/>
                <w:szCs w:val="18"/>
                <w:lang w:val="en-GB"/>
              </w:rPr>
              <w:tab/>
              <w:t>Would the Project adversely affect the development priorities of indigenous peoples as defined by them?</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6.8</w:t>
            </w:r>
            <w:r w:rsidRPr="0057545E">
              <w:rPr>
                <w:rFonts w:eastAsia="MS Mincho"/>
                <w:sz w:val="18"/>
                <w:szCs w:val="18"/>
                <w:lang w:val="en-GB"/>
              </w:rPr>
              <w:tab/>
              <w:t>Would the Project potentially affect the physical and cultural survival of indigenous peoples?</w:t>
            </w:r>
          </w:p>
        </w:tc>
        <w:tc>
          <w:tcPr>
            <w:tcW w:w="833"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3B7D62">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MS Mincho"/>
                <w:sz w:val="18"/>
                <w:szCs w:val="18"/>
                <w:lang w:val="en-GB"/>
              </w:rPr>
            </w:pPr>
            <w:r w:rsidRPr="0057545E">
              <w:rPr>
                <w:rFonts w:eastAsia="MS Mincho"/>
                <w:sz w:val="18"/>
                <w:szCs w:val="18"/>
                <w:lang w:val="en-GB"/>
              </w:rPr>
              <w:t>6.9</w:t>
            </w:r>
            <w:r w:rsidRPr="0057545E">
              <w:rPr>
                <w:rFonts w:eastAsia="MS Mincho"/>
                <w:sz w:val="18"/>
                <w:szCs w:val="18"/>
                <w:lang w:val="en-GB"/>
              </w:rPr>
              <w:tab/>
              <w:t xml:space="preserve">Would the </w:t>
            </w:r>
            <w:r w:rsidRPr="00353542">
              <w:rPr>
                <w:rFonts w:eastAsia="MS Mincho"/>
                <w:sz w:val="18"/>
                <w:szCs w:val="18"/>
                <w:lang w:val="en-GB"/>
              </w:rPr>
              <w:t xml:space="preserve">Project potentially affect </w:t>
            </w:r>
            <w:r w:rsidRPr="003B7D62">
              <w:rPr>
                <w:rFonts w:eastAsia="MS Mincho"/>
                <w:sz w:val="18"/>
                <w:szCs w:val="18"/>
                <w:lang w:val="en-GB"/>
              </w:rPr>
              <w:t>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rPr>
          <w:trHeight w:val="602"/>
        </w:trPr>
        <w:tc>
          <w:tcPr>
            <w:tcW w:w="8635" w:type="dxa"/>
            <w:tcBorders>
              <w:bottom w:val="single" w:sz="4" w:space="0" w:color="auto"/>
            </w:tcBorders>
            <w:shd w:val="clear" w:color="auto" w:fill="DBE5F1"/>
            <w:vAlign w:val="center"/>
          </w:tcPr>
          <w:p w:rsidR="005D1710" w:rsidRPr="00353542" w:rsidRDefault="005D1710" w:rsidP="005D1710">
            <w:pPr>
              <w:tabs>
                <w:tab w:val="left" w:pos="570"/>
              </w:tabs>
              <w:spacing w:before="120" w:after="0"/>
              <w:jc w:val="left"/>
              <w:rPr>
                <w:rFonts w:eastAsia="Times New Roman"/>
                <w:b/>
                <w:sz w:val="18"/>
                <w:szCs w:val="18"/>
                <w:lang w:val="en-GB" w:eastAsia="ja-JP"/>
              </w:rPr>
            </w:pPr>
            <w:r w:rsidRPr="0057545E">
              <w:rPr>
                <w:rFonts w:eastAsia="Times New Roman"/>
                <w:b/>
                <w:sz w:val="18"/>
                <w:szCs w:val="18"/>
                <w:lang w:val="en-GB" w:eastAsia="ja-JP"/>
              </w:rPr>
              <w:t>Standard 7: Pollution Prevention and Resource Efficiency</w:t>
            </w:r>
          </w:p>
        </w:tc>
        <w:tc>
          <w:tcPr>
            <w:tcW w:w="833" w:type="dxa"/>
            <w:tcBorders>
              <w:bottom w:val="single" w:sz="4" w:space="0" w:color="auto"/>
            </w:tcBorders>
            <w:shd w:val="clear" w:color="auto" w:fill="DBE5F1"/>
            <w:vAlign w:val="center"/>
          </w:tcPr>
          <w:p w:rsidR="005D1710" w:rsidRPr="003B7D62" w:rsidRDefault="005D1710" w:rsidP="005D1710">
            <w:pPr>
              <w:spacing w:after="0"/>
              <w:jc w:val="left"/>
              <w:rPr>
                <w:rFonts w:eastAsia="Times New Roman"/>
                <w:b/>
                <w:i/>
                <w:sz w:val="18"/>
                <w:szCs w:val="18"/>
                <w:lang w:val="en-GB" w:eastAsia="ja-JP"/>
              </w:rPr>
            </w:pPr>
          </w:p>
        </w:tc>
      </w:tr>
      <w:tr w:rsidR="005D1710" w:rsidRPr="0057545E" w:rsidTr="005D1710">
        <w:tc>
          <w:tcPr>
            <w:tcW w:w="8635" w:type="dxa"/>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7.1</w:t>
            </w:r>
            <w:r w:rsidRPr="0057545E">
              <w:rPr>
                <w:rFonts w:eastAsia="Times New Roman"/>
                <w:sz w:val="18"/>
                <w:szCs w:val="18"/>
                <w:lang w:val="en-GB" w:eastAsia="ja-JP"/>
              </w:rPr>
              <w:tab/>
            </w:r>
            <w:r w:rsidRPr="00353542">
              <w:rPr>
                <w:rFonts w:eastAsia="Times New Roman"/>
                <w:sz w:val="18"/>
                <w:szCs w:val="18"/>
                <w:lang w:val="en-GB" w:eastAsia="ja-JP"/>
              </w:rPr>
              <w:t>Would the Project potentially result in the release</w:t>
            </w:r>
            <w:r w:rsidRPr="003B7D62">
              <w:rPr>
                <w:rFonts w:eastAsia="Times New Roman"/>
                <w:sz w:val="18"/>
                <w:szCs w:val="18"/>
                <w:lang w:val="en-GB" w:eastAsia="ja-JP"/>
              </w:rPr>
              <w:t xml:space="preserve"> of pollutants to the environment due to routine or non-routine circumstances with the potential for adverse local, regional, and/or </w:t>
            </w:r>
            <w:hyperlink w:anchor="TransboundaryImpactsGlossary" w:history="1">
              <w:r w:rsidRPr="00666B27">
                <w:rPr>
                  <w:rFonts w:eastAsia="Times New Roman"/>
                  <w:sz w:val="18"/>
                  <w:szCs w:val="18"/>
                  <w:lang w:val="en-GB" w:eastAsia="ja-JP"/>
                </w:rPr>
                <w:t>transboundary impacts</w:t>
              </w:r>
            </w:hyperlink>
            <w:r w:rsidRPr="0057545E">
              <w:rPr>
                <w:rFonts w:eastAsia="Times New Roman"/>
                <w:sz w:val="18"/>
                <w:szCs w:val="18"/>
                <w:lang w:val="en-GB" w:eastAsia="ja-JP"/>
              </w:rPr>
              <w:t xml:space="preserve">? </w:t>
            </w:r>
          </w:p>
        </w:tc>
        <w:tc>
          <w:tcPr>
            <w:tcW w:w="833" w:type="dxa"/>
            <w:shd w:val="clear" w:color="auto" w:fill="auto"/>
          </w:tcPr>
          <w:p w:rsidR="005D1710" w:rsidRPr="004722F0" w:rsidRDefault="005D1710" w:rsidP="005D1710">
            <w:pPr>
              <w:spacing w:after="0"/>
              <w:jc w:val="left"/>
              <w:rPr>
                <w:rFonts w:eastAsia="Times New Roman"/>
                <w:sz w:val="18"/>
                <w:szCs w:val="18"/>
                <w:lang w:val="en-GB" w:eastAsia="ja-JP"/>
              </w:rPr>
            </w:pPr>
            <w:r w:rsidRPr="003B7D62">
              <w:rPr>
                <w:rFonts w:eastAsia="Times New Roman"/>
                <w:sz w:val="18"/>
                <w:szCs w:val="18"/>
                <w:lang w:val="en-GB" w:eastAsia="ja-JP"/>
              </w:rPr>
              <w:t>No (see part B, and 2)</w:t>
            </w:r>
          </w:p>
        </w:tc>
      </w:tr>
      <w:tr w:rsidR="005D1710" w:rsidRPr="0057545E" w:rsidTr="005D1710">
        <w:tc>
          <w:tcPr>
            <w:tcW w:w="8635" w:type="dxa"/>
            <w:tcBorders>
              <w:bottom w:val="single" w:sz="4" w:space="0" w:color="auto"/>
            </w:tcBorders>
            <w:shd w:val="clear" w:color="auto" w:fill="auto"/>
          </w:tcPr>
          <w:p w:rsidR="005D1710" w:rsidRPr="0035354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7.2</w:t>
            </w:r>
            <w:r w:rsidRPr="0057545E">
              <w:rPr>
                <w:rFonts w:eastAsia="Times New Roman"/>
                <w:sz w:val="18"/>
                <w:szCs w:val="18"/>
                <w:lang w:val="en-GB" w:eastAsia="ja-JP"/>
              </w:rPr>
              <w:tab/>
              <w:t>Would the proposed Project potentially result in the generation of waste (both hazardous and non-hazardous)?</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3B7D62">
              <w:rPr>
                <w:rFonts w:eastAsia="Times New Roman"/>
                <w:sz w:val="18"/>
                <w:szCs w:val="18"/>
                <w:lang w:val="en-GB" w:eastAsia="ja-JP"/>
              </w:rPr>
              <w:t xml:space="preserve">No (see Part B, risk </w:t>
            </w:r>
            <w:r w:rsidR="000E010C" w:rsidRPr="004722F0">
              <w:rPr>
                <w:rFonts w:eastAsia="Times New Roman"/>
                <w:sz w:val="18"/>
                <w:szCs w:val="18"/>
                <w:lang w:val="en-GB" w:eastAsia="ja-JP"/>
              </w:rPr>
              <w:t>2)</w:t>
            </w:r>
          </w:p>
        </w:tc>
      </w:tr>
      <w:tr w:rsidR="005D1710" w:rsidRPr="0057545E" w:rsidTr="005D1710">
        <w:trPr>
          <w:trHeight w:val="402"/>
        </w:trPr>
        <w:tc>
          <w:tcPr>
            <w:tcW w:w="8635"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7.3</w:t>
            </w:r>
            <w:r w:rsidRPr="0057545E">
              <w:rPr>
                <w:rFonts w:eastAsia="Times New Roman"/>
                <w:sz w:val="18"/>
                <w:szCs w:val="18"/>
                <w:lang w:val="en-GB" w:eastAsia="ja-JP"/>
              </w:rPr>
              <w:tab/>
            </w:r>
            <w:r w:rsidRPr="00353542">
              <w:rPr>
                <w:rFonts w:eastAsia="Times New Roman"/>
                <w:sz w:val="18"/>
                <w:szCs w:val="18"/>
                <w:lang w:val="en-GB" w:eastAsia="ja-JP"/>
              </w:rPr>
              <w:t>Will the proposed Project potentially involve the manufacture, trade, release, and/or use of hazardous chemicals and/or materials? Does the P</w:t>
            </w:r>
            <w:r w:rsidRPr="003B7D62">
              <w:rPr>
                <w:rFonts w:eastAsia="Times New Roman"/>
                <w:sz w:val="18"/>
                <w:szCs w:val="18"/>
                <w:lang w:val="en-GB" w:eastAsia="ja-JP"/>
              </w:rPr>
              <w:t xml:space="preserve">roject propose </w:t>
            </w:r>
            <w:r w:rsidRPr="004722F0">
              <w:rPr>
                <w:rFonts w:eastAsia="Times New Roman"/>
                <w:noProof/>
                <w:sz w:val="18"/>
                <w:szCs w:val="18"/>
                <w:lang w:val="en-GB" w:eastAsia="ja-JP"/>
              </w:rPr>
              <w:t>use</w:t>
            </w:r>
            <w:r w:rsidRPr="00666B27">
              <w:rPr>
                <w:rFonts w:eastAsia="Times New Roman"/>
                <w:sz w:val="18"/>
                <w:szCs w:val="18"/>
                <w:lang w:val="en-GB" w:eastAsia="ja-JP"/>
              </w:rPr>
              <w:t xml:space="preserve"> of chemicals or materials subject to international bans or phase-outs?</w:t>
            </w:r>
          </w:p>
          <w:p w:rsidR="005D1710" w:rsidRPr="00666B27" w:rsidRDefault="005D1710" w:rsidP="005D1710">
            <w:pPr>
              <w:tabs>
                <w:tab w:val="left" w:pos="630"/>
              </w:tabs>
              <w:spacing w:before="60"/>
              <w:ind w:left="630"/>
              <w:jc w:val="left"/>
              <w:rPr>
                <w:rFonts w:eastAsia="Times New Roman"/>
                <w:sz w:val="18"/>
                <w:szCs w:val="18"/>
                <w:lang w:val="en-GB" w:eastAsia="ja-JP"/>
              </w:rPr>
            </w:pPr>
            <w:r w:rsidRPr="00666B27">
              <w:rPr>
                <w:rFonts w:eastAsia="Times New Roman"/>
                <w:i/>
                <w:sz w:val="18"/>
                <w:szCs w:val="18"/>
                <w:lang w:val="en-GB" w:eastAsia="ja-JP"/>
              </w:rPr>
              <w:t>For example, DDT, PCBs and other chemicals listed in international conventions such as the Stockholm Conventions on Persistent Organic Pollutants or the Montreal Protocol</w:t>
            </w:r>
            <w:r w:rsidRPr="00666B27">
              <w:rPr>
                <w:rFonts w:eastAsia="Times New Roman"/>
                <w:sz w:val="18"/>
                <w:szCs w:val="18"/>
                <w:lang w:val="en-GB" w:eastAsia="ja-JP"/>
              </w:rPr>
              <w:t xml:space="preserve"> </w:t>
            </w:r>
          </w:p>
        </w:tc>
        <w:tc>
          <w:tcPr>
            <w:tcW w:w="833" w:type="dxa"/>
            <w:tcBorders>
              <w:bottom w:val="single" w:sz="4" w:space="0" w:color="auto"/>
            </w:tcBorders>
            <w:shd w:val="clear" w:color="auto" w:fill="auto"/>
          </w:tcPr>
          <w:p w:rsidR="005D1710" w:rsidRPr="00666B27" w:rsidRDefault="005D1710" w:rsidP="005D1710">
            <w:pPr>
              <w:spacing w:after="0"/>
              <w:jc w:val="left"/>
              <w:rPr>
                <w:rFonts w:eastAsia="Times New Roman"/>
                <w:sz w:val="18"/>
                <w:szCs w:val="18"/>
                <w:lang w:val="en-GB" w:eastAsia="ja-JP"/>
              </w:rPr>
            </w:pPr>
            <w:r w:rsidRPr="00666B27">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3B7D62"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 xml:space="preserve">7.4 </w:t>
            </w:r>
            <w:r w:rsidRPr="0057545E">
              <w:rPr>
                <w:rFonts w:eastAsia="Times New Roman"/>
                <w:sz w:val="18"/>
                <w:szCs w:val="18"/>
                <w:lang w:val="en-GB" w:eastAsia="ja-JP"/>
              </w:rPr>
              <w:tab/>
              <w:t>Will the proposed Project involve the application of pesticides that may have a negative effe</w:t>
            </w:r>
            <w:r w:rsidRPr="00353542">
              <w:rPr>
                <w:rFonts w:eastAsia="Times New Roman"/>
                <w:sz w:val="18"/>
                <w:szCs w:val="18"/>
                <w:lang w:val="en-GB" w:eastAsia="ja-JP"/>
              </w:rPr>
              <w:t>ct on the environment or human health?</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4722F0">
              <w:rPr>
                <w:rFonts w:eastAsia="Times New Roman"/>
                <w:sz w:val="18"/>
                <w:szCs w:val="18"/>
                <w:lang w:val="en-GB" w:eastAsia="ja-JP"/>
              </w:rPr>
              <w:t>No</w:t>
            </w:r>
          </w:p>
        </w:tc>
      </w:tr>
      <w:tr w:rsidR="005D1710" w:rsidRPr="0057545E" w:rsidTr="005D1710">
        <w:tc>
          <w:tcPr>
            <w:tcW w:w="8635" w:type="dxa"/>
            <w:tcBorders>
              <w:bottom w:val="single" w:sz="4" w:space="0" w:color="auto"/>
            </w:tcBorders>
            <w:shd w:val="clear" w:color="auto" w:fill="auto"/>
          </w:tcPr>
          <w:p w:rsidR="005D1710" w:rsidRPr="004722F0" w:rsidRDefault="005D1710" w:rsidP="005D1710">
            <w:pPr>
              <w:tabs>
                <w:tab w:val="left" w:pos="585"/>
              </w:tabs>
              <w:spacing w:before="60"/>
              <w:ind w:left="567" w:hanging="567"/>
              <w:jc w:val="left"/>
              <w:rPr>
                <w:rFonts w:eastAsia="Times New Roman"/>
                <w:sz w:val="18"/>
                <w:szCs w:val="18"/>
                <w:lang w:val="en-GB" w:eastAsia="ja-JP"/>
              </w:rPr>
            </w:pPr>
            <w:r w:rsidRPr="0057545E">
              <w:rPr>
                <w:rFonts w:eastAsia="Times New Roman"/>
                <w:sz w:val="18"/>
                <w:szCs w:val="18"/>
                <w:lang w:val="en-GB" w:eastAsia="ja-JP"/>
              </w:rPr>
              <w:t>7.5</w:t>
            </w:r>
            <w:r w:rsidRPr="0057545E">
              <w:rPr>
                <w:rFonts w:eastAsia="Times New Roman"/>
                <w:sz w:val="18"/>
                <w:szCs w:val="18"/>
                <w:lang w:val="en-GB" w:eastAsia="ja-JP"/>
              </w:rPr>
              <w:tab/>
            </w:r>
            <w:r w:rsidRPr="00353542">
              <w:rPr>
                <w:rFonts w:eastAsia="Times New Roman"/>
                <w:sz w:val="18"/>
                <w:szCs w:val="18"/>
                <w:lang w:val="en-GB" w:eastAsia="ja-JP"/>
              </w:rPr>
              <w:t>Does the Project include activities that require significant consumption of raw materials, energy, an</w:t>
            </w:r>
            <w:r w:rsidRPr="003B7D62">
              <w:rPr>
                <w:rFonts w:eastAsia="Times New Roman"/>
                <w:sz w:val="18"/>
                <w:szCs w:val="18"/>
                <w:lang w:val="en-GB" w:eastAsia="ja-JP"/>
              </w:rPr>
              <w:t xml:space="preserve">d/or water? </w:t>
            </w:r>
          </w:p>
        </w:tc>
        <w:tc>
          <w:tcPr>
            <w:tcW w:w="833" w:type="dxa"/>
            <w:tcBorders>
              <w:bottom w:val="single" w:sz="4" w:space="0" w:color="auto"/>
            </w:tcBorders>
            <w:shd w:val="clear" w:color="auto" w:fill="auto"/>
          </w:tcPr>
          <w:p w:rsidR="005D1710" w:rsidRPr="00666B27" w:rsidRDefault="005D1710" w:rsidP="005D1710">
            <w:pPr>
              <w:tabs>
                <w:tab w:val="left" w:pos="585"/>
              </w:tabs>
              <w:spacing w:before="60"/>
              <w:ind w:left="567" w:hanging="567"/>
              <w:jc w:val="left"/>
              <w:rPr>
                <w:rFonts w:eastAsia="Times New Roman"/>
                <w:sz w:val="18"/>
                <w:szCs w:val="18"/>
                <w:lang w:val="en-GB" w:eastAsia="ja-JP"/>
              </w:rPr>
            </w:pPr>
            <w:r w:rsidRPr="00666B27">
              <w:rPr>
                <w:rFonts w:eastAsia="Times New Roman"/>
                <w:sz w:val="18"/>
                <w:szCs w:val="18"/>
                <w:lang w:val="en-GB" w:eastAsia="ja-JP"/>
              </w:rPr>
              <w:t>No</w:t>
            </w:r>
          </w:p>
        </w:tc>
      </w:tr>
    </w:tbl>
    <w:p w:rsidR="005D1710" w:rsidRPr="0057545E" w:rsidRDefault="005D1710" w:rsidP="005D1710">
      <w:pPr>
        <w:keepNext/>
        <w:keepLines/>
        <w:spacing w:before="480" w:after="0"/>
        <w:jc w:val="left"/>
        <w:outlineLvl w:val="0"/>
        <w:rPr>
          <w:rFonts w:eastAsia="MS Gothic"/>
          <w:b/>
          <w:bCs/>
          <w:color w:val="345A8A"/>
          <w:sz w:val="32"/>
          <w:szCs w:val="20"/>
          <w:lang w:val="en-GB" w:eastAsia="ja-JP"/>
        </w:rPr>
      </w:pPr>
    </w:p>
    <w:p w:rsidR="005D1710" w:rsidRDefault="005D1710" w:rsidP="005D1710"/>
    <w:sectPr w:rsidR="005D1710" w:rsidSect="005D1710">
      <w:pgSz w:w="12240" w:h="15840" w:code="1"/>
      <w:pgMar w:top="1440" w:right="1134" w:bottom="1440"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803B6" w:rsidRDefault="00B803B6">
      <w:r>
        <w:separator/>
      </w:r>
    </w:p>
  </w:endnote>
  <w:endnote w:type="continuationSeparator" w:id="0">
    <w:p w:rsidR="00B803B6" w:rsidRDefault="00B803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Bold">
    <w:altName w:val="Arial"/>
    <w:panose1 w:val="020B0704020202020204"/>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inion Pro">
    <w:charset w:val="00"/>
    <w:family w:val="auto"/>
    <w:pitch w:val="variable"/>
    <w:sig w:usb0="60000287" w:usb1="00000001" w:usb2="00000000" w:usb3="00000000" w:csb0="0000019F" w:csb1="00000000"/>
  </w:font>
  <w:font w:name="Segoe UI Symbol">
    <w:panose1 w:val="020B0502040204020203"/>
    <w:charset w:val="00"/>
    <w:family w:val="swiss"/>
    <w:pitch w:val="variable"/>
    <w:sig w:usb0="800001E3" w:usb1="1200FFEF" w:usb2="00040000" w:usb3="00000000" w:csb0="00000001" w:csb1="00000000"/>
  </w:font>
  <w:font w:name="Menlo Bold">
    <w:altName w:val="Segoe UI Semibold"/>
    <w:charset w:val="00"/>
    <w:family w:val="auto"/>
    <w:pitch w:val="variable"/>
    <w:sig w:usb0="00000000" w:usb1="D000F1FB" w:usb2="00000028" w:usb3="00000000" w:csb0="000001D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0FEA" w:rsidRDefault="00540FEA" w:rsidP="0003763F">
    <w:pPr>
      <w:pStyle w:val="Footer"/>
      <w:pBdr>
        <w:top w:val="single" w:sz="4" w:space="1" w:color="D9D9D9"/>
      </w:pBdr>
      <w:jc w:val="right"/>
    </w:pPr>
    <w:r>
      <w:fldChar w:fldCharType="begin"/>
    </w:r>
    <w:r>
      <w:instrText xml:space="preserve"> PAGE   \* MERGEFORMAT </w:instrText>
    </w:r>
    <w:r>
      <w:fldChar w:fldCharType="separate"/>
    </w:r>
    <w:r>
      <w:rPr>
        <w:noProof/>
      </w:rPr>
      <w:t>51</w:t>
    </w:r>
    <w:r>
      <w:rPr>
        <w:noProof/>
      </w:rPr>
      <w:fldChar w:fldCharType="end"/>
    </w:r>
    <w:r>
      <w:t xml:space="preserve"> | </w:t>
    </w:r>
    <w:r w:rsidRPr="0003763F">
      <w:rPr>
        <w:color w:val="7F7F7F"/>
        <w:spacing w:val="60"/>
      </w:rPr>
      <w:t>Page</w:t>
    </w:r>
  </w:p>
  <w:p w:rsidR="00540FEA" w:rsidRDefault="00540F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0FEA" w:rsidRDefault="00540FEA"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142</w:t>
    </w:r>
    <w:r>
      <w:rPr>
        <w:noProof/>
      </w:rPr>
      <w:fldChar w:fldCharType="end"/>
    </w:r>
    <w:r>
      <w:t xml:space="preserve"> | </w:t>
    </w:r>
    <w:r w:rsidRPr="00DD472A">
      <w:rPr>
        <w:color w:val="7F7F7F"/>
        <w:spacing w:val="60"/>
      </w:rPr>
      <w:t>Page</w:t>
    </w:r>
  </w:p>
  <w:p w:rsidR="00540FEA" w:rsidRDefault="00540F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0FEA" w:rsidRDefault="00540FEA" w:rsidP="00FD3A8F">
    <w:pPr>
      <w:pStyle w:val="Header"/>
    </w:pPr>
  </w:p>
  <w:p w:rsidR="00540FEA" w:rsidRDefault="00540FEA" w:rsidP="0003763F">
    <w:pPr>
      <w:pStyle w:val="Footer"/>
      <w:pBdr>
        <w:top w:val="single" w:sz="4" w:space="1" w:color="D9D9D9"/>
      </w:pBdr>
      <w:jc w:val="right"/>
    </w:pPr>
    <w:r>
      <w:fldChar w:fldCharType="begin"/>
    </w:r>
    <w:r>
      <w:instrText xml:space="preserve"> PAGE   \* MERGEFORMAT </w:instrText>
    </w:r>
    <w:r>
      <w:fldChar w:fldCharType="separate"/>
    </w:r>
    <w:r>
      <w:rPr>
        <w:noProof/>
      </w:rPr>
      <w:t>61</w:t>
    </w:r>
    <w:r>
      <w:rPr>
        <w:noProof/>
      </w:rPr>
      <w:fldChar w:fldCharType="end"/>
    </w:r>
    <w:r>
      <w:t xml:space="preserve"> | </w:t>
    </w:r>
    <w:r w:rsidRPr="0003763F">
      <w:rPr>
        <w:color w:val="7F7F7F"/>
        <w:spacing w:val="60"/>
      </w:rPr>
      <w:t>Page</w:t>
    </w:r>
  </w:p>
  <w:p w:rsidR="00540FEA" w:rsidRDefault="00540FEA" w:rsidP="00FD3A8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803B6" w:rsidRDefault="00B803B6">
      <w:r>
        <w:separator/>
      </w:r>
    </w:p>
  </w:footnote>
  <w:footnote w:type="continuationSeparator" w:id="0">
    <w:p w:rsidR="00B803B6" w:rsidRDefault="00B803B6">
      <w:r>
        <w:continuationSeparator/>
      </w:r>
    </w:p>
  </w:footnote>
  <w:footnote w:id="1">
    <w:p w:rsidR="00540FEA" w:rsidRPr="00A13A4E" w:rsidRDefault="00540FEA" w:rsidP="0045291C">
      <w:pPr>
        <w:pStyle w:val="FootnoteText"/>
        <w:ind w:left="284" w:hanging="284"/>
      </w:pPr>
      <w:r>
        <w:rPr>
          <w:rStyle w:val="FootnoteReference"/>
        </w:rPr>
        <w:footnoteRef/>
      </w:r>
      <w:r>
        <w:t xml:space="preserve"> </w:t>
      </w:r>
      <w:r>
        <w:tab/>
        <w:t xml:space="preserve">See Box 1 and </w:t>
      </w:r>
      <w:r>
        <w:rPr>
          <w:i/>
        </w:rPr>
        <w:t xml:space="preserve">Electricity Generated and Available for Distribution, </w:t>
      </w:r>
      <w:r>
        <w:t xml:space="preserve">STATS SA (2017) and </w:t>
      </w:r>
      <w:r>
        <w:rPr>
          <w:i/>
        </w:rPr>
        <w:t xml:space="preserve">Integrated Resources Plan for Electricity 2010-2030, </w:t>
      </w:r>
      <w:r>
        <w:t xml:space="preserve">Department of Energy. Emission factor taken from </w:t>
      </w:r>
      <w:r>
        <w:rPr>
          <w:i/>
        </w:rPr>
        <w:t xml:space="preserve">South Africa’s Grid Emission Factor, </w:t>
      </w:r>
      <w:r>
        <w:t xml:space="preserve">National Business Initiative (2011). </w:t>
      </w:r>
    </w:p>
  </w:footnote>
  <w:footnote w:id="2">
    <w:p w:rsidR="00540FEA" w:rsidRPr="008E495B" w:rsidRDefault="00540FEA">
      <w:pPr>
        <w:pStyle w:val="FootnoteText"/>
      </w:pPr>
      <w:r>
        <w:rPr>
          <w:rStyle w:val="FootnoteReference"/>
        </w:rPr>
        <w:footnoteRef/>
      </w:r>
      <w:r>
        <w:t xml:space="preserve"> </w:t>
      </w:r>
      <w:r>
        <w:tab/>
        <w:t xml:space="preserve">Own estimates, based on data presented in Annex E </w:t>
      </w:r>
    </w:p>
  </w:footnote>
  <w:footnote w:id="3">
    <w:p w:rsidR="00540FEA" w:rsidRPr="00C24696" w:rsidRDefault="00540FEA">
      <w:pPr>
        <w:pStyle w:val="FootnoteText"/>
        <w:rPr>
          <w:i/>
        </w:rPr>
      </w:pPr>
      <w:r>
        <w:rPr>
          <w:rStyle w:val="FootnoteReference"/>
        </w:rPr>
        <w:footnoteRef/>
      </w:r>
      <w:r>
        <w:t xml:space="preserve"> </w:t>
      </w:r>
      <w:r>
        <w:tab/>
      </w:r>
      <w:r>
        <w:rPr>
          <w:i/>
        </w:rPr>
        <w:t>GEF-6 Programming Directions,</w:t>
      </w:r>
      <w:r w:rsidRPr="00C24696">
        <w:rPr>
          <w:i/>
        </w:rPr>
        <w:t>(</w:t>
      </w:r>
      <w:r w:rsidRPr="00C24696">
        <w:t>Extract from GEF Assembly Document GEF/A.5/07/Rev.01, May 22, 2014</w:t>
      </w:r>
    </w:p>
  </w:footnote>
  <w:footnote w:id="4">
    <w:p w:rsidR="00540FEA" w:rsidRPr="00835D63" w:rsidRDefault="00540FEA" w:rsidP="00AE1990">
      <w:pPr>
        <w:pStyle w:val="FootnoteText"/>
        <w:ind w:left="284" w:hanging="284"/>
      </w:pPr>
      <w:r>
        <w:rPr>
          <w:rStyle w:val="FootnoteReference"/>
        </w:rPr>
        <w:footnoteRef/>
      </w:r>
      <w:r>
        <w:t xml:space="preserve"> </w:t>
      </w:r>
      <w:r>
        <w:tab/>
      </w:r>
      <w:r w:rsidRPr="00835D63">
        <w:rPr>
          <w:rFonts w:cs="Arial"/>
          <w:i/>
        </w:rPr>
        <w:t>Identify, Assess, and Design a Market-Based Economic Incentive(s) for Energy-Efficient Appliances in South Africa; Final Report</w:t>
      </w:r>
      <w:r>
        <w:rPr>
          <w:rFonts w:cs="Arial"/>
          <w:i/>
        </w:rPr>
        <w:t xml:space="preserve"> </w:t>
      </w:r>
      <w:r>
        <w:rPr>
          <w:rFonts w:cs="Arial"/>
        </w:rPr>
        <w:t>(Danish Embassy, Department of Energy)</w:t>
      </w:r>
    </w:p>
  </w:footnote>
  <w:footnote w:id="5">
    <w:p w:rsidR="00540FEA" w:rsidRPr="00835D63" w:rsidRDefault="00540FEA" w:rsidP="00497A93">
      <w:pPr>
        <w:pStyle w:val="FootnoteText"/>
        <w:rPr>
          <w:rFonts w:cs="Arial"/>
        </w:rPr>
      </w:pPr>
      <w:r>
        <w:rPr>
          <w:rStyle w:val="FootnoteReference"/>
        </w:rPr>
        <w:footnoteRef/>
      </w:r>
      <w:r>
        <w:t xml:space="preserve"> </w:t>
      </w:r>
      <w:r>
        <w:tab/>
      </w:r>
      <w:r w:rsidRPr="00835D63">
        <w:rPr>
          <w:rFonts w:cs="Arial"/>
        </w:rPr>
        <w:t xml:space="preserve">See for example, </w:t>
      </w:r>
      <w:r w:rsidRPr="00835D63">
        <w:rPr>
          <w:rFonts w:cs="Arial"/>
          <w:i/>
        </w:rPr>
        <w:t>State of Energy in South African Cities 2015</w:t>
      </w:r>
      <w:r>
        <w:rPr>
          <w:rFonts w:cs="Arial"/>
          <w:i/>
        </w:rPr>
        <w:t xml:space="preserve"> </w:t>
      </w:r>
      <w:r>
        <w:rPr>
          <w:rFonts w:cs="Arial"/>
        </w:rPr>
        <w:t>(SACN)</w:t>
      </w:r>
    </w:p>
  </w:footnote>
  <w:footnote w:id="6">
    <w:p w:rsidR="00540FEA" w:rsidRDefault="00540FEA" w:rsidP="001A2BD5">
      <w:pPr>
        <w:pStyle w:val="FootnoteText"/>
      </w:pPr>
      <w:r>
        <w:rPr>
          <w:rStyle w:val="FootnoteReference"/>
        </w:rPr>
        <w:footnoteRef/>
      </w:r>
      <w:r>
        <w:t xml:space="preserve"> </w:t>
      </w:r>
      <w:r>
        <w:tab/>
        <w:t>For example, t</w:t>
      </w:r>
      <w:r w:rsidRPr="00900382">
        <w:t xml:space="preserve">he GIZ EE Street Lighting Retrofit programme will continue until 2019 </w:t>
      </w:r>
    </w:p>
  </w:footnote>
  <w:footnote w:id="7">
    <w:p w:rsidR="00540FEA" w:rsidRDefault="00540FEA" w:rsidP="001A2BD5">
      <w:pPr>
        <w:pStyle w:val="FootnoteText"/>
        <w:ind w:left="284" w:hanging="284"/>
      </w:pPr>
      <w:r>
        <w:rPr>
          <w:rStyle w:val="FootnoteReference"/>
        </w:rPr>
        <w:footnoteRef/>
      </w:r>
      <w:r>
        <w:t xml:space="preserve"> </w:t>
      </w:r>
      <w:r>
        <w:tab/>
      </w:r>
      <w:r w:rsidRPr="009B2EA3">
        <w:t>MEEDSM program, the project team presented to the MEEDSM program manager at the DoE the possibility to reduce the level of grant funding under the MEEDSM from 100% of the project value to a lower percentage as a way to leverage the grant program, increase the number of projects and municipalities that receive funding and let the municipalities obtain funding from other sources</w:t>
      </w:r>
    </w:p>
  </w:footnote>
  <w:footnote w:id="8">
    <w:p w:rsidR="00540FEA" w:rsidRDefault="00540FEA">
      <w:pPr>
        <w:pStyle w:val="FootnoteText"/>
      </w:pPr>
      <w:r>
        <w:rPr>
          <w:rStyle w:val="FootnoteReference"/>
        </w:rPr>
        <w:footnoteRef/>
      </w:r>
      <w:r>
        <w:t xml:space="preserve"> </w:t>
      </w:r>
      <w:r>
        <w:tab/>
        <w:t>Including the SADC Centre fort Renewable Energy and Energy Efficiency (SACREEE), based in Namibia</w:t>
      </w:r>
    </w:p>
  </w:footnote>
  <w:footnote w:id="9">
    <w:p w:rsidR="00540FEA" w:rsidRDefault="00540FEA" w:rsidP="00E85255">
      <w:pPr>
        <w:pStyle w:val="FootnoteText"/>
        <w:ind w:left="284" w:hanging="284"/>
      </w:pPr>
      <w:r>
        <w:rPr>
          <w:rStyle w:val="FootnoteReference"/>
        </w:rPr>
        <w:footnoteRef/>
      </w:r>
      <w:r>
        <w:t xml:space="preserve"> </w:t>
      </w:r>
      <w:r>
        <w:tab/>
        <w:t>The regulations can be under DOE and/or DTI, with the administration handled by SANEDI and/or NCRS, supported on technical issues by SABS, IESSA and/or NMISA</w:t>
      </w:r>
    </w:p>
  </w:footnote>
  <w:footnote w:id="10">
    <w:p w:rsidR="00540FEA" w:rsidRDefault="00540FEA">
      <w:pPr>
        <w:pStyle w:val="FootnoteText"/>
      </w:pPr>
      <w:r>
        <w:rPr>
          <w:rStyle w:val="FootnoteReference"/>
        </w:rPr>
        <w:footnoteRef/>
      </w:r>
      <w:r>
        <w:t xml:space="preserve"> </w:t>
      </w:r>
      <w:r>
        <w:tab/>
      </w:r>
      <w:bookmarkStart w:id="73" w:name="_Hlk4671966"/>
      <w:r>
        <w:t>www.savingenergy.org.za</w:t>
      </w:r>
      <w:bookmarkEnd w:id="73"/>
    </w:p>
  </w:footnote>
  <w:footnote w:id="11">
    <w:p w:rsidR="00540FEA" w:rsidRDefault="00540FEA" w:rsidP="00927E57">
      <w:pPr>
        <w:pStyle w:val="FootnoteText"/>
        <w:ind w:left="284" w:hanging="284"/>
      </w:pPr>
      <w:r>
        <w:rPr>
          <w:rStyle w:val="FootnoteReference"/>
        </w:rPr>
        <w:footnoteRef/>
      </w:r>
      <w:r>
        <w:t xml:space="preserve"> </w:t>
      </w:r>
      <w:r>
        <w:tab/>
      </w:r>
      <w:r w:rsidRPr="00B16241">
        <w:t>In order to encourage the technologies supported by the Project, the blended cost of funding for these technologies shall depend on the financial and social attractiveness of the project. For example, the financing cost improvement for LED street lighting (which has a payback of ca. 5 years and brings a substantial impact on the daily life of South African citizens), should require a smaller improvement than the upgrade to a higher efficiency class of transformers (which have a longer payback and limited additional benefit for the citizens).</w:t>
      </w:r>
    </w:p>
  </w:footnote>
  <w:footnote w:id="12">
    <w:p w:rsidR="00540FEA" w:rsidRPr="005A462B" w:rsidRDefault="00540FEA" w:rsidP="009B20C5">
      <w:pPr>
        <w:pStyle w:val="FootnoteText"/>
        <w:ind w:left="284" w:hanging="284"/>
        <w:rPr>
          <w:szCs w:val="16"/>
        </w:rPr>
      </w:pPr>
      <w:r w:rsidRPr="005A462B">
        <w:rPr>
          <w:rStyle w:val="FootnoteReference"/>
          <w:sz w:val="16"/>
          <w:szCs w:val="16"/>
        </w:rPr>
        <w:footnoteRef/>
      </w:r>
      <w:r w:rsidRPr="005A462B">
        <w:rPr>
          <w:szCs w:val="16"/>
        </w:rPr>
        <w:t xml:space="preserve"> </w:t>
      </w:r>
      <w:r>
        <w:rPr>
          <w:szCs w:val="16"/>
        </w:rPr>
        <w:tab/>
        <w:t xml:space="preserve">For example, </w:t>
      </w:r>
      <w:r w:rsidRPr="00F26C97">
        <w:rPr>
          <w:szCs w:val="16"/>
        </w:rPr>
        <w:t>Lawrence Berkeley National Laboratory estimated in 2004 that standards implemented at a cost of USD 2 in federal government spending per household had triggered investment in energy-saving features equaling USD 1,000 per household, resulting in USD 2,170 gross savings per household in fuel costs, and an increase of more than USD 1000 of net present value per household to the U.S. economy during the operating lifetimes of the affected products</w:t>
      </w:r>
      <w:r>
        <w:rPr>
          <w:szCs w:val="16"/>
        </w:rPr>
        <w:t xml:space="preserve">. See </w:t>
      </w:r>
      <w:r w:rsidRPr="005A462B">
        <w:rPr>
          <w:szCs w:val="16"/>
        </w:rPr>
        <w:t xml:space="preserve">Meyers, S, J. McMahon, and M. McNeil. 2004. </w:t>
      </w:r>
      <w:r w:rsidRPr="005A462B">
        <w:rPr>
          <w:i/>
          <w:szCs w:val="16"/>
        </w:rPr>
        <w:t>Realized and Prospective Impacts of U.S. Energy Efficiency Standards for Residential Appliances: 2004 Update</w:t>
      </w:r>
      <w:r w:rsidRPr="005A462B">
        <w:rPr>
          <w:szCs w:val="16"/>
        </w:rPr>
        <w:t xml:space="preserve">. Berkeley, </w:t>
      </w:r>
      <w:r>
        <w:rPr>
          <w:szCs w:val="16"/>
        </w:rPr>
        <w:t xml:space="preserve">CA, Lawrence Berkeley National Laboratory, </w:t>
      </w:r>
      <w:r w:rsidRPr="005A462B">
        <w:rPr>
          <w:szCs w:val="16"/>
        </w:rPr>
        <w:t>LBNL-56417</w:t>
      </w:r>
    </w:p>
  </w:footnote>
  <w:footnote w:id="13">
    <w:p w:rsidR="00540FEA" w:rsidRDefault="00540FEA" w:rsidP="009B20C5">
      <w:pPr>
        <w:pStyle w:val="FootnoteText"/>
        <w:ind w:left="284" w:hanging="284"/>
      </w:pPr>
      <w:r w:rsidRPr="005A462B">
        <w:rPr>
          <w:rStyle w:val="FootnoteReference"/>
          <w:sz w:val="16"/>
          <w:szCs w:val="16"/>
        </w:rPr>
        <w:footnoteRef/>
      </w:r>
      <w:r w:rsidRPr="005A462B">
        <w:rPr>
          <w:szCs w:val="16"/>
        </w:rPr>
        <w:t xml:space="preserve"> </w:t>
      </w:r>
      <w:r>
        <w:rPr>
          <w:szCs w:val="16"/>
        </w:rPr>
        <w:tab/>
      </w:r>
      <w:r w:rsidRPr="00F26C97">
        <w:rPr>
          <w:szCs w:val="16"/>
        </w:rPr>
        <w:t>A similar analysis in 2003 by the International Energy Agency determined that EESL in OECD countries would lead to cumulative net cost savings of EUR 137 billion by 202</w:t>
      </w:r>
      <w:r>
        <w:rPr>
          <w:szCs w:val="16"/>
        </w:rPr>
        <w:t xml:space="preserve">. Source: </w:t>
      </w:r>
      <w:r w:rsidRPr="00F26C97">
        <w:rPr>
          <w:szCs w:val="16"/>
        </w:rPr>
        <w:t>0</w:t>
      </w:r>
      <w:r w:rsidRPr="005A462B">
        <w:rPr>
          <w:szCs w:val="16"/>
        </w:rPr>
        <w:t xml:space="preserve">IEA (International Energy Agency). 2003. </w:t>
      </w:r>
      <w:r w:rsidRPr="005A462B">
        <w:rPr>
          <w:i/>
          <w:szCs w:val="16"/>
        </w:rPr>
        <w:t>Cool Appliances: Policy Strategies for Energy-Efficient Homes</w:t>
      </w:r>
      <w:r>
        <w:rPr>
          <w:szCs w:val="16"/>
        </w:rPr>
        <w:t>, OECD/IEA, Paris,</w:t>
      </w:r>
      <w:r w:rsidRPr="005A462B">
        <w:rPr>
          <w:szCs w:val="16"/>
        </w:rPr>
        <w:t xml:space="preserve"> France.</w:t>
      </w:r>
    </w:p>
  </w:footnote>
  <w:footnote w:id="14">
    <w:p w:rsidR="00540FEA" w:rsidRPr="00AD6A9D" w:rsidRDefault="00540FEA" w:rsidP="00D624F3">
      <w:pPr>
        <w:pStyle w:val="FootnoteText"/>
        <w:ind w:left="284" w:hanging="284"/>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http://www.undp.org/content/undp/en/home/operations/transparency/information_disclosurepolicy/</w:t>
      </w:r>
    </w:p>
  </w:footnote>
  <w:footnote w:id="15">
    <w:p w:rsidR="00540FEA" w:rsidRPr="00AD6A9D" w:rsidRDefault="00540FEA" w:rsidP="00D624F3">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w:t>
      </w:r>
      <w:r>
        <w:rPr>
          <w:rFonts w:ascii="Calibri" w:hAnsi="Calibri"/>
          <w:sz w:val="18"/>
          <w:szCs w:val="18"/>
        </w:rPr>
        <w:tab/>
      </w:r>
      <w:r w:rsidRPr="005836E2">
        <w:rPr>
          <w:rFonts w:cs="Arial"/>
          <w:szCs w:val="16"/>
        </w:rPr>
        <w:t xml:space="preserve">See </w:t>
      </w:r>
      <w:r w:rsidRPr="005836E2">
        <w:rPr>
          <w:rFonts w:cs="Arial"/>
          <w:color w:val="000000"/>
          <w:szCs w:val="16"/>
        </w:rPr>
        <w:t>https://www.thegef.org/gef/policies_guidelines</w:t>
      </w:r>
    </w:p>
  </w:footnote>
  <w:footnote w:id="16">
    <w:p w:rsidR="00540FEA" w:rsidRPr="00C23420" w:rsidRDefault="00540FEA" w:rsidP="00E0026F">
      <w:pPr>
        <w:pStyle w:val="FootnoteText"/>
        <w:rPr>
          <w:rStyle w:val="Hyperlink"/>
          <w:rFonts w:ascii="Calibri" w:hAnsi="Calibri"/>
          <w:sz w:val="18"/>
          <w:szCs w:val="18"/>
        </w:rPr>
      </w:pPr>
      <w:r w:rsidRPr="00C23420">
        <w:rPr>
          <w:rStyle w:val="FootnoteReference"/>
          <w:rFonts w:ascii="Calibri" w:hAnsi="Calibri"/>
          <w:szCs w:val="18"/>
        </w:rPr>
        <w:footnoteRef/>
      </w:r>
      <w:r w:rsidRPr="00C23420">
        <w:rPr>
          <w:rFonts w:ascii="Calibri" w:hAnsi="Calibri"/>
          <w:sz w:val="18"/>
          <w:szCs w:val="18"/>
        </w:rPr>
        <w:t xml:space="preserve"> </w:t>
      </w:r>
      <w:r>
        <w:rPr>
          <w:rFonts w:ascii="Calibri" w:hAnsi="Calibri"/>
          <w:sz w:val="18"/>
          <w:szCs w:val="18"/>
        </w:rPr>
        <w:tab/>
      </w:r>
      <w:r w:rsidRPr="00C23420">
        <w:rPr>
          <w:rFonts w:ascii="Calibri" w:hAnsi="Calibri"/>
          <w:sz w:val="18"/>
          <w:szCs w:val="18"/>
        </w:rPr>
        <w:t xml:space="preserve">see  </w:t>
      </w:r>
      <w:r w:rsidRPr="00E476DB">
        <w:rPr>
          <w:rFonts w:ascii="Calibri" w:hAnsi="Calibri"/>
          <w:sz w:val="18"/>
          <w:szCs w:val="18"/>
        </w:rPr>
        <w:t>https://info.undp.org/global/popp/ppm/Pages/Closing-a-Project.aspx</w:t>
      </w:r>
    </w:p>
    <w:p w:rsidR="00540FEA" w:rsidRDefault="00540FEA" w:rsidP="00E0026F">
      <w:pPr>
        <w:pStyle w:val="FootnoteText"/>
      </w:pPr>
    </w:p>
  </w:footnote>
  <w:footnote w:id="17">
    <w:p w:rsidR="007061AB" w:rsidRPr="007061AB" w:rsidRDefault="007061AB" w:rsidP="007061AB">
      <w:pPr>
        <w:pStyle w:val="FootnoteText"/>
        <w:ind w:left="284" w:hanging="284"/>
        <w:rPr>
          <w:color w:val="000000" w:themeColor="text1"/>
        </w:rPr>
      </w:pPr>
      <w:r>
        <w:rPr>
          <w:rStyle w:val="FootnoteReference"/>
        </w:rPr>
        <w:footnoteRef/>
      </w:r>
      <w:r>
        <w:t xml:space="preserve"> </w:t>
      </w:r>
      <w:r>
        <w:tab/>
        <w:t xml:space="preserve">The table only includes co-financing (cash and in-kind) confirmed by means of a signed cooperation (co-financing) letter, attached in Annex J.   Other stakeholders will also contribute (municipalities, companies) but this could not be confirmed by means of agreement as this project </w:t>
      </w:r>
      <w:r w:rsidRPr="007061AB">
        <w:rPr>
          <w:color w:val="000000" w:themeColor="text1"/>
        </w:rPr>
        <w:t>preparation stage,</w:t>
      </w:r>
    </w:p>
  </w:footnote>
  <w:footnote w:id="18">
    <w:p w:rsidR="007061AB" w:rsidRPr="007061AB" w:rsidRDefault="007061AB" w:rsidP="007061AB">
      <w:pPr>
        <w:pStyle w:val="FootnoteText"/>
        <w:ind w:left="284" w:hanging="284"/>
        <w:rPr>
          <w:color w:val="000000" w:themeColor="text1"/>
        </w:rPr>
      </w:pPr>
      <w:r w:rsidRPr="007061AB">
        <w:rPr>
          <w:rStyle w:val="FootnoteReference"/>
          <w:color w:val="000000" w:themeColor="text1"/>
        </w:rPr>
        <w:footnoteRef/>
      </w:r>
      <w:r w:rsidRPr="007061AB">
        <w:rPr>
          <w:color w:val="000000" w:themeColor="text1"/>
        </w:rPr>
        <w:t xml:space="preserve"> </w:t>
      </w:r>
      <w:r w:rsidRPr="007061AB">
        <w:rPr>
          <w:color w:val="000000" w:themeColor="text1"/>
        </w:rPr>
        <w:tab/>
        <w:t>Over 4 years, at exchange rate USD 1 = 14 ZAR. USD 20 million = 300 million x 4 x 23% / 14. Note: budget for EEDM in 2019-20 will be ZAR 318 million (see https://vulekamali.gov.za/2019-20/national/departments/energy)</w:t>
      </w:r>
    </w:p>
  </w:footnote>
  <w:footnote w:id="19">
    <w:p w:rsidR="007061AB" w:rsidRPr="007061AB" w:rsidRDefault="007061AB" w:rsidP="007061AB">
      <w:pPr>
        <w:pStyle w:val="FootnoteText"/>
        <w:rPr>
          <w:color w:val="000000" w:themeColor="text1"/>
        </w:rPr>
      </w:pPr>
      <w:r w:rsidRPr="007061AB">
        <w:rPr>
          <w:rStyle w:val="FootnoteReference"/>
          <w:color w:val="000000" w:themeColor="text1"/>
        </w:rPr>
        <w:footnoteRef/>
      </w:r>
      <w:r w:rsidRPr="007061AB">
        <w:rPr>
          <w:color w:val="000000" w:themeColor="text1"/>
        </w:rPr>
        <w:t xml:space="preserve"> </w:t>
      </w:r>
      <w:r w:rsidRPr="007061AB">
        <w:rPr>
          <w:color w:val="000000" w:themeColor="text1"/>
        </w:rPr>
        <w:tab/>
        <w:t>The total INEP budget will be about ZAR 5.5 billion in 2019-20 (see https://vulekamali.gov.za/2019-20/national/departments/energy)</w:t>
      </w:r>
    </w:p>
  </w:footnote>
  <w:footnote w:id="20">
    <w:p w:rsidR="00540FEA" w:rsidRPr="00E406B3" w:rsidRDefault="00540FEA" w:rsidP="00E8708D">
      <w:pPr>
        <w:pStyle w:val="FootnoteText"/>
        <w:ind w:left="284" w:hanging="284"/>
      </w:pPr>
      <w:r>
        <w:rPr>
          <w:rStyle w:val="FootnoteReference"/>
        </w:rPr>
        <w:footnoteRef/>
      </w:r>
      <w:r>
        <w:t xml:space="preserve"> </w:t>
      </w:r>
      <w:r>
        <w:tab/>
        <w:t>Employment Equity Act (2015) – Department of Trade and Industry</w:t>
      </w:r>
    </w:p>
  </w:footnote>
  <w:footnote w:id="21">
    <w:p w:rsidR="00540FEA" w:rsidRPr="00167251" w:rsidRDefault="00540FEA" w:rsidP="00E8708D">
      <w:pPr>
        <w:pStyle w:val="FootnoteText"/>
        <w:ind w:left="284" w:hanging="284"/>
      </w:pPr>
      <w:r>
        <w:rPr>
          <w:rStyle w:val="FootnoteReference"/>
        </w:rPr>
        <w:footnoteRef/>
      </w:r>
      <w:r>
        <w:t xml:space="preserve"> </w:t>
      </w:r>
      <w:r>
        <w:tab/>
        <w:t>See “</w:t>
      </w:r>
      <w:r w:rsidRPr="00167251">
        <w:rPr>
          <w:i/>
        </w:rPr>
        <w:t>The Current Status of Policies, Practices, Measures, and Barriers regarding Women-owned Busi</w:t>
      </w:r>
      <w:r>
        <w:rPr>
          <w:i/>
        </w:rPr>
        <w:t xml:space="preserve">nesses in Government Procurement”, </w:t>
      </w:r>
      <w:r w:rsidRPr="00167251">
        <w:t>report prepared for the Businesswomen’s Association of South Africa (BWASA).</w:t>
      </w:r>
    </w:p>
  </w:footnote>
  <w:footnote w:id="22">
    <w:p w:rsidR="00540FEA" w:rsidRPr="00E406B3" w:rsidRDefault="00540FEA" w:rsidP="00E8708D">
      <w:pPr>
        <w:pStyle w:val="FootnoteText"/>
        <w:ind w:left="284" w:hanging="284"/>
      </w:pPr>
      <w:r>
        <w:rPr>
          <w:rStyle w:val="FootnoteReference"/>
        </w:rPr>
        <w:footnoteRef/>
      </w:r>
      <w:r>
        <w:t xml:space="preserve"> </w:t>
      </w:r>
      <w:r>
        <w:tab/>
        <w:t xml:space="preserve">See </w:t>
      </w:r>
      <w:r w:rsidRPr="00E406B3">
        <w:rPr>
          <w:i/>
        </w:rPr>
        <w:t>South Africa’s National Policy Framework for Women’s Empowerment and Gender Equality</w:t>
      </w:r>
      <w:r>
        <w:t xml:space="preserve">; </w:t>
      </w:r>
      <w:r w:rsidRPr="00E406B3">
        <w:t>The Office on the Status of Women.</w:t>
      </w:r>
    </w:p>
  </w:footnote>
  <w:footnote w:id="23">
    <w:p w:rsidR="00540FEA" w:rsidRPr="00BF39A6" w:rsidRDefault="00540FEA" w:rsidP="00E8708D">
      <w:pPr>
        <w:pStyle w:val="FootnoteText"/>
      </w:pPr>
      <w:r>
        <w:rPr>
          <w:rStyle w:val="FootnoteReference"/>
        </w:rPr>
        <w:footnoteRef/>
      </w:r>
      <w:r>
        <w:t xml:space="preserve"> </w:t>
      </w:r>
      <w:r>
        <w:tab/>
      </w:r>
      <w:r>
        <w:rPr>
          <w:i/>
        </w:rPr>
        <w:t xml:space="preserve">The Women Matter Africa Report </w:t>
      </w:r>
      <w:r>
        <w:t xml:space="preserve">(August 2016), </w:t>
      </w:r>
      <w:r w:rsidRPr="00167251">
        <w:t>McKinsey and Company, South Africa.</w:t>
      </w:r>
    </w:p>
  </w:footnote>
  <w:footnote w:id="24">
    <w:p w:rsidR="00540FEA" w:rsidRPr="00BF39A6" w:rsidRDefault="00540FEA" w:rsidP="00E8708D">
      <w:pPr>
        <w:pStyle w:val="FootnoteText"/>
        <w:ind w:left="284" w:hanging="284"/>
      </w:pPr>
      <w:r>
        <w:rPr>
          <w:rStyle w:val="FootnoteReference"/>
        </w:rPr>
        <w:footnoteRef/>
      </w:r>
      <w:r>
        <w:t xml:space="preserve"> </w:t>
      </w:r>
      <w:r>
        <w:tab/>
        <w:t>Wits Business School, Journal (</w:t>
      </w:r>
      <w:r w:rsidRPr="00BF39A6">
        <w:t>2011</w:t>
      </w:r>
      <w:r>
        <w:t xml:space="preserve">); Stats South Africa </w:t>
      </w:r>
      <w:r w:rsidRPr="00BF39A6">
        <w:t xml:space="preserve">- </w:t>
      </w:r>
      <w:r w:rsidRPr="00BF39A6">
        <w:rPr>
          <w:i/>
        </w:rPr>
        <w:t>Mid Year Population Estimates</w:t>
      </w:r>
      <w:r w:rsidRPr="00BF39A6">
        <w:t xml:space="preserve"> </w:t>
      </w:r>
      <w:r>
        <w:t>(</w:t>
      </w:r>
      <w:r w:rsidRPr="00BF39A6">
        <w:t>2016)</w:t>
      </w:r>
    </w:p>
  </w:footnote>
  <w:footnote w:id="25">
    <w:p w:rsidR="00540FEA" w:rsidRPr="00BF39A6" w:rsidRDefault="00540FEA" w:rsidP="00E8708D">
      <w:pPr>
        <w:pStyle w:val="FootnoteText"/>
      </w:pPr>
      <w:r>
        <w:rPr>
          <w:rStyle w:val="FootnoteReference"/>
        </w:rPr>
        <w:footnoteRef/>
      </w:r>
      <w:r>
        <w:t xml:space="preserve"> </w:t>
      </w:r>
      <w:r>
        <w:tab/>
        <w:t xml:space="preserve">Article by Alison Treadaway, </w:t>
      </w:r>
      <w:r w:rsidRPr="00BF39A6">
        <w:rPr>
          <w:i/>
        </w:rPr>
        <w:t>Marie Cla</w:t>
      </w:r>
      <w:r>
        <w:rPr>
          <w:i/>
        </w:rPr>
        <w:t>i</w:t>
      </w:r>
      <w:r w:rsidRPr="00BF39A6">
        <w:rPr>
          <w:i/>
        </w:rPr>
        <w:t>re</w:t>
      </w:r>
      <w:r>
        <w:t xml:space="preserve"> (</w:t>
      </w:r>
      <w:r w:rsidRPr="00BF39A6">
        <w:t>August, 2016</w:t>
      </w:r>
      <w:r>
        <w:t xml:space="preserve">); Stats South Africa </w:t>
      </w:r>
      <w:r w:rsidRPr="00BF39A6">
        <w:t>(QLFS third quarter, 2015)</w:t>
      </w:r>
    </w:p>
  </w:footnote>
  <w:footnote w:id="26">
    <w:p w:rsidR="00540FEA" w:rsidRPr="00E406B3" w:rsidRDefault="00540FEA" w:rsidP="00E8708D">
      <w:pPr>
        <w:pStyle w:val="FootnoteText"/>
      </w:pPr>
      <w:r>
        <w:rPr>
          <w:rStyle w:val="FootnoteReference"/>
        </w:rPr>
        <w:footnoteRef/>
      </w:r>
      <w:r>
        <w:t xml:space="preserve"> </w:t>
      </w:r>
      <w:r>
        <w:tab/>
      </w:r>
      <w:r w:rsidRPr="00E406B3">
        <w:t>Statistic</w:t>
      </w:r>
      <w:r>
        <w:t>d</w:t>
      </w:r>
      <w:r w:rsidRPr="00E406B3">
        <w:t xml:space="preserve"> South Africa</w:t>
      </w:r>
      <w:r>
        <w:t xml:space="preserve"> (STAT SA) </w:t>
      </w:r>
      <w:r w:rsidRPr="00E406B3">
        <w:t>-</w:t>
      </w:r>
      <w:r>
        <w:t xml:space="preserve"> </w:t>
      </w:r>
      <w:r w:rsidRPr="00E406B3">
        <w:rPr>
          <w:i/>
        </w:rPr>
        <w:t>Quarterly Labour Surve</w:t>
      </w:r>
      <w:r w:rsidRPr="00E406B3">
        <w:t xml:space="preserve">y </w:t>
      </w:r>
      <w:r>
        <w:t>(</w:t>
      </w:r>
      <w:r w:rsidRPr="00E406B3">
        <w:t>1st Quarter, 2017)</w:t>
      </w:r>
    </w:p>
  </w:footnote>
  <w:footnote w:id="27">
    <w:p w:rsidR="00540FEA" w:rsidRPr="00A601A3" w:rsidRDefault="00540FEA" w:rsidP="00297A17">
      <w:pPr>
        <w:pStyle w:val="FootnoteText"/>
        <w:ind w:left="284" w:hanging="284"/>
        <w:rPr>
          <w:rFonts w:cs="Arial"/>
          <w:szCs w:val="16"/>
          <w:lang w:val="en-GB"/>
        </w:rPr>
      </w:pPr>
      <w:r>
        <w:rPr>
          <w:rStyle w:val="FootnoteReference"/>
        </w:rPr>
        <w:footnoteRef/>
      </w:r>
      <w:r>
        <w:t xml:space="preserve"> </w:t>
      </w:r>
      <w:r>
        <w:tab/>
        <w:t xml:space="preserve">See </w:t>
      </w:r>
      <w:r>
        <w:fldChar w:fldCharType="begin"/>
      </w:r>
      <w:r>
        <w:instrText xml:space="preserve"> REF _Ref535521206 \h </w:instrText>
      </w:r>
      <w:r>
        <w:fldChar w:fldCharType="separate"/>
      </w:r>
      <w:r w:rsidRPr="00A21E05">
        <w:rPr>
          <w:rFonts w:cs="Arial"/>
          <w:color w:val="2E74B5"/>
          <w:sz w:val="18"/>
        </w:rPr>
        <w:t xml:space="preserve">Box </w:t>
      </w:r>
      <w:r>
        <w:rPr>
          <w:rFonts w:cs="Arial"/>
          <w:noProof/>
          <w:color w:val="2E74B5"/>
          <w:sz w:val="18"/>
        </w:rPr>
        <w:t>18</w:t>
      </w:r>
      <w:r>
        <w:fldChar w:fldCharType="end"/>
      </w:r>
      <w:r>
        <w:t xml:space="preserve">. </w:t>
      </w:r>
      <w:r>
        <w:rPr>
          <w:rFonts w:cs="Arial"/>
          <w:szCs w:val="16"/>
          <w:lang w:val="en-GB"/>
        </w:rPr>
        <w:t xml:space="preserve">The imported hydro comes from the Mozambique Cahora Bassa dam; </w:t>
      </w:r>
    </w:p>
  </w:footnote>
  <w:footnote w:id="28">
    <w:p w:rsidR="00540FEA" w:rsidRPr="00ED2096" w:rsidRDefault="00540FEA" w:rsidP="00297A17">
      <w:pPr>
        <w:pStyle w:val="FootnoteText"/>
        <w:rPr>
          <w:rFonts w:cs="Arial"/>
          <w:lang w:val="en-GB"/>
        </w:rPr>
      </w:pPr>
      <w:r>
        <w:rPr>
          <w:rStyle w:val="FootnoteReference"/>
        </w:rPr>
        <w:footnoteRef/>
      </w:r>
      <w:r>
        <w:t xml:space="preserve"> </w:t>
      </w:r>
      <w:r>
        <w:tab/>
      </w:r>
      <w:r>
        <w:rPr>
          <w:rFonts w:cs="Arial"/>
          <w:lang w:val="en-GB"/>
        </w:rPr>
        <w:t xml:space="preserve">NERSA, </w:t>
      </w:r>
      <w:r>
        <w:rPr>
          <w:rFonts w:cs="Arial"/>
          <w:i/>
          <w:lang w:val="en-GB"/>
        </w:rPr>
        <w:t>Energy Supply Statistics for South Africa 2012</w:t>
      </w:r>
    </w:p>
  </w:footnote>
  <w:footnote w:id="29">
    <w:p w:rsidR="00540FEA" w:rsidRDefault="00540FEA" w:rsidP="00297A17">
      <w:pPr>
        <w:pStyle w:val="FootnoteText"/>
        <w:rPr>
          <w:rFonts w:cs="Arial"/>
          <w:szCs w:val="16"/>
          <w:lang w:val="en-GB"/>
        </w:rPr>
      </w:pPr>
      <w:r>
        <w:rPr>
          <w:rStyle w:val="FootnoteReference"/>
        </w:rPr>
        <w:footnoteRef/>
      </w:r>
      <w:r>
        <w:t xml:space="preserve"> </w:t>
      </w:r>
      <w:r>
        <w:tab/>
      </w:r>
      <w:r>
        <w:rPr>
          <w:rFonts w:cs="Arial"/>
          <w:szCs w:val="16"/>
          <w:lang w:val="en-GB"/>
        </w:rPr>
        <w:t xml:space="preserve">STATS SA, </w:t>
      </w:r>
      <w:r w:rsidRPr="00ED2096">
        <w:rPr>
          <w:rFonts w:cs="Arial"/>
          <w:i/>
          <w:szCs w:val="16"/>
          <w:lang w:val="en-GB"/>
        </w:rPr>
        <w:t>Electricity generated and available for distribution (Preliminary)</w:t>
      </w:r>
      <w:r>
        <w:rPr>
          <w:rFonts w:cs="Arial"/>
          <w:szCs w:val="16"/>
          <w:lang w:val="en-GB"/>
        </w:rPr>
        <w:t>, June 2018</w:t>
      </w:r>
    </w:p>
    <w:p w:rsidR="00540FEA" w:rsidRPr="00D54D9E" w:rsidRDefault="00540FEA" w:rsidP="00D54D9E">
      <w:pPr>
        <w:pStyle w:val="FootnoteText"/>
        <w:ind w:left="284" w:hanging="284"/>
        <w:rPr>
          <w:rFonts w:cs="Arial"/>
          <w:i/>
          <w:szCs w:val="16"/>
          <w:lang w:val="en-GB"/>
        </w:rPr>
      </w:pPr>
      <w:r w:rsidRPr="00E31D39">
        <w:rPr>
          <w:rFonts w:cs="Arial"/>
          <w:sz w:val="20"/>
          <w:szCs w:val="16"/>
          <w:lang w:val="en-GB"/>
        </w:rPr>
        <w:t>*</w:t>
      </w:r>
      <w:r w:rsidRPr="00E31D39">
        <w:rPr>
          <w:rFonts w:cs="Arial"/>
          <w:szCs w:val="16"/>
          <w:lang w:val="en-GB"/>
        </w:rPr>
        <w:tab/>
      </w:r>
      <w:r>
        <w:rPr>
          <w:rFonts w:cs="Arial"/>
          <w:szCs w:val="16"/>
          <w:lang w:val="en-GB"/>
        </w:rPr>
        <w:t xml:space="preserve">The Report has been formulated by the PPG team leader, J. Van den Akker, with contributions from the other PPG members; M. Tsikata, Z. Shibe (who drafted the gender analysis of Annex D) and V. Minguez (the Annexes E.5 and E.6 are based on his draft report </w:t>
      </w:r>
      <w:r w:rsidRPr="00D54D9E">
        <w:rPr>
          <w:rFonts w:cs="Arial"/>
          <w:i/>
          <w:szCs w:val="16"/>
          <w:lang w:val="en-GB"/>
        </w:rPr>
        <w:t>Financial mechanisms for the LED and Distribution</w:t>
      </w:r>
      <w:r>
        <w:rPr>
          <w:rFonts w:cs="Arial"/>
          <w:i/>
          <w:szCs w:val="16"/>
          <w:lang w:val="en-GB"/>
        </w:rPr>
        <w:t xml:space="preserve"> </w:t>
      </w:r>
      <w:r w:rsidRPr="00D54D9E">
        <w:rPr>
          <w:rFonts w:cs="Arial"/>
          <w:i/>
          <w:szCs w:val="16"/>
          <w:lang w:val="en-GB"/>
        </w:rPr>
        <w:t>transformer industry in South Africa</w:t>
      </w:r>
      <w:r>
        <w:rPr>
          <w:rFonts w:cs="Arial"/>
          <w:i/>
          <w:szCs w:val="16"/>
          <w:lang w:val="en-GB"/>
        </w:rPr>
        <w:t xml:space="preserve">, </w:t>
      </w:r>
      <w:r>
        <w:rPr>
          <w:rFonts w:cs="Arial"/>
          <w:szCs w:val="16"/>
          <w:lang w:val="en-GB"/>
        </w:rPr>
        <w:t>DBSA, 2019)</w:t>
      </w:r>
      <w:r w:rsidRPr="00D54D9E">
        <w:rPr>
          <w:rFonts w:cs="Arial"/>
          <w:i/>
          <w:szCs w:val="16"/>
          <w:lang w:val="en-GB"/>
        </w:rPr>
        <w:t xml:space="preserve">. </w:t>
      </w:r>
    </w:p>
  </w:footnote>
  <w:footnote w:id="30">
    <w:p w:rsidR="00540FEA" w:rsidRPr="004D5032" w:rsidRDefault="00540FEA" w:rsidP="00C86FB6">
      <w:pPr>
        <w:pStyle w:val="FootnoteText"/>
        <w:ind w:left="284" w:hanging="284"/>
      </w:pPr>
      <w:r>
        <w:rPr>
          <w:rStyle w:val="FootnoteReference"/>
        </w:rPr>
        <w:footnoteRef/>
      </w:r>
      <w:r w:rsidRPr="004D5032">
        <w:rPr>
          <w:rFonts w:cs="Arial"/>
        </w:rPr>
        <w:t xml:space="preserve"> </w:t>
      </w:r>
      <w:r>
        <w:rPr>
          <w:rFonts w:cs="Arial"/>
        </w:rPr>
        <w:tab/>
      </w:r>
      <w:r w:rsidRPr="004D5032">
        <w:rPr>
          <w:rFonts w:cs="Arial"/>
        </w:rPr>
        <w:t xml:space="preserve">Eskom plans to bring online </w:t>
      </w:r>
      <w:r>
        <w:rPr>
          <w:rFonts w:cs="Arial"/>
        </w:rPr>
        <w:t xml:space="preserve">over </w:t>
      </w:r>
      <w:r w:rsidRPr="004D5032">
        <w:rPr>
          <w:rFonts w:cs="Arial"/>
        </w:rPr>
        <w:t>12,000 MW of new electricity installed capacity</w:t>
      </w:r>
      <w:r>
        <w:rPr>
          <w:rFonts w:cs="Arial"/>
        </w:rPr>
        <w:t xml:space="preserve"> (US Energy Information Administration, 2015), of which 8770 MW coal-fired, 2097 wind power, 400 concentrated solar, 1094 solar PV plants, 33 MW landfill gas/biomass (</w:t>
      </w:r>
      <w:r w:rsidRPr="00772A5D">
        <w:rPr>
          <w:rFonts w:cs="Arial"/>
        </w:rPr>
        <w:t>Wikipedia, List of power stations in South Africa (2017/18).</w:t>
      </w:r>
      <w:r>
        <w:rPr>
          <w:rFonts w:cs="Arial"/>
        </w:rPr>
        <w:t xml:space="preserve"> </w:t>
      </w:r>
    </w:p>
  </w:footnote>
  <w:footnote w:id="31">
    <w:p w:rsidR="00540FEA" w:rsidRDefault="00540FEA">
      <w:pPr>
        <w:pStyle w:val="FootnoteText"/>
      </w:pPr>
      <w:r>
        <w:rPr>
          <w:rStyle w:val="FootnoteReference"/>
        </w:rPr>
        <w:footnoteRef/>
      </w:r>
      <w:r>
        <w:t xml:space="preserve"> </w:t>
      </w:r>
      <w:r>
        <w:tab/>
        <w:t>Source: UNDP/GEWF S&amp;L Project</w:t>
      </w:r>
    </w:p>
  </w:footnote>
  <w:footnote w:id="32">
    <w:p w:rsidR="00540FEA" w:rsidRPr="00006EDA" w:rsidRDefault="00540FEA" w:rsidP="00297A17">
      <w:pPr>
        <w:pStyle w:val="FootnoteText"/>
        <w:ind w:left="284" w:hanging="284"/>
        <w:rPr>
          <w:rFonts w:cs="Arial"/>
          <w:lang w:val="en-GB"/>
        </w:rPr>
      </w:pPr>
      <w:r>
        <w:rPr>
          <w:rStyle w:val="FootnoteReference"/>
        </w:rPr>
        <w:footnoteRef/>
      </w:r>
      <w:r>
        <w:tab/>
        <w:t xml:space="preserve"> </w:t>
      </w:r>
      <w:r w:rsidRPr="00006EDA">
        <w:rPr>
          <w:rFonts w:cs="Arial"/>
          <w:i/>
        </w:rPr>
        <w:t>Energy Efficiency</w:t>
      </w:r>
      <w:r w:rsidRPr="004D5032">
        <w:t xml:space="preserve"> </w:t>
      </w:r>
      <w:r w:rsidRPr="004D5032">
        <w:rPr>
          <w:rFonts w:cs="Arial"/>
          <w:i/>
        </w:rPr>
        <w:t>Eskom plans to bring online almost 12,000 MW of new electricity installed capacity</w:t>
      </w:r>
      <w:r w:rsidRPr="00006EDA">
        <w:rPr>
          <w:rFonts w:cs="Arial"/>
          <w:i/>
        </w:rPr>
        <w:t xml:space="preserve"> Country Study: Republic of South Africa</w:t>
      </w:r>
      <w:r>
        <w:rPr>
          <w:rFonts w:cs="Arial"/>
          <w:i/>
        </w:rPr>
        <w:t xml:space="preserve">, </w:t>
      </w:r>
      <w:r>
        <w:rPr>
          <w:rFonts w:cs="Arial"/>
        </w:rPr>
        <w:t>LBNL Report 6365E, Du la Rue Can, S., Letschert, V., Leventis, G., Covary, Th., Xia (2013)</w:t>
      </w:r>
    </w:p>
  </w:footnote>
  <w:footnote w:id="33">
    <w:p w:rsidR="00540FEA" w:rsidRPr="004C7711" w:rsidRDefault="00540FEA">
      <w:pPr>
        <w:pStyle w:val="FootnoteText"/>
      </w:pPr>
      <w:r>
        <w:rPr>
          <w:rStyle w:val="FootnoteReference"/>
        </w:rPr>
        <w:footnoteRef/>
      </w:r>
      <w:r>
        <w:t xml:space="preserve"> </w:t>
      </w:r>
      <w:r>
        <w:tab/>
        <w:t xml:space="preserve">ESKOM website, </w:t>
      </w:r>
      <w:r>
        <w:rPr>
          <w:i/>
        </w:rPr>
        <w:t xml:space="preserve">Historical Average Prices and Increase. </w:t>
      </w:r>
      <w:r>
        <w:t>See Box 19).</w:t>
      </w:r>
    </w:p>
  </w:footnote>
  <w:footnote w:id="34">
    <w:p w:rsidR="00540FEA" w:rsidRDefault="00540FEA" w:rsidP="007A2D56">
      <w:pPr>
        <w:pStyle w:val="FootnoteText"/>
        <w:ind w:left="284" w:hanging="284"/>
      </w:pPr>
      <w:r>
        <w:rPr>
          <w:rStyle w:val="FootnoteReference"/>
        </w:rPr>
        <w:footnoteRef/>
      </w:r>
      <w:r>
        <w:t xml:space="preserve"> </w:t>
      </w:r>
      <w:r>
        <w:tab/>
        <w:t xml:space="preserve">Due to economic stagnation and </w:t>
      </w:r>
      <w:r w:rsidRPr="007A2D56">
        <w:t>downward pressures on commodity markets, rising electricity costs</w:t>
      </w:r>
      <w:r>
        <w:t xml:space="preserve"> and energy efficiency and conservation efforts</w:t>
      </w:r>
      <w:r w:rsidRPr="007A2D56">
        <w:t>.</w:t>
      </w:r>
    </w:p>
  </w:footnote>
  <w:footnote w:id="35">
    <w:p w:rsidR="00540FEA" w:rsidRDefault="00540FEA" w:rsidP="005B2A14">
      <w:pPr>
        <w:pStyle w:val="FootnoteText"/>
        <w:ind w:left="284" w:hanging="284"/>
      </w:pPr>
      <w:r>
        <w:rPr>
          <w:rStyle w:val="FootnoteReference"/>
        </w:rPr>
        <w:footnoteRef/>
      </w:r>
      <w:r>
        <w:t xml:space="preserve"> </w:t>
      </w:r>
      <w:r>
        <w:tab/>
        <w:t>ESKOM</w:t>
      </w:r>
      <w:r w:rsidRPr="005B2A14">
        <w:t xml:space="preserve"> </w:t>
      </w:r>
      <w:r>
        <w:t xml:space="preserve">ZAR </w:t>
      </w:r>
      <w:r w:rsidRPr="005B2A14">
        <w:t xml:space="preserve">413 </w:t>
      </w:r>
      <w:r>
        <w:t>billion, of which</w:t>
      </w:r>
      <w:r w:rsidRPr="005B2A14">
        <w:t xml:space="preserve"> </w:t>
      </w:r>
      <w:r>
        <w:t xml:space="preserve">ZAR </w:t>
      </w:r>
      <w:r w:rsidRPr="005B2A14">
        <w:t>218.2 billion of the company's debt consist of government guarantees</w:t>
      </w:r>
      <w:r>
        <w:t xml:space="preserve">. </w:t>
      </w:r>
      <w:r w:rsidRPr="005B2A14">
        <w:t xml:space="preserve">http://www.creamermedia.co.za/article/electricity-2018-a-review-of-south-africas-electricity-sector-pdf-report-2018-03-14  </w:t>
      </w:r>
    </w:p>
  </w:footnote>
  <w:footnote w:id="36">
    <w:p w:rsidR="00540FEA" w:rsidRPr="0057479B" w:rsidRDefault="00540FEA" w:rsidP="00297A17">
      <w:pPr>
        <w:pStyle w:val="FootnoteText"/>
        <w:ind w:left="284" w:hanging="284"/>
        <w:rPr>
          <w:lang w:val="en-GB"/>
        </w:rPr>
      </w:pPr>
      <w:r>
        <w:rPr>
          <w:rStyle w:val="FootnoteReference"/>
        </w:rPr>
        <w:footnoteRef/>
      </w:r>
      <w:r>
        <w:t xml:space="preserve"> </w:t>
      </w:r>
      <w:r>
        <w:tab/>
      </w:r>
      <w:r w:rsidRPr="00772A5D">
        <w:rPr>
          <w:rFonts w:cs="Arial"/>
        </w:rPr>
        <w:t xml:space="preserve">Wikipedia, </w:t>
      </w:r>
      <w:r w:rsidRPr="00772A5D">
        <w:rPr>
          <w:rFonts w:cs="Arial"/>
          <w:i/>
        </w:rPr>
        <w:t>List of power stations in South Africa (2017</w:t>
      </w:r>
      <w:r>
        <w:rPr>
          <w:rFonts w:cs="Arial"/>
          <w:i/>
        </w:rPr>
        <w:t>/18)</w:t>
      </w:r>
      <w:r w:rsidRPr="00772A5D">
        <w:rPr>
          <w:rFonts w:cs="Arial"/>
          <w:i/>
        </w:rPr>
        <w:t>.</w:t>
      </w:r>
      <w:r w:rsidRPr="0057479B">
        <w:t xml:space="preserve"> </w:t>
      </w:r>
      <w:r w:rsidRPr="0057479B">
        <w:rPr>
          <w:rFonts w:cs="Arial"/>
        </w:rPr>
        <w:t>In response to chronic power shortages and the need to ensure a more diverse fuel supply, South Africa began a procurement program in 2011 to purchase power from renewable sources and lower-emitting energy plants funded by IPPs</w:t>
      </w:r>
      <w:r>
        <w:rPr>
          <w:rFonts w:cs="Arial"/>
        </w:rPr>
        <w:t xml:space="preserve">. </w:t>
      </w:r>
      <w:r w:rsidRPr="0057479B">
        <w:rPr>
          <w:rFonts w:cs="Arial"/>
        </w:rPr>
        <w:t>South Africa’s capacity target from IPP procurement is 29 GW by 2025.</w:t>
      </w:r>
    </w:p>
  </w:footnote>
  <w:footnote w:id="37">
    <w:p w:rsidR="00540FEA" w:rsidRDefault="00540FEA">
      <w:pPr>
        <w:pStyle w:val="FootnoteText"/>
      </w:pPr>
      <w:r>
        <w:rPr>
          <w:rStyle w:val="FootnoteReference"/>
        </w:rPr>
        <w:footnoteRef/>
      </w:r>
      <w:r>
        <w:t xml:space="preserve"> </w:t>
      </w:r>
      <w:r>
        <w:tab/>
      </w:r>
      <w:r w:rsidRPr="0079723A">
        <w:t xml:space="preserve">NERSA, </w:t>
      </w:r>
      <w:r w:rsidRPr="0079723A">
        <w:rPr>
          <w:i/>
        </w:rPr>
        <w:t>Energy Supply Statistics for South Africa 2012</w:t>
      </w:r>
    </w:p>
  </w:footnote>
  <w:footnote w:id="38">
    <w:p w:rsidR="00540FEA" w:rsidRPr="00BE38AA" w:rsidRDefault="00540FEA" w:rsidP="00297A17">
      <w:pPr>
        <w:pStyle w:val="FootnoteText"/>
        <w:ind w:left="284" w:hanging="284"/>
        <w:rPr>
          <w:rFonts w:cs="Arial"/>
          <w:lang w:val="en-GB"/>
        </w:rPr>
      </w:pPr>
      <w:r>
        <w:rPr>
          <w:rStyle w:val="FootnoteReference"/>
        </w:rPr>
        <w:footnoteRef/>
      </w:r>
      <w:r>
        <w:t xml:space="preserve"> </w:t>
      </w:r>
      <w:r>
        <w:tab/>
      </w:r>
      <w:r w:rsidRPr="005703DE">
        <w:rPr>
          <w:rFonts w:cs="Arial"/>
          <w:szCs w:val="16"/>
        </w:rPr>
        <w:t>State of Energy in South African Cities (2015), Energy performance contracting by municipalities (2016), A case for renewable energy &amp; energy efficiency (2014), Modelling Energy Efficienc</w:t>
      </w:r>
      <w:r>
        <w:rPr>
          <w:rFonts w:cs="Arial"/>
          <w:szCs w:val="16"/>
        </w:rPr>
        <w:t xml:space="preserve">y Potential in SACN Cities (2014). </w:t>
      </w:r>
      <w:r w:rsidRPr="005703DE">
        <w:rPr>
          <w:rFonts w:cs="Arial"/>
        </w:rPr>
        <w:t>Sustainable Energy Africa (SEA)</w:t>
      </w:r>
      <w:r>
        <w:rPr>
          <w:rFonts w:cs="Arial"/>
        </w:rPr>
        <w:t xml:space="preserve"> has</w:t>
      </w:r>
      <w:r w:rsidRPr="005703DE">
        <w:rPr>
          <w:rFonts w:cs="Arial"/>
        </w:rPr>
        <w:t xml:space="preserve"> developed </w:t>
      </w:r>
      <w:r>
        <w:rPr>
          <w:rFonts w:cs="Arial"/>
        </w:rPr>
        <w:t>a handboo</w:t>
      </w:r>
      <w:r w:rsidRPr="005703DE">
        <w:rPr>
          <w:rFonts w:cs="Arial"/>
        </w:rPr>
        <w:t xml:space="preserve">k for South African city officials and planners titled </w:t>
      </w:r>
      <w:r w:rsidRPr="005703DE">
        <w:rPr>
          <w:rFonts w:cs="Arial"/>
          <w:i/>
        </w:rPr>
        <w:t>How to implement renewable energy and energy efficiency options: Support for South African local government</w:t>
      </w:r>
      <w:r w:rsidRPr="005703DE">
        <w:rPr>
          <w:rFonts w:cs="Arial"/>
        </w:rPr>
        <w:t xml:space="preserve">. The document was produced in partnership with North Energy Associations Ltd and funded by the </w:t>
      </w:r>
      <w:bookmarkStart w:id="217" w:name="_Hlk496982539"/>
      <w:r w:rsidRPr="005703DE">
        <w:rPr>
          <w:rFonts w:cs="Arial"/>
        </w:rPr>
        <w:t>Renewable Energy &amp; Energy Efficiency Partnership</w:t>
      </w:r>
      <w:bookmarkEnd w:id="217"/>
      <w:r w:rsidRPr="005703DE">
        <w:rPr>
          <w:rFonts w:cs="Arial"/>
        </w:rPr>
        <w:t xml:space="preserve"> (REEEP).</w:t>
      </w:r>
    </w:p>
  </w:footnote>
  <w:footnote w:id="39">
    <w:p w:rsidR="00540FEA" w:rsidRPr="00817259" w:rsidRDefault="00540FEA" w:rsidP="00297A17">
      <w:pPr>
        <w:pStyle w:val="FootnoteText"/>
        <w:rPr>
          <w:lang w:val="en-GB"/>
        </w:rPr>
      </w:pPr>
      <w:r>
        <w:rPr>
          <w:rStyle w:val="FootnoteReference"/>
        </w:rPr>
        <w:footnoteRef/>
      </w:r>
      <w:r>
        <w:t xml:space="preserve"> </w:t>
      </w:r>
      <w:r>
        <w:tab/>
      </w:r>
      <w:r w:rsidRPr="00817259">
        <w:rPr>
          <w:rFonts w:cs="Arial"/>
        </w:rPr>
        <w:t>The reader may note that the AMEU has set up a Women in Electricity Interest Group</w:t>
      </w:r>
    </w:p>
  </w:footnote>
  <w:footnote w:id="40">
    <w:p w:rsidR="00540FEA" w:rsidRPr="00E376AE" w:rsidRDefault="00540FEA" w:rsidP="00A672FA">
      <w:pPr>
        <w:pStyle w:val="FootnoteText"/>
        <w:ind w:left="284" w:hanging="284"/>
        <w:rPr>
          <w:rFonts w:cs="Arial"/>
        </w:rPr>
      </w:pPr>
      <w:r>
        <w:rPr>
          <w:rStyle w:val="FootnoteReference"/>
        </w:rPr>
        <w:footnoteRef/>
      </w:r>
      <w:r>
        <w:t xml:space="preserve"> </w:t>
      </w:r>
      <w:r>
        <w:tab/>
      </w:r>
      <w:r>
        <w:rPr>
          <w:rFonts w:cs="Arial"/>
        </w:rPr>
        <w:t>By Development Associates ApS for the Department of Energy, by Harris et.al (May 2017)</w:t>
      </w:r>
    </w:p>
  </w:footnote>
  <w:footnote w:id="41">
    <w:p w:rsidR="00540FEA" w:rsidRDefault="00540FEA" w:rsidP="007F0998">
      <w:pPr>
        <w:pStyle w:val="FootnoteText"/>
        <w:ind w:left="284" w:hanging="284"/>
      </w:pPr>
      <w:r>
        <w:rPr>
          <w:rStyle w:val="FootnoteReference"/>
        </w:rPr>
        <w:footnoteRef/>
      </w:r>
      <w:r>
        <w:t xml:space="preserve"> </w:t>
      </w:r>
      <w:r>
        <w:tab/>
        <w:t>CFLs also were given to large commercial companies in South Africa to facilitate bulb replacement among employees, including at Eskom’s major offices. This allowed penetration of CFLs into higher-income groups</w:t>
      </w:r>
    </w:p>
  </w:footnote>
  <w:footnote w:id="42">
    <w:p w:rsidR="00540FEA" w:rsidRPr="00471EC2" w:rsidRDefault="00540FEA" w:rsidP="00471EC2">
      <w:pPr>
        <w:pStyle w:val="FootnoteText"/>
        <w:ind w:left="284" w:hanging="284"/>
      </w:pPr>
      <w:r>
        <w:rPr>
          <w:rStyle w:val="FootnoteReference"/>
        </w:rPr>
        <w:footnoteRef/>
      </w:r>
      <w:r>
        <w:t xml:space="preserve"> </w:t>
      </w:r>
      <w:r>
        <w:tab/>
        <w:t xml:space="preserve">The report </w:t>
      </w:r>
      <w:bookmarkStart w:id="253" w:name="_Hlk535663782"/>
      <w:r>
        <w:rPr>
          <w:i/>
        </w:rPr>
        <w:t xml:space="preserve">Technical Market Review, Country Profile South Africa </w:t>
      </w:r>
      <w:r>
        <w:t xml:space="preserve">(DHV-GL, 2018) </w:t>
      </w:r>
      <w:bookmarkEnd w:id="253"/>
      <w:r>
        <w:t>mentions, based on visits to several retail stores, a stock at the store of 38% LED, 43% CFL and FLs, and 19% halogens</w:t>
      </w:r>
    </w:p>
  </w:footnote>
  <w:footnote w:id="43">
    <w:p w:rsidR="00540FEA" w:rsidRPr="003B417F" w:rsidRDefault="00540FEA" w:rsidP="001B375A">
      <w:pPr>
        <w:pStyle w:val="FootnoteText"/>
        <w:ind w:left="284" w:hanging="284"/>
      </w:pPr>
      <w:r>
        <w:rPr>
          <w:rStyle w:val="FootnoteReference"/>
        </w:rPr>
        <w:footnoteRef/>
      </w:r>
      <w:r>
        <w:t xml:space="preserve"> </w:t>
      </w:r>
      <w:r>
        <w:tab/>
      </w:r>
      <w:r w:rsidRPr="003B417F">
        <w:rPr>
          <w:rFonts w:cs="Arial"/>
          <w:szCs w:val="16"/>
        </w:rPr>
        <w:t>Study to identify electronic assemblies, sub-assemblies and components that may be manufactured in South Africa</w:t>
      </w:r>
      <w:r>
        <w:rPr>
          <w:rFonts w:cs="Arial"/>
          <w:szCs w:val="16"/>
        </w:rPr>
        <w:t xml:space="preserve"> (DTI, 2010). See also </w:t>
      </w:r>
      <w:r>
        <w:rPr>
          <w:rFonts w:cs="Arial"/>
          <w:szCs w:val="16"/>
        </w:rPr>
        <w:fldChar w:fldCharType="begin"/>
      </w:r>
      <w:r>
        <w:rPr>
          <w:rFonts w:cs="Arial"/>
          <w:szCs w:val="16"/>
        </w:rPr>
        <w:instrText xml:space="preserve"> REF _Ref275152 \h </w:instrText>
      </w:r>
      <w:r>
        <w:rPr>
          <w:rFonts w:cs="Arial"/>
          <w:szCs w:val="16"/>
        </w:rPr>
      </w:r>
      <w:r>
        <w:rPr>
          <w:rFonts w:cs="Arial"/>
          <w:szCs w:val="16"/>
        </w:rPr>
        <w:fldChar w:fldCharType="separate"/>
      </w:r>
      <w:r w:rsidRPr="00A21E05">
        <w:rPr>
          <w:rFonts w:cs="Arial"/>
          <w:color w:val="2E74B5"/>
          <w:sz w:val="18"/>
        </w:rPr>
        <w:t xml:space="preserve">Box </w:t>
      </w:r>
      <w:r>
        <w:rPr>
          <w:rFonts w:cs="Arial"/>
          <w:noProof/>
          <w:color w:val="2E74B5"/>
          <w:sz w:val="18"/>
        </w:rPr>
        <w:t>28</w:t>
      </w:r>
      <w:r>
        <w:rPr>
          <w:rFonts w:cs="Arial"/>
          <w:szCs w:val="16"/>
        </w:rPr>
        <w:fldChar w:fldCharType="end"/>
      </w:r>
    </w:p>
  </w:footnote>
  <w:footnote w:id="44">
    <w:p w:rsidR="00540FEA" w:rsidRDefault="00540FEA">
      <w:pPr>
        <w:pStyle w:val="FootnoteText"/>
      </w:pPr>
      <w:r>
        <w:rPr>
          <w:rStyle w:val="FootnoteReference"/>
        </w:rPr>
        <w:footnoteRef/>
      </w:r>
      <w:r>
        <w:t xml:space="preserve"> </w:t>
      </w:r>
      <w:r>
        <w:tab/>
      </w:r>
      <w:r w:rsidRPr="00231632">
        <w:rPr>
          <w:i/>
        </w:rPr>
        <w:t xml:space="preserve">Technical Market Review, Country Profile South Africa </w:t>
      </w:r>
      <w:r w:rsidRPr="00231632">
        <w:t>(DHV-GL, 2018)</w:t>
      </w:r>
    </w:p>
  </w:footnote>
  <w:footnote w:id="45">
    <w:p w:rsidR="00540FEA" w:rsidRPr="00D2500B" w:rsidRDefault="00540FEA" w:rsidP="00297A17">
      <w:pPr>
        <w:pStyle w:val="FootnoteText"/>
      </w:pPr>
      <w:r>
        <w:rPr>
          <w:rStyle w:val="FootnoteReference"/>
        </w:rPr>
        <w:footnoteRef/>
      </w:r>
      <w:r>
        <w:t xml:space="preserve"> </w:t>
      </w:r>
      <w:r>
        <w:tab/>
      </w:r>
      <w:r w:rsidRPr="00D2500B">
        <w:rPr>
          <w:rFonts w:cs="Arial"/>
          <w:i/>
          <w:szCs w:val="16"/>
        </w:rPr>
        <w:t>Modelling Energy Efficiency Potential in Municipal Operations in the Nine Member Cities</w:t>
      </w:r>
      <w:r w:rsidRPr="00D2500B">
        <w:rPr>
          <w:rFonts w:cs="Arial"/>
          <w:szCs w:val="16"/>
        </w:rPr>
        <w:t xml:space="preserve"> </w:t>
      </w:r>
      <w:r>
        <w:rPr>
          <w:rFonts w:cs="Arial"/>
          <w:szCs w:val="16"/>
        </w:rPr>
        <w:t>(SACN, 2014)</w:t>
      </w:r>
    </w:p>
  </w:footnote>
  <w:footnote w:id="46">
    <w:p w:rsidR="00540FEA" w:rsidRPr="006166F5" w:rsidRDefault="00540FEA" w:rsidP="00FD2651">
      <w:pPr>
        <w:pStyle w:val="FootnoteText"/>
        <w:ind w:left="284" w:hanging="284"/>
      </w:pPr>
      <w:r>
        <w:rPr>
          <w:rStyle w:val="FootnoteReference"/>
        </w:rPr>
        <w:footnoteRef/>
      </w:r>
      <w:r>
        <w:t xml:space="preserve"> </w:t>
      </w:r>
      <w:r>
        <w:tab/>
        <w:t xml:space="preserve">Source: Eskom, p.c.; NERSA, </w:t>
      </w:r>
      <w:r>
        <w:rPr>
          <w:i/>
        </w:rPr>
        <w:t xml:space="preserve">Electricity Supply Statistics </w:t>
      </w:r>
      <w:r>
        <w:t xml:space="preserve">2012; DHV-GL </w:t>
      </w:r>
      <w:r>
        <w:rPr>
          <w:i/>
        </w:rPr>
        <w:t xml:space="preserve">Country Profile: South Africa </w:t>
      </w:r>
      <w:r>
        <w:t>(2018)</w:t>
      </w:r>
    </w:p>
  </w:footnote>
  <w:footnote w:id="47">
    <w:p w:rsidR="00540FEA" w:rsidRPr="00065D8D" w:rsidRDefault="00540FEA" w:rsidP="000B3967">
      <w:pPr>
        <w:pStyle w:val="FootnoteText"/>
        <w:rPr>
          <w:rFonts w:cs="Arial"/>
          <w:lang w:val="en-GB"/>
        </w:rPr>
      </w:pPr>
      <w:r>
        <w:rPr>
          <w:rStyle w:val="FootnoteReference"/>
        </w:rPr>
        <w:footnoteRef/>
      </w:r>
      <w:r>
        <w:t xml:space="preserve"> </w:t>
      </w:r>
      <w:r>
        <w:tab/>
      </w:r>
      <w:r>
        <w:rPr>
          <w:rFonts w:cs="Arial"/>
          <w:lang w:val="en-GB"/>
        </w:rPr>
        <w:t>With reduced losses of 50%, that is NLL from 0.84 to 0.42 kW and LL from 3.8 to 1.9 kW</w:t>
      </w:r>
    </w:p>
  </w:footnote>
  <w:footnote w:id="48">
    <w:p w:rsidR="00540FEA" w:rsidRPr="00FB2970" w:rsidRDefault="00540FEA" w:rsidP="00202887">
      <w:pPr>
        <w:pStyle w:val="FootnoteText"/>
        <w:ind w:left="284" w:hanging="284"/>
        <w:rPr>
          <w:rFonts w:cs="Arial"/>
          <w:szCs w:val="16"/>
          <w:lang w:val="en-GB"/>
        </w:rPr>
      </w:pPr>
      <w:r>
        <w:rPr>
          <w:rStyle w:val="FootnoteReference"/>
        </w:rPr>
        <w:footnoteRef/>
      </w:r>
      <w:r>
        <w:t xml:space="preserve"> </w:t>
      </w:r>
      <w:r>
        <w:tab/>
      </w:r>
      <w:r w:rsidRPr="00FB2970">
        <w:rPr>
          <w:rFonts w:cs="Arial"/>
          <w:i/>
          <w:szCs w:val="16"/>
          <w:lang w:val="en-GB"/>
        </w:rPr>
        <w:t xml:space="preserve">Low-loss distribution transformers in a South African context, </w:t>
      </w:r>
      <w:r>
        <w:rPr>
          <w:rFonts w:cs="Arial"/>
          <w:szCs w:val="16"/>
          <w:lang w:val="en-GB"/>
        </w:rPr>
        <w:t>by Stanford, G, Jones, G. and Withing (Powertech Transformers), 63</w:t>
      </w:r>
      <w:r w:rsidRPr="00FB2970">
        <w:rPr>
          <w:rFonts w:cs="Arial"/>
          <w:szCs w:val="16"/>
          <w:vertAlign w:val="superscript"/>
          <w:lang w:val="en-GB"/>
        </w:rPr>
        <w:t>rd</w:t>
      </w:r>
      <w:r>
        <w:rPr>
          <w:rFonts w:cs="Arial"/>
          <w:szCs w:val="16"/>
          <w:lang w:val="en-GB"/>
        </w:rPr>
        <w:t xml:space="preserve"> AMEU Convention (2012)</w:t>
      </w:r>
    </w:p>
  </w:footnote>
  <w:footnote w:id="49">
    <w:p w:rsidR="00540FEA" w:rsidRPr="000C22D3" w:rsidRDefault="00540FEA" w:rsidP="00202887">
      <w:pPr>
        <w:pStyle w:val="FootnoteText"/>
        <w:ind w:left="284" w:hanging="284"/>
      </w:pPr>
      <w:r>
        <w:rPr>
          <w:rStyle w:val="FootnoteReference"/>
        </w:rPr>
        <w:footnoteRef/>
      </w:r>
      <w:r>
        <w:t xml:space="preserve"> </w:t>
      </w:r>
      <w:r>
        <w:tab/>
        <w:t xml:space="preserve">There are about 17 distribution transformer manufacturers in South Africa. Brands include </w:t>
      </w:r>
      <w:r w:rsidRPr="000C22D3">
        <w:t>Actom Distribution, Revive</w:t>
      </w:r>
      <w:r>
        <w:t xml:space="preserve"> Electrical Transformers, PowerT</w:t>
      </w:r>
      <w:r w:rsidRPr="000C22D3">
        <w:t>ech Transformers, Electro Induct</w:t>
      </w:r>
      <w:r>
        <w:t xml:space="preserve">ive Industries, WEG, Transfix, </w:t>
      </w:r>
      <w:r w:rsidRPr="000C22D3">
        <w:t>and Wegezi.</w:t>
      </w:r>
    </w:p>
  </w:footnote>
  <w:footnote w:id="50">
    <w:p w:rsidR="00540FEA" w:rsidRDefault="00540FEA" w:rsidP="00A50ADC">
      <w:pPr>
        <w:pStyle w:val="FootnoteText"/>
        <w:ind w:left="284" w:hanging="284"/>
      </w:pPr>
      <w:r>
        <w:rPr>
          <w:rStyle w:val="FootnoteReference"/>
        </w:rPr>
        <w:footnoteRef/>
      </w:r>
      <w:r>
        <w:t xml:space="preserve"> </w:t>
      </w:r>
      <w:r>
        <w:tab/>
        <w:t>Some countries have introduced labelling schemes to differentiate between the performances of transformers based on the same rating, like in India (1 - 5 Star scheme), China (Grade 1 – 3 (CRGO), Australia and New Zealand (MEPS and HEPL levels), EU (Harmonised HD428: List A – C).</w:t>
      </w:r>
    </w:p>
  </w:footnote>
  <w:footnote w:id="51">
    <w:p w:rsidR="00540FEA" w:rsidRPr="00811A85" w:rsidRDefault="00540FEA" w:rsidP="00FD7DAF">
      <w:pPr>
        <w:pStyle w:val="FootnoteText"/>
        <w:ind w:left="284" w:hanging="284"/>
      </w:pPr>
      <w:r>
        <w:rPr>
          <w:rStyle w:val="FootnoteReference"/>
        </w:rPr>
        <w:footnoteRef/>
      </w:r>
      <w:r>
        <w:t xml:space="preserve"> </w:t>
      </w:r>
      <w:r>
        <w:tab/>
        <w:t>Most CFLs contain about 3-5 mg of mercury and a T12 linear fluorescent about 5 mg of mercury, which is a bio-accumulative toxicant that is easily absorbed through the skin, respiratory and gastro-intestinal tissues.</w:t>
      </w:r>
    </w:p>
  </w:footnote>
  <w:footnote w:id="52">
    <w:p w:rsidR="00540FEA" w:rsidRPr="00811A85" w:rsidRDefault="00540FEA" w:rsidP="00FD7DAF">
      <w:pPr>
        <w:pStyle w:val="FootnoteText"/>
        <w:ind w:left="284" w:hanging="284"/>
        <w:rPr>
          <w:lang w:val="en-GB"/>
        </w:rPr>
      </w:pPr>
      <w:r>
        <w:rPr>
          <w:rStyle w:val="FootnoteReference"/>
        </w:rPr>
        <w:footnoteRef/>
      </w:r>
      <w:r>
        <w:t xml:space="preserve"> </w:t>
      </w:r>
      <w:r>
        <w:rPr>
          <w:lang w:val="en-GB"/>
        </w:rPr>
        <w:tab/>
      </w:r>
      <w:r w:rsidRPr="00811A85">
        <w:rPr>
          <w:i/>
          <w:lang w:val="en-GB"/>
        </w:rPr>
        <w:t>Recovery of Compact Fluorescent Lamps from the general household waste stream</w:t>
      </w:r>
      <w:r>
        <w:rPr>
          <w:i/>
          <w:lang w:val="en-GB"/>
        </w:rPr>
        <w:t xml:space="preserve">, </w:t>
      </w:r>
      <w:r>
        <w:rPr>
          <w:lang w:val="en-GB"/>
        </w:rPr>
        <w:t>eWASA, Eskom, Alakriti Consulting</w:t>
      </w:r>
    </w:p>
  </w:footnote>
  <w:footnote w:id="53">
    <w:p w:rsidR="00540FEA" w:rsidRPr="00AF7C2A" w:rsidRDefault="00540FEA" w:rsidP="00297A17">
      <w:pPr>
        <w:pStyle w:val="FootnoteText"/>
        <w:ind w:left="284" w:hanging="284"/>
        <w:rPr>
          <w:rFonts w:cs="Arial"/>
          <w:lang w:val="en-GB"/>
        </w:rPr>
      </w:pPr>
      <w:r>
        <w:rPr>
          <w:rStyle w:val="FootnoteReference"/>
        </w:rPr>
        <w:footnoteRef/>
      </w:r>
      <w:r>
        <w:t xml:space="preserve"> </w:t>
      </w:r>
      <w:r>
        <w:tab/>
      </w:r>
      <w:r w:rsidRPr="00AF7C2A">
        <w:rPr>
          <w:rFonts w:cs="Arial"/>
          <w:lang w:val="en-GB"/>
        </w:rPr>
        <w:t xml:space="preserve">See </w:t>
      </w:r>
      <w:r>
        <w:rPr>
          <w:rFonts w:cs="Arial"/>
          <w:lang w:val="en-GB"/>
        </w:rPr>
        <w:t>IDC (2013)</w:t>
      </w:r>
      <w:r w:rsidRPr="00AF7C2A">
        <w:rPr>
          <w:rFonts w:cs="Arial"/>
          <w:i/>
          <w:lang w:val="en-GB"/>
        </w:rPr>
        <w:t xml:space="preserve"> Developing a vibrant ESCO Market – Prospects for South Africa’s energy efficiency future</w:t>
      </w:r>
      <w:r>
        <w:rPr>
          <w:rFonts w:cs="Arial"/>
          <w:lang w:val="en-GB"/>
        </w:rPr>
        <w:t xml:space="preserve">; GreenCape </w:t>
      </w:r>
      <w:r>
        <w:rPr>
          <w:rFonts w:cs="Arial"/>
          <w:i/>
          <w:lang w:val="en-GB"/>
        </w:rPr>
        <w:t xml:space="preserve">Market Intelligence Report </w:t>
      </w:r>
      <w:r>
        <w:rPr>
          <w:rFonts w:cs="Arial"/>
          <w:lang w:val="en-GB"/>
        </w:rPr>
        <w:t>(2015, 2016, 2017)</w:t>
      </w:r>
    </w:p>
  </w:footnote>
  <w:footnote w:id="54">
    <w:p w:rsidR="00540FEA" w:rsidRDefault="00540FEA" w:rsidP="00D74C34">
      <w:pPr>
        <w:pStyle w:val="FootnoteText"/>
        <w:ind w:left="284" w:hanging="284"/>
      </w:pPr>
      <w:r>
        <w:rPr>
          <w:rStyle w:val="FootnoteReference"/>
        </w:rPr>
        <w:footnoteRef/>
      </w:r>
      <w:r>
        <w:t xml:space="preserve"> </w:t>
      </w:r>
      <w:r>
        <w:tab/>
        <w:t>For these reasons and due to its focus on larger investments, this has made it difficult to propose CFF as DBSA co-financing for the “Leapfrogging LED and Transformers” project.</w:t>
      </w:r>
    </w:p>
  </w:footnote>
  <w:footnote w:id="55">
    <w:p w:rsidR="00540FEA" w:rsidRDefault="00540FEA" w:rsidP="002075FC">
      <w:pPr>
        <w:pStyle w:val="FootnoteText"/>
        <w:ind w:left="284" w:hanging="284"/>
      </w:pPr>
      <w:r>
        <w:rPr>
          <w:rStyle w:val="FootnoteReference"/>
        </w:rPr>
        <w:footnoteRef/>
      </w:r>
      <w:r>
        <w:t xml:space="preserve"> </w:t>
      </w:r>
      <w:r>
        <w:tab/>
      </w:r>
      <w:r w:rsidRPr="002075FC">
        <w:t>The private sector target companies may include ESCOs performing projects for the municipalities as long as the risk is taken by the ESCO, which aligns quite well with the shared-savings model</w:t>
      </w:r>
    </w:p>
  </w:footnote>
  <w:footnote w:id="56">
    <w:p w:rsidR="00540FEA" w:rsidRDefault="00540FEA" w:rsidP="00770C5C">
      <w:pPr>
        <w:pStyle w:val="FootnoteText"/>
        <w:ind w:left="284" w:hanging="284"/>
      </w:pPr>
      <w:r>
        <w:rPr>
          <w:rStyle w:val="FootnoteReference"/>
        </w:rPr>
        <w:footnoteRef/>
      </w:r>
      <w:r>
        <w:t xml:space="preserve"> </w:t>
      </w:r>
      <w:r>
        <w:tab/>
        <w:t>In the case of South Africa, all the metros and ca. 75% of the local municipalities purchase electricity in bulk from ESKOM and supply it to the local residents. This means that the electricity consumption associated with street lighting is concealed in the bulk electricity purchases and accounted either as losses or as self-consumption. In those cases, there is no “street-lighting electricity bill” to be paid to ESKOM, and clients are forced to use other M&amp;V types. Despite the fact that the energy consumption for this infrastructure is typically hidden in the bulk electricity purchases, it still represents the largest component of own-consumption for municipalities. As example, in the case of Johannesburg, street lighting represents ca. 95% of “non-billable” electricity usage (the rest is composed of own-buildings electricity consumption and the “free-basic-electricity” subsidy). It is therefore important for the project to raise awareness within municipalities that are not conscious of this point.</w:t>
      </w:r>
    </w:p>
  </w:footnote>
  <w:footnote w:id="57">
    <w:p w:rsidR="00540FEA" w:rsidRPr="0025068F" w:rsidRDefault="00540FEA" w:rsidP="002C7ACA">
      <w:pPr>
        <w:pStyle w:val="FootnoteText"/>
        <w:rPr>
          <w:lang w:val="en-GB"/>
        </w:rPr>
      </w:pPr>
      <w:r>
        <w:rPr>
          <w:rStyle w:val="FootnoteReference"/>
        </w:rPr>
        <w:footnoteRef/>
      </w:r>
      <w:r>
        <w:t xml:space="preserve"> </w:t>
      </w:r>
      <w:r>
        <w:tab/>
      </w:r>
      <w:r w:rsidRPr="0025068F">
        <w:rPr>
          <w:rFonts w:cs="Arial"/>
          <w:i/>
        </w:rPr>
        <w:t>Proven Delivery Models for LED Public Lighting: Super-ESCO Delivery Model Case Study</w:t>
      </w:r>
      <w:r>
        <w:rPr>
          <w:rFonts w:cs="Arial"/>
          <w:i/>
        </w:rPr>
        <w:t xml:space="preserve">, </w:t>
      </w:r>
      <w:r>
        <w:rPr>
          <w:rFonts w:cs="Arial"/>
        </w:rPr>
        <w:t>World Bank, ESMAP</w:t>
      </w:r>
    </w:p>
  </w:footnote>
  <w:footnote w:id="58">
    <w:p w:rsidR="00540FEA" w:rsidRPr="003515EF" w:rsidRDefault="00540FEA" w:rsidP="00D415F2">
      <w:pPr>
        <w:pStyle w:val="FootnoteText"/>
        <w:ind w:left="284" w:hanging="284"/>
        <w:rPr>
          <w:lang w:val="en-GB"/>
        </w:rPr>
      </w:pPr>
      <w:r>
        <w:rPr>
          <w:rStyle w:val="FootnoteReference"/>
        </w:rPr>
        <w:footnoteRef/>
      </w:r>
      <w:r>
        <w:t xml:space="preserve"> </w:t>
      </w:r>
      <w:r>
        <w:rPr>
          <w:lang w:val="en-GB"/>
        </w:rPr>
        <w:tab/>
        <w:t xml:space="preserve">The </w:t>
      </w:r>
      <w:r w:rsidRPr="003515EF">
        <w:rPr>
          <w:lang w:val="en-GB"/>
        </w:rPr>
        <w:t>Public Finance Management Act (1999), National Treasury Regulations (2005), and the Municipal Finance Management Act (MFMA) of 2003, govern the financial and supply chain management functions of Local Government. One of the prescribed minimum standards of procurement is value for money in terms of acquisition cost. The National Environmental Management Act (NEMA) and policy (NEES) encourage the adoption of resource efficient procurement – value for money option taking into consideration “life-cycle cost” of product to reduce resource usag</w:t>
      </w:r>
      <w:r>
        <w:rPr>
          <w:lang w:val="en-GB"/>
        </w:rPr>
        <w:t>e.</w:t>
      </w:r>
    </w:p>
  </w:footnote>
  <w:footnote w:id="59">
    <w:p w:rsidR="00540FEA" w:rsidRDefault="00540FEA" w:rsidP="00D151B3">
      <w:pPr>
        <w:pStyle w:val="FootnoteText"/>
        <w:ind w:left="284" w:hanging="284"/>
      </w:pPr>
      <w:r>
        <w:rPr>
          <w:rStyle w:val="FootnoteReference"/>
        </w:rPr>
        <w:footnoteRef/>
      </w:r>
      <w:r>
        <w:t xml:space="preserve"> </w:t>
      </w:r>
      <w:r>
        <w:tab/>
        <w:t xml:space="preserve">South African metropolitan municipalities have investment-grade credit ratings, and their current financing costs are in the region of 11% for 10-year loans. In the experience of DBSA, it is common that municipalities decide on the funding provider by margins of ca. 0.5% or less. These margins, however, apply to projects that are already approved in the budget of the municipality. These projects have to be deemed valuable enough for the city council to dedicate its own resources and potentially engage in the sourcing of debt, therefore the importance to support the preparation of convincing business cases to the city council. An improvement in the cost of funding of ca. 1.2-1.4%, combined with the internal promotion measures for budget approval should encourage the uptake economically attractive projects. It is recommended that projects with a lower economic attractiveness for municipalities should see a reduction in the cost of funds of 2%. This marginal improvement is suggested to provide a consistent approach to the treasury department and reduce the risk of “free-riding” of projects just to obtain the lower cost of funds. A simple mechanism to achieve this flexibility would consist of using the GEF grant funding to setup a 0% interest revolving debt facility </w:t>
      </w:r>
      <w:r w:rsidRPr="003F7BF3">
        <w:t xml:space="preserve">or a pure grant facility </w:t>
      </w:r>
      <w:r>
        <w:t>financing partially the projects (i.e. with a co-financing requirement from the end-users). The portion of the project financed by the concessional loan could be then adjusted based on the technology to achieve the desired financing cost improvement.</w:t>
      </w:r>
    </w:p>
  </w:footnote>
  <w:footnote w:id="60">
    <w:p w:rsidR="00540FEA" w:rsidRDefault="00540FEA" w:rsidP="00EF2770">
      <w:pPr>
        <w:pStyle w:val="FootnoteText"/>
        <w:ind w:left="284" w:hanging="284"/>
      </w:pPr>
      <w:r>
        <w:rPr>
          <w:rStyle w:val="FootnoteReference"/>
        </w:rPr>
        <w:footnoteRef/>
      </w:r>
      <w:r>
        <w:t xml:space="preserve"> </w:t>
      </w:r>
      <w:r>
        <w:tab/>
      </w:r>
      <w:r w:rsidRPr="00ED2447">
        <w:t>South African metropolitan municipalities have investment-grade credit ratings, and their current financing costs are in the region of 10% for 10-year loans. In the experience of DBSA, it is common that municipalities decide on the funding provider by margins of ca. 0.5% or less. These margins, however, apply to projects that are already approved in the budget of the municipality. These projects have to be deemed valuable enough for the city council to dedicate its own resources and potentially engage in the sourcing of debt, therefore the importance to support the preparation of convincing business cases to the city council.</w:t>
      </w:r>
    </w:p>
  </w:footnote>
  <w:footnote w:id="61">
    <w:p w:rsidR="00540FEA" w:rsidRPr="00327754" w:rsidRDefault="00540FEA" w:rsidP="000E43F5">
      <w:pPr>
        <w:pStyle w:val="FootnoteText"/>
        <w:ind w:left="284" w:hanging="284"/>
        <w:rPr>
          <w:lang w:val="en-GB"/>
        </w:rPr>
      </w:pPr>
      <w:r>
        <w:rPr>
          <w:rStyle w:val="FootnoteReference"/>
        </w:rPr>
        <w:footnoteRef/>
      </w:r>
      <w:r>
        <w:t xml:space="preserve"> </w:t>
      </w:r>
      <w:r>
        <w:rPr>
          <w:lang w:val="en-GB"/>
        </w:rPr>
        <w:t xml:space="preserve">National Business Initiative, </w:t>
      </w:r>
      <w:r>
        <w:rPr>
          <w:i/>
          <w:lang w:val="en-GB"/>
        </w:rPr>
        <w:t>South Africa’s Grid Emission Factor</w:t>
      </w:r>
      <w:r>
        <w:rPr>
          <w:lang w:val="en-GB"/>
        </w:rPr>
        <w:t xml:space="preserve"> (2013). </w:t>
      </w:r>
    </w:p>
  </w:footnote>
  <w:footnote w:id="62">
    <w:p w:rsidR="00540FEA" w:rsidRPr="00F4042B" w:rsidRDefault="00540FEA" w:rsidP="002126D2">
      <w:pPr>
        <w:pStyle w:val="FootnoteText"/>
        <w:ind w:left="284" w:hanging="284"/>
      </w:pPr>
      <w:r>
        <w:rPr>
          <w:rStyle w:val="FootnoteReference"/>
        </w:rPr>
        <w:footnoteRef/>
      </w:r>
      <w:r>
        <w:t xml:space="preserve"> </w:t>
      </w:r>
      <w:r>
        <w:tab/>
      </w:r>
      <w:bookmarkStart w:id="338" w:name="_Hlk7087517"/>
      <w:r w:rsidRPr="002126D2">
        <w:t>In 2023, 173 million lamps will have change to LED lighting over the baseline, of which the households’ share is 63 million lamps in 4.1 million households. Applying the same ‘causality factor’ of 60%, this implies the number of households that have changed to more efficient lighting is 2.46 million (over the baseline, i.e. households that would have changed to EE lighting anyhow are not counted), or 7.6 million people.</w:t>
      </w:r>
      <w:bookmarkEnd w:id="338"/>
    </w:p>
    <w:p w:rsidR="00540FEA" w:rsidRDefault="00540FEA" w:rsidP="004E6950">
      <w:pPr>
        <w:pStyle w:val="FootnoteText"/>
        <w:ind w:left="284" w:hanging="284"/>
      </w:pPr>
    </w:p>
  </w:footnote>
  <w:footnote w:id="63">
    <w:p w:rsidR="00540FEA" w:rsidRDefault="00540FEA" w:rsidP="005D1710">
      <w:pPr>
        <w:pStyle w:val="FootnoteText"/>
      </w:pPr>
      <w:r>
        <w:rPr>
          <w:rStyle w:val="FootnoteReference"/>
        </w:rPr>
        <w:footnoteRef/>
      </w:r>
      <w:r>
        <w:t xml:space="preserve"> Prohibited </w:t>
      </w:r>
      <w:r w:rsidRPr="00EC185E">
        <w:rPr>
          <w:lang w:val="en-CA"/>
        </w:rPr>
        <w:t>grounds of discrimination include race, ethnicity, gender, age, language, disability, sexual orientation, religion, political or other opinion, national or social or geographical origin, property, birth or other status including as an indigenous person or as a member of a minority.</w:t>
      </w:r>
      <w:r>
        <w:rPr>
          <w:lang w:val="en-CA"/>
        </w:rPr>
        <w:t xml:space="preserve"> </w:t>
      </w:r>
      <w:r>
        <w:t>References to “women and men” or similar is understood to include women and men, boys and girls, and other groups discriminated against based on their gender identities, such as transgender people and transsexuals.</w:t>
      </w:r>
    </w:p>
  </w:footnote>
  <w:footnote w:id="64">
    <w:p w:rsidR="00540FEA" w:rsidRPr="000319DF" w:rsidRDefault="00540FEA" w:rsidP="005D1710">
      <w:pPr>
        <w:spacing w:before="60"/>
        <w:rPr>
          <w:sz w:val="18"/>
          <w:szCs w:val="18"/>
        </w:rPr>
      </w:pPr>
      <w:r w:rsidRPr="000319DF">
        <w:rPr>
          <w:vertAlign w:val="superscript"/>
        </w:rPr>
        <w:footnoteRef/>
      </w:r>
      <w:r w:rsidRPr="000319DF">
        <w:rPr>
          <w:sz w:val="18"/>
          <w:szCs w:val="18"/>
        </w:rPr>
        <w:t xml:space="preserve"> </w:t>
      </w:r>
      <w:r>
        <w:rPr>
          <w:sz w:val="18"/>
          <w:szCs w:val="18"/>
        </w:rPr>
        <w:t xml:space="preserve">In regards to </w:t>
      </w:r>
      <w:r w:rsidRPr="000319DF">
        <w:rPr>
          <w:sz w:val="18"/>
          <w:szCs w:val="18"/>
        </w:rPr>
        <w:t>CO</w:t>
      </w:r>
      <w:r w:rsidRPr="000319DF">
        <w:rPr>
          <w:sz w:val="18"/>
          <w:szCs w:val="18"/>
          <w:vertAlign w:val="subscript"/>
        </w:rPr>
        <w:t>2</w:t>
      </w:r>
      <w:r>
        <w:rPr>
          <w:sz w:val="18"/>
          <w:szCs w:val="18"/>
          <w:vertAlign w:val="subscript"/>
        </w:rPr>
        <w:t>,</w:t>
      </w:r>
      <w:r>
        <w:rPr>
          <w:sz w:val="18"/>
          <w:szCs w:val="18"/>
        </w:rPr>
        <w:t xml:space="preserve"> ‘s</w:t>
      </w:r>
      <w:r w:rsidRPr="000319DF">
        <w:rPr>
          <w:sz w:val="18"/>
          <w:szCs w:val="18"/>
        </w:rPr>
        <w:t>ignificant</w:t>
      </w:r>
      <w:r>
        <w:rPr>
          <w:sz w:val="18"/>
          <w:szCs w:val="18"/>
        </w:rPr>
        <w:t xml:space="preserve"> emissions’</w:t>
      </w:r>
      <w:r w:rsidRPr="000319DF">
        <w:rPr>
          <w:sz w:val="18"/>
          <w:szCs w:val="18"/>
        </w:rPr>
        <w:t xml:space="preserve"> corresponds </w:t>
      </w:r>
      <w:r>
        <w:rPr>
          <w:sz w:val="18"/>
          <w:szCs w:val="18"/>
        </w:rPr>
        <w:t>generally to more</w:t>
      </w:r>
      <w:r w:rsidRPr="000319DF">
        <w:rPr>
          <w:sz w:val="18"/>
          <w:szCs w:val="18"/>
        </w:rPr>
        <w:t xml:space="preserve"> than 25,000 tons per year (from both direct</w:t>
      </w:r>
      <w:r>
        <w:rPr>
          <w:sz w:val="18"/>
          <w:szCs w:val="18"/>
        </w:rPr>
        <w:t xml:space="preserve"> and indirect sources). [The Guidance Note on Climate Change Mitigation and Adaptation</w:t>
      </w:r>
      <w:r w:rsidRPr="000319DF">
        <w:rPr>
          <w:sz w:val="18"/>
          <w:szCs w:val="18"/>
        </w:rPr>
        <w:t xml:space="preserve"> provides additional </w:t>
      </w:r>
      <w:r>
        <w:rPr>
          <w:sz w:val="18"/>
          <w:szCs w:val="18"/>
        </w:rPr>
        <w:t xml:space="preserve">information on GHG </w:t>
      </w:r>
      <w:r w:rsidRPr="000319DF">
        <w:rPr>
          <w:sz w:val="18"/>
          <w:szCs w:val="18"/>
        </w:rPr>
        <w:t>emissions.]</w:t>
      </w:r>
    </w:p>
  </w:footnote>
  <w:footnote w:id="65">
    <w:p w:rsidR="00540FEA" w:rsidRDefault="00540FEA" w:rsidP="005D1710">
      <w:pPr>
        <w:pStyle w:val="FootnoteText"/>
      </w:pPr>
      <w:r>
        <w:rPr>
          <w:rStyle w:val="FootnoteReference"/>
        </w:rPr>
        <w:footnoteRef/>
      </w:r>
      <w: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40FEA" w:rsidRPr="00424365" w:rsidRDefault="00540FEA" w:rsidP="00424365">
    <w:pPr>
      <w:pStyle w:val="Header"/>
      <w:rPr>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A6B7B"/>
    <w:multiLevelType w:val="hybridMultilevel"/>
    <w:tmpl w:val="165AC3F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04893286"/>
    <w:multiLevelType w:val="hybridMultilevel"/>
    <w:tmpl w:val="DED66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1C3400"/>
    <w:multiLevelType w:val="hybridMultilevel"/>
    <w:tmpl w:val="605E8C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F100F5"/>
    <w:multiLevelType w:val="hybridMultilevel"/>
    <w:tmpl w:val="EE409B56"/>
    <w:lvl w:ilvl="0" w:tplc="73D4109C">
      <w:start w:val="1"/>
      <w:numFmt w:val="bullet"/>
      <w:lvlText w:val=""/>
      <w:lvlJc w:val="left"/>
      <w:pPr>
        <w:ind w:left="720" w:hanging="360"/>
      </w:pPr>
      <w:rPr>
        <w:rFonts w:ascii="Symbol" w:eastAsia="SimSun" w:hAnsi="Symbol" w:cs="Times New Roman"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D6345B3"/>
    <w:multiLevelType w:val="hybridMultilevel"/>
    <w:tmpl w:val="31444D72"/>
    <w:lvl w:ilvl="0" w:tplc="20000001">
      <w:start w:val="1"/>
      <w:numFmt w:val="bullet"/>
      <w:lvlText w:val=""/>
      <w:lvlJc w:val="left"/>
      <w:pPr>
        <w:ind w:left="1440" w:hanging="360"/>
      </w:pPr>
      <w:rPr>
        <w:rFonts w:ascii="Symbol" w:hAnsi="Symbol"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7" w15:restartNumberingAfterBreak="0">
    <w:nsid w:val="11D6654B"/>
    <w:multiLevelType w:val="multilevel"/>
    <w:tmpl w:val="01929034"/>
    <w:lvl w:ilvl="0">
      <w:start w:val="1"/>
      <w:numFmt w:val="decimal"/>
      <w:pStyle w:val="Heading1"/>
      <w:lvlText w:val="%1."/>
      <w:lvlJc w:val="left"/>
      <w:pPr>
        <w:ind w:left="360" w:hanging="360"/>
      </w:pPr>
      <w:rPr>
        <w:rFonts w:hint="default"/>
      </w:rPr>
    </w:lvl>
    <w:lvl w:ilvl="1">
      <w:start w:val="1"/>
      <w:numFmt w:val="decimal"/>
      <w:lvlRestart w:val="0"/>
      <w:pStyle w:val="Heading2"/>
      <w:lvlText w:val="%1.%2"/>
      <w:lvlJc w:val="left"/>
      <w:pPr>
        <w:tabs>
          <w:tab w:val="num" w:pos="680"/>
        </w:tabs>
        <w:ind w:left="624" w:hanging="624"/>
      </w:pPr>
      <w:rPr>
        <w:rFonts w:hint="default"/>
      </w:rPr>
    </w:lvl>
    <w:lvl w:ilvl="2">
      <w:start w:val="1"/>
      <w:numFmt w:val="decimal"/>
      <w:pStyle w:val="Heading3"/>
      <w:lvlText w:val="%1.%2.%3"/>
      <w:lvlJc w:val="left"/>
      <w:pPr>
        <w:tabs>
          <w:tab w:val="num" w:pos="3035"/>
        </w:tabs>
        <w:ind w:left="3035" w:hanging="624"/>
      </w:pPr>
      <w:rPr>
        <w:rFonts w:hint="default"/>
      </w:rPr>
    </w:lvl>
    <w:lvl w:ilvl="3">
      <w:start w:val="1"/>
      <w:numFmt w:val="decimal"/>
      <w:lvlText w:val="%1.%2.%3.%4"/>
      <w:lvlJc w:val="left"/>
      <w:pPr>
        <w:tabs>
          <w:tab w:val="num" w:pos="1488"/>
        </w:tabs>
        <w:ind w:left="1488" w:hanging="864"/>
      </w:pPr>
      <w:rPr>
        <w:rFonts w:hint="default"/>
      </w:rPr>
    </w:lvl>
    <w:lvl w:ilvl="4">
      <w:start w:val="1"/>
      <w:numFmt w:val="decimal"/>
      <w:lvlText w:val="%1.%2.%3.%4.%5"/>
      <w:lvlJc w:val="left"/>
      <w:pPr>
        <w:tabs>
          <w:tab w:val="num" w:pos="1632"/>
        </w:tabs>
        <w:ind w:left="1632" w:hanging="1008"/>
      </w:pPr>
      <w:rPr>
        <w:rFonts w:hint="default"/>
      </w:rPr>
    </w:lvl>
    <w:lvl w:ilvl="5">
      <w:start w:val="1"/>
      <w:numFmt w:val="decimal"/>
      <w:lvlText w:val="%1.%2.%3.%4.%5.%6"/>
      <w:lvlJc w:val="left"/>
      <w:pPr>
        <w:tabs>
          <w:tab w:val="num" w:pos="1776"/>
        </w:tabs>
        <w:ind w:left="1776" w:hanging="1152"/>
      </w:pPr>
      <w:rPr>
        <w:rFonts w:hint="default"/>
      </w:rPr>
    </w:lvl>
    <w:lvl w:ilvl="6">
      <w:start w:val="1"/>
      <w:numFmt w:val="decimal"/>
      <w:lvlText w:val="%1.%2.%3.%4.%5.%6.%7"/>
      <w:lvlJc w:val="left"/>
      <w:pPr>
        <w:tabs>
          <w:tab w:val="num" w:pos="1920"/>
        </w:tabs>
        <w:ind w:left="1920" w:hanging="1296"/>
      </w:pPr>
      <w:rPr>
        <w:rFonts w:hint="default"/>
      </w:rPr>
    </w:lvl>
    <w:lvl w:ilvl="7">
      <w:start w:val="1"/>
      <w:numFmt w:val="decimal"/>
      <w:lvlText w:val="%1.%2.%3.%4.%5.%6.%7.%8"/>
      <w:lvlJc w:val="left"/>
      <w:pPr>
        <w:tabs>
          <w:tab w:val="num" w:pos="2064"/>
        </w:tabs>
        <w:ind w:left="2064" w:hanging="1440"/>
      </w:pPr>
      <w:rPr>
        <w:rFonts w:hint="default"/>
      </w:rPr>
    </w:lvl>
    <w:lvl w:ilvl="8">
      <w:start w:val="1"/>
      <w:numFmt w:val="decimal"/>
      <w:lvlText w:val="%1.%2.%3.%4.%5.%6.%7.%8.%9"/>
      <w:lvlJc w:val="left"/>
      <w:pPr>
        <w:tabs>
          <w:tab w:val="num" w:pos="2208"/>
        </w:tabs>
        <w:ind w:left="2208" w:hanging="1584"/>
      </w:pPr>
      <w:rPr>
        <w:rFonts w:hint="default"/>
      </w:rPr>
    </w:lvl>
  </w:abstractNum>
  <w:abstractNum w:abstractNumId="8" w15:restartNumberingAfterBreak="0">
    <w:nsid w:val="123F2E3A"/>
    <w:multiLevelType w:val="hybridMultilevel"/>
    <w:tmpl w:val="2FECF0B0"/>
    <w:lvl w:ilvl="0" w:tplc="89CA727E">
      <w:start w:val="1"/>
      <w:numFmt w:val="decimal"/>
      <w:lvlText w:val="%1)"/>
      <w:lvlJc w:val="left"/>
      <w:pPr>
        <w:ind w:left="502" w:hanging="360"/>
      </w:pPr>
      <w:rPr>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2811B53"/>
    <w:multiLevelType w:val="multilevel"/>
    <w:tmpl w:val="9508DC0A"/>
    <w:lvl w:ilvl="0">
      <w:start w:val="1"/>
      <w:numFmt w:val="decimal"/>
      <w:lvlText w:val="%1."/>
      <w:lvlJc w:val="left"/>
      <w:pPr>
        <w:ind w:left="720" w:hanging="360"/>
      </w:pPr>
      <w:rPr>
        <w:rFonts w:hint="default"/>
      </w:rPr>
    </w:lvl>
    <w:lvl w:ilvl="1">
      <w:start w:val="1"/>
      <w:numFmt w:val="decimal"/>
      <w:isLgl/>
      <w:lvlText w:val="%1.%2"/>
      <w:lvlJc w:val="left"/>
      <w:pPr>
        <w:ind w:left="820" w:hanging="460"/>
      </w:pPr>
      <w:rPr>
        <w:rFonts w:hint="default"/>
      </w:rPr>
    </w:lvl>
    <w:lvl w:ilvl="2">
      <w:start w:val="1"/>
      <w:numFmt w:val="decimal"/>
      <w:isLgl/>
      <w:lvlText w:val="%1.%2.%3"/>
      <w:lvlJc w:val="left"/>
      <w:pPr>
        <w:ind w:left="820" w:hanging="4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800" w:hanging="1440"/>
      </w:pPr>
      <w:rPr>
        <w:rFonts w:hint="default"/>
      </w:rPr>
    </w:lvl>
  </w:abstractNum>
  <w:abstractNum w:abstractNumId="10"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3E449E8"/>
    <w:multiLevelType w:val="hybridMultilevel"/>
    <w:tmpl w:val="136EC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60D2E5E"/>
    <w:multiLevelType w:val="hybridMultilevel"/>
    <w:tmpl w:val="7E96C926"/>
    <w:lvl w:ilvl="0" w:tplc="20000001">
      <w:start w:val="1"/>
      <w:numFmt w:val="bullet"/>
      <w:lvlText w:val=""/>
      <w:lvlJc w:val="left"/>
      <w:pPr>
        <w:ind w:left="1072" w:hanging="360"/>
      </w:pPr>
      <w:rPr>
        <w:rFonts w:ascii="Symbol" w:hAnsi="Symbol" w:hint="default"/>
      </w:rPr>
    </w:lvl>
    <w:lvl w:ilvl="1" w:tplc="20000003" w:tentative="1">
      <w:start w:val="1"/>
      <w:numFmt w:val="bullet"/>
      <w:lvlText w:val="o"/>
      <w:lvlJc w:val="left"/>
      <w:pPr>
        <w:ind w:left="1792" w:hanging="360"/>
      </w:pPr>
      <w:rPr>
        <w:rFonts w:ascii="Courier New" w:hAnsi="Courier New" w:cs="Courier New" w:hint="default"/>
      </w:rPr>
    </w:lvl>
    <w:lvl w:ilvl="2" w:tplc="20000005" w:tentative="1">
      <w:start w:val="1"/>
      <w:numFmt w:val="bullet"/>
      <w:lvlText w:val=""/>
      <w:lvlJc w:val="left"/>
      <w:pPr>
        <w:ind w:left="2512" w:hanging="360"/>
      </w:pPr>
      <w:rPr>
        <w:rFonts w:ascii="Wingdings" w:hAnsi="Wingdings" w:hint="default"/>
      </w:rPr>
    </w:lvl>
    <w:lvl w:ilvl="3" w:tplc="20000001" w:tentative="1">
      <w:start w:val="1"/>
      <w:numFmt w:val="bullet"/>
      <w:lvlText w:val=""/>
      <w:lvlJc w:val="left"/>
      <w:pPr>
        <w:ind w:left="3232" w:hanging="360"/>
      </w:pPr>
      <w:rPr>
        <w:rFonts w:ascii="Symbol" w:hAnsi="Symbol" w:hint="default"/>
      </w:rPr>
    </w:lvl>
    <w:lvl w:ilvl="4" w:tplc="20000003" w:tentative="1">
      <w:start w:val="1"/>
      <w:numFmt w:val="bullet"/>
      <w:lvlText w:val="o"/>
      <w:lvlJc w:val="left"/>
      <w:pPr>
        <w:ind w:left="3952" w:hanging="360"/>
      </w:pPr>
      <w:rPr>
        <w:rFonts w:ascii="Courier New" w:hAnsi="Courier New" w:cs="Courier New" w:hint="default"/>
      </w:rPr>
    </w:lvl>
    <w:lvl w:ilvl="5" w:tplc="20000005" w:tentative="1">
      <w:start w:val="1"/>
      <w:numFmt w:val="bullet"/>
      <w:lvlText w:val=""/>
      <w:lvlJc w:val="left"/>
      <w:pPr>
        <w:ind w:left="4672" w:hanging="360"/>
      </w:pPr>
      <w:rPr>
        <w:rFonts w:ascii="Wingdings" w:hAnsi="Wingdings" w:hint="default"/>
      </w:rPr>
    </w:lvl>
    <w:lvl w:ilvl="6" w:tplc="20000001" w:tentative="1">
      <w:start w:val="1"/>
      <w:numFmt w:val="bullet"/>
      <w:lvlText w:val=""/>
      <w:lvlJc w:val="left"/>
      <w:pPr>
        <w:ind w:left="5392" w:hanging="360"/>
      </w:pPr>
      <w:rPr>
        <w:rFonts w:ascii="Symbol" w:hAnsi="Symbol" w:hint="default"/>
      </w:rPr>
    </w:lvl>
    <w:lvl w:ilvl="7" w:tplc="20000003" w:tentative="1">
      <w:start w:val="1"/>
      <w:numFmt w:val="bullet"/>
      <w:lvlText w:val="o"/>
      <w:lvlJc w:val="left"/>
      <w:pPr>
        <w:ind w:left="6112" w:hanging="360"/>
      </w:pPr>
      <w:rPr>
        <w:rFonts w:ascii="Courier New" w:hAnsi="Courier New" w:cs="Courier New" w:hint="default"/>
      </w:rPr>
    </w:lvl>
    <w:lvl w:ilvl="8" w:tplc="20000005" w:tentative="1">
      <w:start w:val="1"/>
      <w:numFmt w:val="bullet"/>
      <w:lvlText w:val=""/>
      <w:lvlJc w:val="left"/>
      <w:pPr>
        <w:ind w:left="6832" w:hanging="360"/>
      </w:pPr>
      <w:rPr>
        <w:rFonts w:ascii="Wingdings" w:hAnsi="Wingdings" w:hint="default"/>
      </w:rPr>
    </w:lvl>
  </w:abstractNum>
  <w:abstractNum w:abstractNumId="13" w15:restartNumberingAfterBreak="0">
    <w:nsid w:val="18510C22"/>
    <w:multiLevelType w:val="hybridMultilevel"/>
    <w:tmpl w:val="4F828B84"/>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19D53B3B"/>
    <w:multiLevelType w:val="hybridMultilevel"/>
    <w:tmpl w:val="B596C5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1BC04C1C"/>
    <w:multiLevelType w:val="hybridMultilevel"/>
    <w:tmpl w:val="0EEA9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1DF60E1E"/>
    <w:multiLevelType w:val="hybridMultilevel"/>
    <w:tmpl w:val="782A6E38"/>
    <w:lvl w:ilvl="0" w:tplc="2000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1E1416F5"/>
    <w:multiLevelType w:val="hybridMultilevel"/>
    <w:tmpl w:val="C538A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1E426EE4"/>
    <w:multiLevelType w:val="hybridMultilevel"/>
    <w:tmpl w:val="8618B826"/>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22" w15:restartNumberingAfterBreak="0">
    <w:nsid w:val="1F9839E5"/>
    <w:multiLevelType w:val="hybridMultilevel"/>
    <w:tmpl w:val="F20EA06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3" w15:restartNumberingAfterBreak="0">
    <w:nsid w:val="20AC2A79"/>
    <w:multiLevelType w:val="hybridMultilevel"/>
    <w:tmpl w:val="5A142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4BD0E4C"/>
    <w:multiLevelType w:val="hybridMultilevel"/>
    <w:tmpl w:val="71C4F4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2CE16192"/>
    <w:multiLevelType w:val="hybridMultilevel"/>
    <w:tmpl w:val="98243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2EF82F3B"/>
    <w:multiLevelType w:val="hybridMultilevel"/>
    <w:tmpl w:val="153CF9F8"/>
    <w:lvl w:ilvl="0" w:tplc="20000001">
      <w:start w:val="1"/>
      <w:numFmt w:val="bullet"/>
      <w:lvlText w:val=""/>
      <w:lvlJc w:val="left"/>
      <w:pPr>
        <w:ind w:left="754" w:hanging="360"/>
      </w:pPr>
      <w:rPr>
        <w:rFonts w:ascii="Symbol" w:hAnsi="Symbol" w:hint="default"/>
      </w:rPr>
    </w:lvl>
    <w:lvl w:ilvl="1" w:tplc="20000003" w:tentative="1">
      <w:start w:val="1"/>
      <w:numFmt w:val="bullet"/>
      <w:lvlText w:val="o"/>
      <w:lvlJc w:val="left"/>
      <w:pPr>
        <w:ind w:left="1474" w:hanging="360"/>
      </w:pPr>
      <w:rPr>
        <w:rFonts w:ascii="Courier New" w:hAnsi="Courier New" w:cs="Courier New" w:hint="default"/>
      </w:rPr>
    </w:lvl>
    <w:lvl w:ilvl="2" w:tplc="20000005" w:tentative="1">
      <w:start w:val="1"/>
      <w:numFmt w:val="bullet"/>
      <w:lvlText w:val=""/>
      <w:lvlJc w:val="left"/>
      <w:pPr>
        <w:ind w:left="2194" w:hanging="360"/>
      </w:pPr>
      <w:rPr>
        <w:rFonts w:ascii="Wingdings" w:hAnsi="Wingdings" w:hint="default"/>
      </w:rPr>
    </w:lvl>
    <w:lvl w:ilvl="3" w:tplc="20000001" w:tentative="1">
      <w:start w:val="1"/>
      <w:numFmt w:val="bullet"/>
      <w:lvlText w:val=""/>
      <w:lvlJc w:val="left"/>
      <w:pPr>
        <w:ind w:left="2914" w:hanging="360"/>
      </w:pPr>
      <w:rPr>
        <w:rFonts w:ascii="Symbol" w:hAnsi="Symbol" w:hint="default"/>
      </w:rPr>
    </w:lvl>
    <w:lvl w:ilvl="4" w:tplc="20000003" w:tentative="1">
      <w:start w:val="1"/>
      <w:numFmt w:val="bullet"/>
      <w:lvlText w:val="o"/>
      <w:lvlJc w:val="left"/>
      <w:pPr>
        <w:ind w:left="3634" w:hanging="360"/>
      </w:pPr>
      <w:rPr>
        <w:rFonts w:ascii="Courier New" w:hAnsi="Courier New" w:cs="Courier New" w:hint="default"/>
      </w:rPr>
    </w:lvl>
    <w:lvl w:ilvl="5" w:tplc="20000005" w:tentative="1">
      <w:start w:val="1"/>
      <w:numFmt w:val="bullet"/>
      <w:lvlText w:val=""/>
      <w:lvlJc w:val="left"/>
      <w:pPr>
        <w:ind w:left="4354" w:hanging="360"/>
      </w:pPr>
      <w:rPr>
        <w:rFonts w:ascii="Wingdings" w:hAnsi="Wingdings" w:hint="default"/>
      </w:rPr>
    </w:lvl>
    <w:lvl w:ilvl="6" w:tplc="20000001" w:tentative="1">
      <w:start w:val="1"/>
      <w:numFmt w:val="bullet"/>
      <w:lvlText w:val=""/>
      <w:lvlJc w:val="left"/>
      <w:pPr>
        <w:ind w:left="5074" w:hanging="360"/>
      </w:pPr>
      <w:rPr>
        <w:rFonts w:ascii="Symbol" w:hAnsi="Symbol" w:hint="default"/>
      </w:rPr>
    </w:lvl>
    <w:lvl w:ilvl="7" w:tplc="20000003" w:tentative="1">
      <w:start w:val="1"/>
      <w:numFmt w:val="bullet"/>
      <w:lvlText w:val="o"/>
      <w:lvlJc w:val="left"/>
      <w:pPr>
        <w:ind w:left="5794" w:hanging="360"/>
      </w:pPr>
      <w:rPr>
        <w:rFonts w:ascii="Courier New" w:hAnsi="Courier New" w:cs="Courier New" w:hint="default"/>
      </w:rPr>
    </w:lvl>
    <w:lvl w:ilvl="8" w:tplc="20000005" w:tentative="1">
      <w:start w:val="1"/>
      <w:numFmt w:val="bullet"/>
      <w:lvlText w:val=""/>
      <w:lvlJc w:val="left"/>
      <w:pPr>
        <w:ind w:left="6514" w:hanging="360"/>
      </w:pPr>
      <w:rPr>
        <w:rFonts w:ascii="Wingdings" w:hAnsi="Wingdings" w:hint="default"/>
      </w:rPr>
    </w:lvl>
  </w:abstractNum>
  <w:abstractNum w:abstractNumId="28" w15:restartNumberingAfterBreak="0">
    <w:nsid w:val="32745AD3"/>
    <w:multiLevelType w:val="hybridMultilevel"/>
    <w:tmpl w:val="19B80D46"/>
    <w:lvl w:ilvl="0" w:tplc="D7B61FA8">
      <w:start w:val="1"/>
      <w:numFmt w:val="bullet"/>
      <w:lvlText w:val="•"/>
      <w:lvlJc w:val="left"/>
      <w:pPr>
        <w:ind w:left="360" w:hanging="360"/>
      </w:pPr>
      <w:rPr>
        <w:rFonts w:ascii="Arial" w:hAnsi="Arial" w:hint="default"/>
        <w:b w:val="0"/>
        <w:i w:val="0"/>
        <w:color w:val="3B3838"/>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4A43A26"/>
    <w:multiLevelType w:val="hybridMultilevel"/>
    <w:tmpl w:val="16866CD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15:restartNumberingAfterBreak="0">
    <w:nsid w:val="34E16059"/>
    <w:multiLevelType w:val="hybridMultilevel"/>
    <w:tmpl w:val="6E121B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1"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8D04200"/>
    <w:multiLevelType w:val="hybridMultilevel"/>
    <w:tmpl w:val="5B7AEFE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399B2D64"/>
    <w:multiLevelType w:val="hybridMultilevel"/>
    <w:tmpl w:val="14CE7318"/>
    <w:lvl w:ilvl="0" w:tplc="20000003">
      <w:start w:val="1"/>
      <w:numFmt w:val="bullet"/>
      <w:lvlText w:val="o"/>
      <w:lvlJc w:val="left"/>
      <w:pPr>
        <w:ind w:left="1004" w:hanging="360"/>
      </w:pPr>
      <w:rPr>
        <w:rFonts w:ascii="Courier New" w:hAnsi="Courier New" w:cs="Courier New" w:hint="default"/>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34" w15:restartNumberingAfterBreak="0">
    <w:nsid w:val="3AB60DFC"/>
    <w:multiLevelType w:val="hybridMultilevel"/>
    <w:tmpl w:val="832A3F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AEE79FF"/>
    <w:multiLevelType w:val="hybridMultilevel"/>
    <w:tmpl w:val="DB3E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D3B53A9"/>
    <w:multiLevelType w:val="multilevel"/>
    <w:tmpl w:val="50C63BA0"/>
    <w:lvl w:ilvl="0">
      <w:start w:val="1"/>
      <w:numFmt w:val="upperLetter"/>
      <w:pStyle w:val="HeadingA"/>
      <w:lvlText w:val="Annex %1."/>
      <w:lvlJc w:val="left"/>
      <w:pPr>
        <w:ind w:left="360" w:hanging="360"/>
      </w:pPr>
      <w:rPr>
        <w:rFonts w:cs="Times New Roman" w:hint="default"/>
        <w:b w:val="0"/>
        <w:bCs w:val="0"/>
        <w:i w:val="0"/>
        <w:iCs w:val="0"/>
        <w:caps w:val="0"/>
        <w:smallCaps w:val="0"/>
        <w:strike w:val="0"/>
        <w:dstrike w:val="0"/>
        <w:noProof w:val="0"/>
        <w:vanish w:val="0"/>
        <w:color w:val="002060"/>
        <w:spacing w:val="0"/>
        <w:kern w:val="0"/>
        <w:position w:val="0"/>
        <w:u w:val="none"/>
        <w:effect w:val="none"/>
        <w:vertAlign w:val="baseline"/>
        <w:em w:val="none"/>
        <w:specVanish w:val="0"/>
      </w:rPr>
    </w:lvl>
    <w:lvl w:ilvl="1">
      <w:start w:val="1"/>
      <w:numFmt w:val="decimal"/>
      <w:lvlRestart w:val="0"/>
      <w:pStyle w:val="HeadingA2"/>
      <w:lvlText w:val="%1.%2"/>
      <w:lvlJc w:val="left"/>
      <w:pPr>
        <w:tabs>
          <w:tab w:val="num" w:pos="737"/>
        </w:tabs>
        <w:ind w:left="737" w:hanging="737"/>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37" w15:restartNumberingAfterBreak="0">
    <w:nsid w:val="41A80498"/>
    <w:multiLevelType w:val="hybridMultilevel"/>
    <w:tmpl w:val="DD92A59C"/>
    <w:lvl w:ilvl="0" w:tplc="20000003">
      <w:start w:val="1"/>
      <w:numFmt w:val="bullet"/>
      <w:lvlText w:val="o"/>
      <w:lvlJc w:val="left"/>
      <w:pPr>
        <w:ind w:left="1072" w:hanging="360"/>
      </w:pPr>
      <w:rPr>
        <w:rFonts w:ascii="Courier New" w:hAnsi="Courier New" w:cs="Courier New" w:hint="default"/>
      </w:rPr>
    </w:lvl>
    <w:lvl w:ilvl="1" w:tplc="20000003" w:tentative="1">
      <w:start w:val="1"/>
      <w:numFmt w:val="bullet"/>
      <w:lvlText w:val="o"/>
      <w:lvlJc w:val="left"/>
      <w:pPr>
        <w:ind w:left="1792" w:hanging="360"/>
      </w:pPr>
      <w:rPr>
        <w:rFonts w:ascii="Courier New" w:hAnsi="Courier New" w:cs="Courier New" w:hint="default"/>
      </w:rPr>
    </w:lvl>
    <w:lvl w:ilvl="2" w:tplc="20000005" w:tentative="1">
      <w:start w:val="1"/>
      <w:numFmt w:val="bullet"/>
      <w:lvlText w:val=""/>
      <w:lvlJc w:val="left"/>
      <w:pPr>
        <w:ind w:left="2512" w:hanging="360"/>
      </w:pPr>
      <w:rPr>
        <w:rFonts w:ascii="Wingdings" w:hAnsi="Wingdings" w:hint="default"/>
      </w:rPr>
    </w:lvl>
    <w:lvl w:ilvl="3" w:tplc="20000001" w:tentative="1">
      <w:start w:val="1"/>
      <w:numFmt w:val="bullet"/>
      <w:lvlText w:val=""/>
      <w:lvlJc w:val="left"/>
      <w:pPr>
        <w:ind w:left="3232" w:hanging="360"/>
      </w:pPr>
      <w:rPr>
        <w:rFonts w:ascii="Symbol" w:hAnsi="Symbol" w:hint="default"/>
      </w:rPr>
    </w:lvl>
    <w:lvl w:ilvl="4" w:tplc="20000003" w:tentative="1">
      <w:start w:val="1"/>
      <w:numFmt w:val="bullet"/>
      <w:lvlText w:val="o"/>
      <w:lvlJc w:val="left"/>
      <w:pPr>
        <w:ind w:left="3952" w:hanging="360"/>
      </w:pPr>
      <w:rPr>
        <w:rFonts w:ascii="Courier New" w:hAnsi="Courier New" w:cs="Courier New" w:hint="default"/>
      </w:rPr>
    </w:lvl>
    <w:lvl w:ilvl="5" w:tplc="20000005" w:tentative="1">
      <w:start w:val="1"/>
      <w:numFmt w:val="bullet"/>
      <w:lvlText w:val=""/>
      <w:lvlJc w:val="left"/>
      <w:pPr>
        <w:ind w:left="4672" w:hanging="360"/>
      </w:pPr>
      <w:rPr>
        <w:rFonts w:ascii="Wingdings" w:hAnsi="Wingdings" w:hint="default"/>
      </w:rPr>
    </w:lvl>
    <w:lvl w:ilvl="6" w:tplc="20000001" w:tentative="1">
      <w:start w:val="1"/>
      <w:numFmt w:val="bullet"/>
      <w:lvlText w:val=""/>
      <w:lvlJc w:val="left"/>
      <w:pPr>
        <w:ind w:left="5392" w:hanging="360"/>
      </w:pPr>
      <w:rPr>
        <w:rFonts w:ascii="Symbol" w:hAnsi="Symbol" w:hint="default"/>
      </w:rPr>
    </w:lvl>
    <w:lvl w:ilvl="7" w:tplc="20000003" w:tentative="1">
      <w:start w:val="1"/>
      <w:numFmt w:val="bullet"/>
      <w:lvlText w:val="o"/>
      <w:lvlJc w:val="left"/>
      <w:pPr>
        <w:ind w:left="6112" w:hanging="360"/>
      </w:pPr>
      <w:rPr>
        <w:rFonts w:ascii="Courier New" w:hAnsi="Courier New" w:cs="Courier New" w:hint="default"/>
      </w:rPr>
    </w:lvl>
    <w:lvl w:ilvl="8" w:tplc="20000005" w:tentative="1">
      <w:start w:val="1"/>
      <w:numFmt w:val="bullet"/>
      <w:lvlText w:val=""/>
      <w:lvlJc w:val="left"/>
      <w:pPr>
        <w:ind w:left="6832" w:hanging="360"/>
      </w:pPr>
      <w:rPr>
        <w:rFonts w:ascii="Wingdings" w:hAnsi="Wingdings" w:hint="default"/>
      </w:rPr>
    </w:lvl>
  </w:abstractNum>
  <w:abstractNum w:abstractNumId="38" w15:restartNumberingAfterBreak="0">
    <w:nsid w:val="42E87E9B"/>
    <w:multiLevelType w:val="hybridMultilevel"/>
    <w:tmpl w:val="F364D9C8"/>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40" w15:restartNumberingAfterBreak="0">
    <w:nsid w:val="44896BCF"/>
    <w:multiLevelType w:val="hybridMultilevel"/>
    <w:tmpl w:val="60ECB70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1"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EE268B9"/>
    <w:multiLevelType w:val="multilevel"/>
    <w:tmpl w:val="7E3C2E00"/>
    <w:lvl w:ilvl="0">
      <w:start w:val="1"/>
      <w:numFmt w:val="decimal"/>
      <w:lvlText w:val="%1"/>
      <w:lvlJc w:val="left"/>
      <w:pPr>
        <w:ind w:left="1142" w:hanging="298"/>
      </w:pPr>
      <w:rPr>
        <w:rFonts w:ascii="Georgia" w:eastAsia="Georgia" w:hAnsi="Georgia" w:cs="Georgia" w:hint="default"/>
        <w:b/>
        <w:bCs/>
        <w:color w:val="457392"/>
        <w:w w:val="99"/>
        <w:sz w:val="17"/>
        <w:szCs w:val="17"/>
      </w:rPr>
    </w:lvl>
    <w:lvl w:ilvl="1">
      <w:start w:val="1"/>
      <w:numFmt w:val="decimal"/>
      <w:lvlText w:val="%1.%2"/>
      <w:lvlJc w:val="left"/>
      <w:pPr>
        <w:ind w:left="1238" w:hanging="399"/>
      </w:pPr>
      <w:rPr>
        <w:rFonts w:ascii="Georgia" w:eastAsia="Georgia" w:hAnsi="Georgia" w:cs="Georgia" w:hint="default"/>
        <w:color w:val="457392"/>
        <w:spacing w:val="-1"/>
        <w:w w:val="94"/>
        <w:sz w:val="17"/>
        <w:szCs w:val="17"/>
      </w:rPr>
    </w:lvl>
    <w:lvl w:ilvl="2">
      <w:start w:val="1"/>
      <w:numFmt w:val="bullet"/>
      <w:lvlText w:val=""/>
      <w:lvlJc w:val="left"/>
      <w:pPr>
        <w:ind w:left="1372" w:hanging="250"/>
      </w:pPr>
      <w:rPr>
        <w:rFonts w:ascii="Symbol" w:hAnsi="Symbol" w:hint="default"/>
        <w:w w:val="101"/>
        <w:sz w:val="14"/>
        <w:szCs w:val="14"/>
      </w:rPr>
    </w:lvl>
    <w:lvl w:ilvl="3">
      <w:numFmt w:val="bullet"/>
      <w:lvlText w:val="•"/>
      <w:lvlJc w:val="left"/>
      <w:pPr>
        <w:ind w:left="2157" w:hanging="250"/>
      </w:pPr>
      <w:rPr>
        <w:rFonts w:hint="default"/>
      </w:rPr>
    </w:lvl>
    <w:lvl w:ilvl="4">
      <w:numFmt w:val="bullet"/>
      <w:lvlText w:val="•"/>
      <w:lvlJc w:val="left"/>
      <w:pPr>
        <w:ind w:left="2935" w:hanging="250"/>
      </w:pPr>
      <w:rPr>
        <w:rFonts w:hint="default"/>
      </w:rPr>
    </w:lvl>
    <w:lvl w:ilvl="5">
      <w:numFmt w:val="bullet"/>
      <w:lvlText w:val="•"/>
      <w:lvlJc w:val="left"/>
      <w:pPr>
        <w:ind w:left="3713" w:hanging="250"/>
      </w:pPr>
      <w:rPr>
        <w:rFonts w:hint="default"/>
      </w:rPr>
    </w:lvl>
    <w:lvl w:ilvl="6">
      <w:numFmt w:val="bullet"/>
      <w:lvlText w:val="•"/>
      <w:lvlJc w:val="left"/>
      <w:pPr>
        <w:ind w:left="4491" w:hanging="250"/>
      </w:pPr>
      <w:rPr>
        <w:rFonts w:hint="default"/>
      </w:rPr>
    </w:lvl>
    <w:lvl w:ilvl="7">
      <w:numFmt w:val="bullet"/>
      <w:lvlText w:val="•"/>
      <w:lvlJc w:val="left"/>
      <w:pPr>
        <w:ind w:left="5269" w:hanging="250"/>
      </w:pPr>
      <w:rPr>
        <w:rFonts w:hint="default"/>
      </w:rPr>
    </w:lvl>
    <w:lvl w:ilvl="8">
      <w:numFmt w:val="bullet"/>
      <w:lvlText w:val="•"/>
      <w:lvlJc w:val="left"/>
      <w:pPr>
        <w:ind w:left="6047" w:hanging="250"/>
      </w:pPr>
      <w:rPr>
        <w:rFonts w:hint="default"/>
      </w:rPr>
    </w:lvl>
  </w:abstractNum>
  <w:abstractNum w:abstractNumId="44"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5" w15:restartNumberingAfterBreak="0">
    <w:nsid w:val="567515CE"/>
    <w:multiLevelType w:val="hybridMultilevel"/>
    <w:tmpl w:val="86C226B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6" w15:restartNumberingAfterBreak="0">
    <w:nsid w:val="56775941"/>
    <w:multiLevelType w:val="hybridMultilevel"/>
    <w:tmpl w:val="C66CA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9E45A76"/>
    <w:multiLevelType w:val="hybridMultilevel"/>
    <w:tmpl w:val="EF8C8B3A"/>
    <w:lvl w:ilvl="0" w:tplc="44FE460E">
      <w:start w:val="3"/>
      <w:numFmt w:val="bullet"/>
      <w:lvlText w:val=""/>
      <w:lvlJc w:val="left"/>
      <w:pPr>
        <w:ind w:left="720" w:hanging="360"/>
      </w:pPr>
      <w:rPr>
        <w:rFonts w:ascii="Symbol" w:eastAsia="SimSun" w:hAnsi="Symbo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8" w15:restartNumberingAfterBreak="0">
    <w:nsid w:val="5DB70DFF"/>
    <w:multiLevelType w:val="hybridMultilevel"/>
    <w:tmpl w:val="1E7850FE"/>
    <w:lvl w:ilvl="0" w:tplc="20000001">
      <w:start w:val="1"/>
      <w:numFmt w:val="bullet"/>
      <w:lvlText w:val=""/>
      <w:lvlJc w:val="left"/>
      <w:pPr>
        <w:ind w:left="768" w:hanging="360"/>
      </w:pPr>
      <w:rPr>
        <w:rFonts w:ascii="Symbol" w:hAnsi="Symbol" w:hint="default"/>
      </w:rPr>
    </w:lvl>
    <w:lvl w:ilvl="1" w:tplc="20000003" w:tentative="1">
      <w:start w:val="1"/>
      <w:numFmt w:val="bullet"/>
      <w:lvlText w:val="o"/>
      <w:lvlJc w:val="left"/>
      <w:pPr>
        <w:ind w:left="1488" w:hanging="360"/>
      </w:pPr>
      <w:rPr>
        <w:rFonts w:ascii="Courier New" w:hAnsi="Courier New" w:cs="Courier New" w:hint="default"/>
      </w:rPr>
    </w:lvl>
    <w:lvl w:ilvl="2" w:tplc="20000005" w:tentative="1">
      <w:start w:val="1"/>
      <w:numFmt w:val="bullet"/>
      <w:lvlText w:val=""/>
      <w:lvlJc w:val="left"/>
      <w:pPr>
        <w:ind w:left="2208" w:hanging="360"/>
      </w:pPr>
      <w:rPr>
        <w:rFonts w:ascii="Wingdings" w:hAnsi="Wingdings" w:hint="default"/>
      </w:rPr>
    </w:lvl>
    <w:lvl w:ilvl="3" w:tplc="20000001" w:tentative="1">
      <w:start w:val="1"/>
      <w:numFmt w:val="bullet"/>
      <w:lvlText w:val=""/>
      <w:lvlJc w:val="left"/>
      <w:pPr>
        <w:ind w:left="2928" w:hanging="360"/>
      </w:pPr>
      <w:rPr>
        <w:rFonts w:ascii="Symbol" w:hAnsi="Symbol" w:hint="default"/>
      </w:rPr>
    </w:lvl>
    <w:lvl w:ilvl="4" w:tplc="20000003" w:tentative="1">
      <w:start w:val="1"/>
      <w:numFmt w:val="bullet"/>
      <w:lvlText w:val="o"/>
      <w:lvlJc w:val="left"/>
      <w:pPr>
        <w:ind w:left="3648" w:hanging="360"/>
      </w:pPr>
      <w:rPr>
        <w:rFonts w:ascii="Courier New" w:hAnsi="Courier New" w:cs="Courier New" w:hint="default"/>
      </w:rPr>
    </w:lvl>
    <w:lvl w:ilvl="5" w:tplc="20000005" w:tentative="1">
      <w:start w:val="1"/>
      <w:numFmt w:val="bullet"/>
      <w:lvlText w:val=""/>
      <w:lvlJc w:val="left"/>
      <w:pPr>
        <w:ind w:left="4368" w:hanging="360"/>
      </w:pPr>
      <w:rPr>
        <w:rFonts w:ascii="Wingdings" w:hAnsi="Wingdings" w:hint="default"/>
      </w:rPr>
    </w:lvl>
    <w:lvl w:ilvl="6" w:tplc="20000001" w:tentative="1">
      <w:start w:val="1"/>
      <w:numFmt w:val="bullet"/>
      <w:lvlText w:val=""/>
      <w:lvlJc w:val="left"/>
      <w:pPr>
        <w:ind w:left="5088" w:hanging="360"/>
      </w:pPr>
      <w:rPr>
        <w:rFonts w:ascii="Symbol" w:hAnsi="Symbol" w:hint="default"/>
      </w:rPr>
    </w:lvl>
    <w:lvl w:ilvl="7" w:tplc="20000003" w:tentative="1">
      <w:start w:val="1"/>
      <w:numFmt w:val="bullet"/>
      <w:lvlText w:val="o"/>
      <w:lvlJc w:val="left"/>
      <w:pPr>
        <w:ind w:left="5808" w:hanging="360"/>
      </w:pPr>
      <w:rPr>
        <w:rFonts w:ascii="Courier New" w:hAnsi="Courier New" w:cs="Courier New" w:hint="default"/>
      </w:rPr>
    </w:lvl>
    <w:lvl w:ilvl="8" w:tplc="20000005" w:tentative="1">
      <w:start w:val="1"/>
      <w:numFmt w:val="bullet"/>
      <w:lvlText w:val=""/>
      <w:lvlJc w:val="left"/>
      <w:pPr>
        <w:ind w:left="6528" w:hanging="360"/>
      </w:pPr>
      <w:rPr>
        <w:rFonts w:ascii="Wingdings" w:hAnsi="Wingdings" w:hint="default"/>
      </w:rPr>
    </w:lvl>
  </w:abstractNum>
  <w:abstractNum w:abstractNumId="49" w15:restartNumberingAfterBreak="0">
    <w:nsid w:val="60EC190D"/>
    <w:multiLevelType w:val="hybridMultilevel"/>
    <w:tmpl w:val="755A77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23D0CDB"/>
    <w:multiLevelType w:val="hybridMultilevel"/>
    <w:tmpl w:val="9BEEA1B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1" w15:restartNumberingAfterBreak="0">
    <w:nsid w:val="63D360E5"/>
    <w:multiLevelType w:val="hybridMultilevel"/>
    <w:tmpl w:val="EFAE7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7004AC7"/>
    <w:multiLevelType w:val="hybridMultilevel"/>
    <w:tmpl w:val="08F2657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6919442E"/>
    <w:multiLevelType w:val="hybridMultilevel"/>
    <w:tmpl w:val="0D720EBC"/>
    <w:lvl w:ilvl="0" w:tplc="20000001">
      <w:start w:val="1"/>
      <w:numFmt w:val="bullet"/>
      <w:lvlText w:val=""/>
      <w:lvlJc w:val="left"/>
      <w:pPr>
        <w:ind w:left="1080" w:hanging="72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5" w15:restartNumberingAfterBreak="0">
    <w:nsid w:val="6DB03DB4"/>
    <w:multiLevelType w:val="hybridMultilevel"/>
    <w:tmpl w:val="A036B9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6"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57" w15:restartNumberingAfterBreak="0">
    <w:nsid w:val="72EB035B"/>
    <w:multiLevelType w:val="hybridMultilevel"/>
    <w:tmpl w:val="E5A200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8" w15:restartNumberingAfterBreak="0">
    <w:nsid w:val="747D2B7B"/>
    <w:multiLevelType w:val="hybridMultilevel"/>
    <w:tmpl w:val="A628D7F2"/>
    <w:lvl w:ilvl="0" w:tplc="D95C4DDA">
      <w:start w:val="1"/>
      <w:numFmt w:val="upperLetter"/>
      <w:pStyle w:val="Heading1Annex"/>
      <w:lvlText w:val="Annex %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9" w15:restartNumberingAfterBreak="0">
    <w:nsid w:val="77054D97"/>
    <w:multiLevelType w:val="hybridMultilevel"/>
    <w:tmpl w:val="BBE025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7CD4DAC"/>
    <w:multiLevelType w:val="hybridMultilevel"/>
    <w:tmpl w:val="E8F22BE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1"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2" w15:restartNumberingAfterBreak="0">
    <w:nsid w:val="7FAA5F42"/>
    <w:multiLevelType w:val="hybridMultilevel"/>
    <w:tmpl w:val="1E56103E"/>
    <w:lvl w:ilvl="0" w:tplc="80C8E00C">
      <w:numFmt w:val="bullet"/>
      <w:lvlText w:val=""/>
      <w:lvlJc w:val="left"/>
      <w:pPr>
        <w:ind w:left="720" w:hanging="360"/>
      </w:pPr>
      <w:rPr>
        <w:rFonts w:ascii="Symbol" w:eastAsia="SimSun" w:hAnsi="Symbol" w:cs="Times New Roman" w:hint="default"/>
      </w:rPr>
    </w:lvl>
    <w:lvl w:ilvl="1" w:tplc="99223262">
      <w:numFmt w:val="bullet"/>
      <w:lvlText w:val="•"/>
      <w:lvlJc w:val="left"/>
      <w:pPr>
        <w:ind w:left="1800" w:hanging="720"/>
      </w:pPr>
      <w:rPr>
        <w:rFonts w:ascii="Calibri" w:eastAsia="SimSun"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52"/>
  </w:num>
  <w:num w:numId="3">
    <w:abstractNumId w:val="25"/>
  </w:num>
  <w:num w:numId="4">
    <w:abstractNumId w:val="10"/>
  </w:num>
  <w:num w:numId="5">
    <w:abstractNumId w:val="16"/>
  </w:num>
  <w:num w:numId="6">
    <w:abstractNumId w:val="38"/>
  </w:num>
  <w:num w:numId="7">
    <w:abstractNumId w:val="14"/>
  </w:num>
  <w:num w:numId="8">
    <w:abstractNumId w:val="57"/>
  </w:num>
  <w:num w:numId="9">
    <w:abstractNumId w:val="15"/>
  </w:num>
  <w:num w:numId="10">
    <w:abstractNumId w:val="56"/>
  </w:num>
  <w:num w:numId="11">
    <w:abstractNumId w:val="61"/>
  </w:num>
  <w:num w:numId="12">
    <w:abstractNumId w:val="39"/>
  </w:num>
  <w:num w:numId="13">
    <w:abstractNumId w:val="31"/>
  </w:num>
  <w:num w:numId="14">
    <w:abstractNumId w:val="18"/>
  </w:num>
  <w:num w:numId="15">
    <w:abstractNumId w:val="41"/>
  </w:num>
  <w:num w:numId="16">
    <w:abstractNumId w:val="5"/>
  </w:num>
  <w:num w:numId="17">
    <w:abstractNumId w:val="44"/>
  </w:num>
  <w:num w:numId="18">
    <w:abstractNumId w:val="58"/>
  </w:num>
  <w:num w:numId="19">
    <w:abstractNumId w:val="7"/>
  </w:num>
  <w:num w:numId="20">
    <w:abstractNumId w:val="36"/>
  </w:num>
  <w:num w:numId="21">
    <w:abstractNumId w:val="26"/>
  </w:num>
  <w:num w:numId="22">
    <w:abstractNumId w:val="1"/>
  </w:num>
  <w:num w:numId="23">
    <w:abstractNumId w:val="20"/>
  </w:num>
  <w:num w:numId="24">
    <w:abstractNumId w:val="51"/>
  </w:num>
  <w:num w:numId="25">
    <w:abstractNumId w:val="35"/>
  </w:num>
  <w:num w:numId="26">
    <w:abstractNumId w:val="49"/>
  </w:num>
  <w:num w:numId="27">
    <w:abstractNumId w:val="62"/>
  </w:num>
  <w:num w:numId="28">
    <w:abstractNumId w:val="11"/>
  </w:num>
  <w:num w:numId="29">
    <w:abstractNumId w:val="2"/>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5"/>
  </w:num>
  <w:num w:numId="32">
    <w:abstractNumId w:val="29"/>
  </w:num>
  <w:num w:numId="3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9"/>
  </w:num>
  <w:num w:numId="35">
    <w:abstractNumId w:val="46"/>
  </w:num>
  <w:num w:numId="36">
    <w:abstractNumId w:val="8"/>
  </w:num>
  <w:num w:numId="37">
    <w:abstractNumId w:val="17"/>
  </w:num>
  <w:num w:numId="38">
    <w:abstractNumId w:val="24"/>
  </w:num>
  <w:num w:numId="39">
    <w:abstractNumId w:val="34"/>
  </w:num>
  <w:num w:numId="40">
    <w:abstractNumId w:val="23"/>
  </w:num>
  <w:num w:numId="41">
    <w:abstractNumId w:val="50"/>
  </w:num>
  <w:num w:numId="42">
    <w:abstractNumId w:val="4"/>
  </w:num>
  <w:num w:numId="43">
    <w:abstractNumId w:val="30"/>
  </w:num>
  <w:num w:numId="44">
    <w:abstractNumId w:val="54"/>
  </w:num>
  <w:num w:numId="45">
    <w:abstractNumId w:val="19"/>
  </w:num>
  <w:num w:numId="46">
    <w:abstractNumId w:val="13"/>
  </w:num>
  <w:num w:numId="47">
    <w:abstractNumId w:val="32"/>
  </w:num>
  <w:num w:numId="48">
    <w:abstractNumId w:val="12"/>
  </w:num>
  <w:num w:numId="49">
    <w:abstractNumId w:val="27"/>
  </w:num>
  <w:num w:numId="50">
    <w:abstractNumId w:val="37"/>
  </w:num>
  <w:num w:numId="51">
    <w:abstractNumId w:val="43"/>
  </w:num>
  <w:num w:numId="52">
    <w:abstractNumId w:val="22"/>
  </w:num>
  <w:num w:numId="53">
    <w:abstractNumId w:val="60"/>
  </w:num>
  <w:num w:numId="5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53"/>
  </w:num>
  <w:num w:numId="56">
    <w:abstractNumId w:val="47"/>
  </w:num>
  <w:num w:numId="5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42"/>
  </w:num>
  <w:num w:numId="59">
    <w:abstractNumId w:val="9"/>
  </w:num>
  <w:num w:numId="60">
    <w:abstractNumId w:val="3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28"/>
  </w:num>
  <w:num w:numId="62">
    <w:abstractNumId w:val="6"/>
  </w:num>
  <w:num w:numId="63">
    <w:abstractNumId w:val="45"/>
  </w:num>
  <w:num w:numId="64">
    <w:abstractNumId w:val="21"/>
  </w:num>
  <w:num w:numId="65">
    <w:abstractNumId w:val="55"/>
  </w:num>
  <w:num w:numId="66">
    <w:abstractNumId w:val="29"/>
  </w:num>
  <w:num w:numId="67">
    <w:abstractNumId w:val="0"/>
  </w:num>
  <w:num w:numId="68">
    <w:abstractNumId w:val="33"/>
  </w:num>
  <w:num w:numId="69">
    <w:abstractNumId w:val="48"/>
  </w:num>
  <w:num w:numId="70">
    <w:abstractNumId w:val="40"/>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110"/>
  <w:displayHorizontalDrawingGridEvery w:val="2"/>
  <w:noPunctuationKerning/>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YwNLe0NLcwMzU3tTBV0lEKTi0uzszPAymwNKgFAKwMrVUtAAAA"/>
  </w:docVars>
  <w:rsids>
    <w:rsidRoot w:val="00991FF7"/>
    <w:rsid w:val="00000CA8"/>
    <w:rsid w:val="00000E6F"/>
    <w:rsid w:val="00001093"/>
    <w:rsid w:val="00001158"/>
    <w:rsid w:val="00001D86"/>
    <w:rsid w:val="000021EC"/>
    <w:rsid w:val="00002746"/>
    <w:rsid w:val="0000278F"/>
    <w:rsid w:val="00002A5F"/>
    <w:rsid w:val="00002CC1"/>
    <w:rsid w:val="00002CE3"/>
    <w:rsid w:val="00002FE5"/>
    <w:rsid w:val="00003C72"/>
    <w:rsid w:val="00004157"/>
    <w:rsid w:val="00005041"/>
    <w:rsid w:val="00005125"/>
    <w:rsid w:val="00005456"/>
    <w:rsid w:val="000057AA"/>
    <w:rsid w:val="00005845"/>
    <w:rsid w:val="0000586A"/>
    <w:rsid w:val="00005AE1"/>
    <w:rsid w:val="00005D48"/>
    <w:rsid w:val="0000683B"/>
    <w:rsid w:val="00006EDA"/>
    <w:rsid w:val="000075A3"/>
    <w:rsid w:val="000077F2"/>
    <w:rsid w:val="00007B01"/>
    <w:rsid w:val="000101B0"/>
    <w:rsid w:val="0001021F"/>
    <w:rsid w:val="000107D3"/>
    <w:rsid w:val="0001093E"/>
    <w:rsid w:val="00010E68"/>
    <w:rsid w:val="000112A1"/>
    <w:rsid w:val="0001134C"/>
    <w:rsid w:val="0001168F"/>
    <w:rsid w:val="00011819"/>
    <w:rsid w:val="00011DBC"/>
    <w:rsid w:val="000122EA"/>
    <w:rsid w:val="000125B2"/>
    <w:rsid w:val="000131D9"/>
    <w:rsid w:val="00013523"/>
    <w:rsid w:val="00013ADE"/>
    <w:rsid w:val="00015653"/>
    <w:rsid w:val="00015860"/>
    <w:rsid w:val="00015B6A"/>
    <w:rsid w:val="00016649"/>
    <w:rsid w:val="000177F6"/>
    <w:rsid w:val="00017BFE"/>
    <w:rsid w:val="00017D90"/>
    <w:rsid w:val="00017F01"/>
    <w:rsid w:val="000205AF"/>
    <w:rsid w:val="00020AA0"/>
    <w:rsid w:val="00020B19"/>
    <w:rsid w:val="00021004"/>
    <w:rsid w:val="00021238"/>
    <w:rsid w:val="000217F5"/>
    <w:rsid w:val="00021B90"/>
    <w:rsid w:val="00022401"/>
    <w:rsid w:val="0002252F"/>
    <w:rsid w:val="000225BF"/>
    <w:rsid w:val="00022DE9"/>
    <w:rsid w:val="000230A3"/>
    <w:rsid w:val="00023435"/>
    <w:rsid w:val="000234A8"/>
    <w:rsid w:val="00023A76"/>
    <w:rsid w:val="00023C29"/>
    <w:rsid w:val="00024495"/>
    <w:rsid w:val="0002489D"/>
    <w:rsid w:val="00025012"/>
    <w:rsid w:val="0002530B"/>
    <w:rsid w:val="000254A3"/>
    <w:rsid w:val="00025C9A"/>
    <w:rsid w:val="00025E57"/>
    <w:rsid w:val="000260FF"/>
    <w:rsid w:val="00026455"/>
    <w:rsid w:val="0002661F"/>
    <w:rsid w:val="000266D2"/>
    <w:rsid w:val="000276EB"/>
    <w:rsid w:val="00027A4D"/>
    <w:rsid w:val="00030007"/>
    <w:rsid w:val="00030AD6"/>
    <w:rsid w:val="0003122B"/>
    <w:rsid w:val="000314C6"/>
    <w:rsid w:val="00031E16"/>
    <w:rsid w:val="00031E84"/>
    <w:rsid w:val="0003214C"/>
    <w:rsid w:val="00032241"/>
    <w:rsid w:val="00032E37"/>
    <w:rsid w:val="00032E96"/>
    <w:rsid w:val="00033869"/>
    <w:rsid w:val="00033EB5"/>
    <w:rsid w:val="00033F65"/>
    <w:rsid w:val="000341EA"/>
    <w:rsid w:val="00034508"/>
    <w:rsid w:val="000348DE"/>
    <w:rsid w:val="00034B29"/>
    <w:rsid w:val="0003544E"/>
    <w:rsid w:val="00035830"/>
    <w:rsid w:val="00035AA0"/>
    <w:rsid w:val="00035D96"/>
    <w:rsid w:val="0003646E"/>
    <w:rsid w:val="00036804"/>
    <w:rsid w:val="00036A5C"/>
    <w:rsid w:val="00036F60"/>
    <w:rsid w:val="0003763F"/>
    <w:rsid w:val="000377AB"/>
    <w:rsid w:val="0003782E"/>
    <w:rsid w:val="00037A3E"/>
    <w:rsid w:val="00037E21"/>
    <w:rsid w:val="00040511"/>
    <w:rsid w:val="00040B34"/>
    <w:rsid w:val="00040B5A"/>
    <w:rsid w:val="00041B17"/>
    <w:rsid w:val="00041E0C"/>
    <w:rsid w:val="00041FE0"/>
    <w:rsid w:val="00042698"/>
    <w:rsid w:val="00042883"/>
    <w:rsid w:val="00042BB9"/>
    <w:rsid w:val="00042C8A"/>
    <w:rsid w:val="00042CE4"/>
    <w:rsid w:val="00043249"/>
    <w:rsid w:val="0004344E"/>
    <w:rsid w:val="00043A4B"/>
    <w:rsid w:val="00044177"/>
    <w:rsid w:val="000444E3"/>
    <w:rsid w:val="0004450C"/>
    <w:rsid w:val="000445AD"/>
    <w:rsid w:val="00044654"/>
    <w:rsid w:val="00044655"/>
    <w:rsid w:val="00044B8D"/>
    <w:rsid w:val="00044BD9"/>
    <w:rsid w:val="00044FDD"/>
    <w:rsid w:val="000459A0"/>
    <w:rsid w:val="000464F1"/>
    <w:rsid w:val="00046804"/>
    <w:rsid w:val="00046CF8"/>
    <w:rsid w:val="00046ECF"/>
    <w:rsid w:val="000477B7"/>
    <w:rsid w:val="00050021"/>
    <w:rsid w:val="000509F3"/>
    <w:rsid w:val="00050A86"/>
    <w:rsid w:val="00050D84"/>
    <w:rsid w:val="0005135E"/>
    <w:rsid w:val="0005159D"/>
    <w:rsid w:val="00051A25"/>
    <w:rsid w:val="0005232E"/>
    <w:rsid w:val="000527DF"/>
    <w:rsid w:val="00052EF5"/>
    <w:rsid w:val="00053494"/>
    <w:rsid w:val="0005351F"/>
    <w:rsid w:val="000540EE"/>
    <w:rsid w:val="00054895"/>
    <w:rsid w:val="000548D9"/>
    <w:rsid w:val="000549A0"/>
    <w:rsid w:val="00054B0C"/>
    <w:rsid w:val="00054EB2"/>
    <w:rsid w:val="0005530F"/>
    <w:rsid w:val="00055372"/>
    <w:rsid w:val="000556B9"/>
    <w:rsid w:val="000556CB"/>
    <w:rsid w:val="0005571B"/>
    <w:rsid w:val="00055972"/>
    <w:rsid w:val="00055AC7"/>
    <w:rsid w:val="00055F28"/>
    <w:rsid w:val="00055F2C"/>
    <w:rsid w:val="00056113"/>
    <w:rsid w:val="000561E4"/>
    <w:rsid w:val="00056567"/>
    <w:rsid w:val="000565AB"/>
    <w:rsid w:val="00056B16"/>
    <w:rsid w:val="00056BA9"/>
    <w:rsid w:val="000575CF"/>
    <w:rsid w:val="00057E03"/>
    <w:rsid w:val="00057F1E"/>
    <w:rsid w:val="0006004C"/>
    <w:rsid w:val="0006010A"/>
    <w:rsid w:val="0006041E"/>
    <w:rsid w:val="00060D9A"/>
    <w:rsid w:val="00060E4F"/>
    <w:rsid w:val="00061536"/>
    <w:rsid w:val="00061B53"/>
    <w:rsid w:val="00062063"/>
    <w:rsid w:val="00062792"/>
    <w:rsid w:val="00062E78"/>
    <w:rsid w:val="00063262"/>
    <w:rsid w:val="00063762"/>
    <w:rsid w:val="00063935"/>
    <w:rsid w:val="00063D70"/>
    <w:rsid w:val="00063DD1"/>
    <w:rsid w:val="00063E7C"/>
    <w:rsid w:val="000640E2"/>
    <w:rsid w:val="00064A5C"/>
    <w:rsid w:val="00064A64"/>
    <w:rsid w:val="00064BBE"/>
    <w:rsid w:val="00064E3C"/>
    <w:rsid w:val="000650E8"/>
    <w:rsid w:val="0006562F"/>
    <w:rsid w:val="00065D8D"/>
    <w:rsid w:val="00066A40"/>
    <w:rsid w:val="00066A76"/>
    <w:rsid w:val="00066C4E"/>
    <w:rsid w:val="0006741E"/>
    <w:rsid w:val="0006793B"/>
    <w:rsid w:val="00067C2A"/>
    <w:rsid w:val="00067FC8"/>
    <w:rsid w:val="00070127"/>
    <w:rsid w:val="000705F6"/>
    <w:rsid w:val="00070B1A"/>
    <w:rsid w:val="0007137A"/>
    <w:rsid w:val="000715AE"/>
    <w:rsid w:val="00071E65"/>
    <w:rsid w:val="00071F11"/>
    <w:rsid w:val="00072768"/>
    <w:rsid w:val="000729D2"/>
    <w:rsid w:val="00072CB3"/>
    <w:rsid w:val="00072DC0"/>
    <w:rsid w:val="000734D7"/>
    <w:rsid w:val="000734EF"/>
    <w:rsid w:val="00073DB2"/>
    <w:rsid w:val="0007404F"/>
    <w:rsid w:val="00074456"/>
    <w:rsid w:val="00074763"/>
    <w:rsid w:val="0007479A"/>
    <w:rsid w:val="000748FE"/>
    <w:rsid w:val="00074B7D"/>
    <w:rsid w:val="00074D27"/>
    <w:rsid w:val="00074D55"/>
    <w:rsid w:val="00075056"/>
    <w:rsid w:val="00075100"/>
    <w:rsid w:val="00075324"/>
    <w:rsid w:val="000759D4"/>
    <w:rsid w:val="00075E6A"/>
    <w:rsid w:val="00075FD8"/>
    <w:rsid w:val="000761BB"/>
    <w:rsid w:val="000761BF"/>
    <w:rsid w:val="00077232"/>
    <w:rsid w:val="00077367"/>
    <w:rsid w:val="000800C4"/>
    <w:rsid w:val="00080BD1"/>
    <w:rsid w:val="00080EAA"/>
    <w:rsid w:val="00080F1E"/>
    <w:rsid w:val="000816B1"/>
    <w:rsid w:val="00081B5A"/>
    <w:rsid w:val="00082346"/>
    <w:rsid w:val="000824D6"/>
    <w:rsid w:val="00082B33"/>
    <w:rsid w:val="00082B40"/>
    <w:rsid w:val="00082E11"/>
    <w:rsid w:val="00082E59"/>
    <w:rsid w:val="0008309A"/>
    <w:rsid w:val="00083819"/>
    <w:rsid w:val="000843F3"/>
    <w:rsid w:val="00084531"/>
    <w:rsid w:val="0008485F"/>
    <w:rsid w:val="00084C30"/>
    <w:rsid w:val="00084E2B"/>
    <w:rsid w:val="00085230"/>
    <w:rsid w:val="00085792"/>
    <w:rsid w:val="0008623A"/>
    <w:rsid w:val="000867F9"/>
    <w:rsid w:val="00086C7E"/>
    <w:rsid w:val="00086D18"/>
    <w:rsid w:val="00086FA9"/>
    <w:rsid w:val="000879A6"/>
    <w:rsid w:val="000902FD"/>
    <w:rsid w:val="00090966"/>
    <w:rsid w:val="00090BF9"/>
    <w:rsid w:val="00090CD1"/>
    <w:rsid w:val="00090D3E"/>
    <w:rsid w:val="0009100C"/>
    <w:rsid w:val="0009107D"/>
    <w:rsid w:val="000915CD"/>
    <w:rsid w:val="000923DC"/>
    <w:rsid w:val="00093895"/>
    <w:rsid w:val="000938C2"/>
    <w:rsid w:val="00093CF1"/>
    <w:rsid w:val="000944FE"/>
    <w:rsid w:val="00094C1A"/>
    <w:rsid w:val="00094E53"/>
    <w:rsid w:val="00095885"/>
    <w:rsid w:val="00096087"/>
    <w:rsid w:val="00096807"/>
    <w:rsid w:val="00096C29"/>
    <w:rsid w:val="00097017"/>
    <w:rsid w:val="000971A7"/>
    <w:rsid w:val="000973F9"/>
    <w:rsid w:val="00097632"/>
    <w:rsid w:val="00097A1E"/>
    <w:rsid w:val="00097F0F"/>
    <w:rsid w:val="000A024F"/>
    <w:rsid w:val="000A0289"/>
    <w:rsid w:val="000A0830"/>
    <w:rsid w:val="000A08E0"/>
    <w:rsid w:val="000A0B46"/>
    <w:rsid w:val="000A0E18"/>
    <w:rsid w:val="000A0F4C"/>
    <w:rsid w:val="000A11F3"/>
    <w:rsid w:val="000A1533"/>
    <w:rsid w:val="000A153F"/>
    <w:rsid w:val="000A20A2"/>
    <w:rsid w:val="000A21B8"/>
    <w:rsid w:val="000A2A2D"/>
    <w:rsid w:val="000A2A3A"/>
    <w:rsid w:val="000A2C62"/>
    <w:rsid w:val="000A2F7D"/>
    <w:rsid w:val="000A308B"/>
    <w:rsid w:val="000A3778"/>
    <w:rsid w:val="000A4287"/>
    <w:rsid w:val="000A4415"/>
    <w:rsid w:val="000A44E4"/>
    <w:rsid w:val="000A4619"/>
    <w:rsid w:val="000A4779"/>
    <w:rsid w:val="000A47FB"/>
    <w:rsid w:val="000A498F"/>
    <w:rsid w:val="000A5408"/>
    <w:rsid w:val="000A5FFD"/>
    <w:rsid w:val="000A60FE"/>
    <w:rsid w:val="000A6186"/>
    <w:rsid w:val="000A6583"/>
    <w:rsid w:val="000A6A7D"/>
    <w:rsid w:val="000A6CEB"/>
    <w:rsid w:val="000A6D37"/>
    <w:rsid w:val="000A6EF8"/>
    <w:rsid w:val="000A74B2"/>
    <w:rsid w:val="000A798A"/>
    <w:rsid w:val="000A7B8A"/>
    <w:rsid w:val="000B088B"/>
    <w:rsid w:val="000B14C7"/>
    <w:rsid w:val="000B16F0"/>
    <w:rsid w:val="000B1BA8"/>
    <w:rsid w:val="000B307F"/>
    <w:rsid w:val="000B36AF"/>
    <w:rsid w:val="000B3967"/>
    <w:rsid w:val="000B3A46"/>
    <w:rsid w:val="000B3A90"/>
    <w:rsid w:val="000B3AA0"/>
    <w:rsid w:val="000B3D4F"/>
    <w:rsid w:val="000B4332"/>
    <w:rsid w:val="000B48A6"/>
    <w:rsid w:val="000B4C07"/>
    <w:rsid w:val="000B5072"/>
    <w:rsid w:val="000B508E"/>
    <w:rsid w:val="000B53E4"/>
    <w:rsid w:val="000B5523"/>
    <w:rsid w:val="000B5696"/>
    <w:rsid w:val="000B5E17"/>
    <w:rsid w:val="000B6775"/>
    <w:rsid w:val="000B69E0"/>
    <w:rsid w:val="000B69ED"/>
    <w:rsid w:val="000B7DEE"/>
    <w:rsid w:val="000C0415"/>
    <w:rsid w:val="000C06D6"/>
    <w:rsid w:val="000C1847"/>
    <w:rsid w:val="000C1D2C"/>
    <w:rsid w:val="000C22D3"/>
    <w:rsid w:val="000C237F"/>
    <w:rsid w:val="000C2571"/>
    <w:rsid w:val="000C2632"/>
    <w:rsid w:val="000C27AC"/>
    <w:rsid w:val="000C295E"/>
    <w:rsid w:val="000C310D"/>
    <w:rsid w:val="000C352C"/>
    <w:rsid w:val="000C3D1A"/>
    <w:rsid w:val="000C3FF2"/>
    <w:rsid w:val="000C498C"/>
    <w:rsid w:val="000C4DDD"/>
    <w:rsid w:val="000C506D"/>
    <w:rsid w:val="000C533E"/>
    <w:rsid w:val="000C53C5"/>
    <w:rsid w:val="000C5C1D"/>
    <w:rsid w:val="000C5DCF"/>
    <w:rsid w:val="000C5F12"/>
    <w:rsid w:val="000C66BF"/>
    <w:rsid w:val="000C78C6"/>
    <w:rsid w:val="000D00F9"/>
    <w:rsid w:val="000D048C"/>
    <w:rsid w:val="000D05BB"/>
    <w:rsid w:val="000D0818"/>
    <w:rsid w:val="000D0ABB"/>
    <w:rsid w:val="000D0FD6"/>
    <w:rsid w:val="000D1199"/>
    <w:rsid w:val="000D11EC"/>
    <w:rsid w:val="000D1449"/>
    <w:rsid w:val="000D1D65"/>
    <w:rsid w:val="000D1E42"/>
    <w:rsid w:val="000D1EE9"/>
    <w:rsid w:val="000D285B"/>
    <w:rsid w:val="000D2A90"/>
    <w:rsid w:val="000D2DF2"/>
    <w:rsid w:val="000D2E10"/>
    <w:rsid w:val="000D342F"/>
    <w:rsid w:val="000D3449"/>
    <w:rsid w:val="000D3D7D"/>
    <w:rsid w:val="000D43BE"/>
    <w:rsid w:val="000D451E"/>
    <w:rsid w:val="000D45FB"/>
    <w:rsid w:val="000D4D63"/>
    <w:rsid w:val="000D4E89"/>
    <w:rsid w:val="000D5052"/>
    <w:rsid w:val="000D534D"/>
    <w:rsid w:val="000D5385"/>
    <w:rsid w:val="000D5775"/>
    <w:rsid w:val="000D5E57"/>
    <w:rsid w:val="000D6334"/>
    <w:rsid w:val="000D639C"/>
    <w:rsid w:val="000D6539"/>
    <w:rsid w:val="000D65C1"/>
    <w:rsid w:val="000D6B97"/>
    <w:rsid w:val="000D6E20"/>
    <w:rsid w:val="000E010C"/>
    <w:rsid w:val="000E089B"/>
    <w:rsid w:val="000E0DAD"/>
    <w:rsid w:val="000E1653"/>
    <w:rsid w:val="000E2338"/>
    <w:rsid w:val="000E2363"/>
    <w:rsid w:val="000E2CEB"/>
    <w:rsid w:val="000E3117"/>
    <w:rsid w:val="000E3178"/>
    <w:rsid w:val="000E3C19"/>
    <w:rsid w:val="000E43F5"/>
    <w:rsid w:val="000E506E"/>
    <w:rsid w:val="000E5626"/>
    <w:rsid w:val="000E586B"/>
    <w:rsid w:val="000E596D"/>
    <w:rsid w:val="000E5B28"/>
    <w:rsid w:val="000E5DEC"/>
    <w:rsid w:val="000E6178"/>
    <w:rsid w:val="000E6481"/>
    <w:rsid w:val="000E6550"/>
    <w:rsid w:val="000E7618"/>
    <w:rsid w:val="000E7AD0"/>
    <w:rsid w:val="000F0E78"/>
    <w:rsid w:val="000F1225"/>
    <w:rsid w:val="000F17C2"/>
    <w:rsid w:val="000F1A04"/>
    <w:rsid w:val="000F225E"/>
    <w:rsid w:val="000F2B73"/>
    <w:rsid w:val="000F2C3A"/>
    <w:rsid w:val="000F3057"/>
    <w:rsid w:val="000F32EE"/>
    <w:rsid w:val="000F3503"/>
    <w:rsid w:val="000F4082"/>
    <w:rsid w:val="000F4475"/>
    <w:rsid w:val="000F468D"/>
    <w:rsid w:val="000F477E"/>
    <w:rsid w:val="000F4BD8"/>
    <w:rsid w:val="000F50C4"/>
    <w:rsid w:val="000F51C9"/>
    <w:rsid w:val="000F55A3"/>
    <w:rsid w:val="000F5920"/>
    <w:rsid w:val="000F5CDD"/>
    <w:rsid w:val="000F6317"/>
    <w:rsid w:val="000F635E"/>
    <w:rsid w:val="000F64F0"/>
    <w:rsid w:val="000F6504"/>
    <w:rsid w:val="000F6708"/>
    <w:rsid w:val="000F6944"/>
    <w:rsid w:val="000F6AFE"/>
    <w:rsid w:val="000F7580"/>
    <w:rsid w:val="000F797F"/>
    <w:rsid w:val="000F7F2E"/>
    <w:rsid w:val="0010116A"/>
    <w:rsid w:val="001013CF"/>
    <w:rsid w:val="001014C9"/>
    <w:rsid w:val="00101DC0"/>
    <w:rsid w:val="00101F60"/>
    <w:rsid w:val="00102505"/>
    <w:rsid w:val="00102C1E"/>
    <w:rsid w:val="00103E01"/>
    <w:rsid w:val="001047C6"/>
    <w:rsid w:val="00104B7C"/>
    <w:rsid w:val="00104F59"/>
    <w:rsid w:val="0010552B"/>
    <w:rsid w:val="00105D4D"/>
    <w:rsid w:val="00105EF0"/>
    <w:rsid w:val="001060F5"/>
    <w:rsid w:val="001068EA"/>
    <w:rsid w:val="00106D42"/>
    <w:rsid w:val="001071AE"/>
    <w:rsid w:val="00107472"/>
    <w:rsid w:val="00107D07"/>
    <w:rsid w:val="00107D79"/>
    <w:rsid w:val="00107F43"/>
    <w:rsid w:val="00110171"/>
    <w:rsid w:val="001106D9"/>
    <w:rsid w:val="001107FC"/>
    <w:rsid w:val="00110869"/>
    <w:rsid w:val="00110B0F"/>
    <w:rsid w:val="00110FDD"/>
    <w:rsid w:val="00111347"/>
    <w:rsid w:val="0011158A"/>
    <w:rsid w:val="00111710"/>
    <w:rsid w:val="00111777"/>
    <w:rsid w:val="00111F0E"/>
    <w:rsid w:val="001123E5"/>
    <w:rsid w:val="0011260C"/>
    <w:rsid w:val="00112655"/>
    <w:rsid w:val="001129BB"/>
    <w:rsid w:val="00112F30"/>
    <w:rsid w:val="00113106"/>
    <w:rsid w:val="001134AE"/>
    <w:rsid w:val="00113B22"/>
    <w:rsid w:val="0011459A"/>
    <w:rsid w:val="001149D1"/>
    <w:rsid w:val="00115A86"/>
    <w:rsid w:val="00115B6D"/>
    <w:rsid w:val="00115EED"/>
    <w:rsid w:val="001166C1"/>
    <w:rsid w:val="0011677C"/>
    <w:rsid w:val="0011725F"/>
    <w:rsid w:val="00117331"/>
    <w:rsid w:val="00117E23"/>
    <w:rsid w:val="001200C1"/>
    <w:rsid w:val="00120135"/>
    <w:rsid w:val="0012047E"/>
    <w:rsid w:val="0012070E"/>
    <w:rsid w:val="00121162"/>
    <w:rsid w:val="00121376"/>
    <w:rsid w:val="00121DBA"/>
    <w:rsid w:val="00122301"/>
    <w:rsid w:val="00122A58"/>
    <w:rsid w:val="00122C55"/>
    <w:rsid w:val="00123B59"/>
    <w:rsid w:val="00123E4F"/>
    <w:rsid w:val="00124080"/>
    <w:rsid w:val="0012486F"/>
    <w:rsid w:val="00124EF1"/>
    <w:rsid w:val="001252EE"/>
    <w:rsid w:val="0012547F"/>
    <w:rsid w:val="00125E42"/>
    <w:rsid w:val="00126D7F"/>
    <w:rsid w:val="00127376"/>
    <w:rsid w:val="001274AB"/>
    <w:rsid w:val="00127659"/>
    <w:rsid w:val="00127866"/>
    <w:rsid w:val="00127D0D"/>
    <w:rsid w:val="001304B5"/>
    <w:rsid w:val="00130603"/>
    <w:rsid w:val="0013084B"/>
    <w:rsid w:val="001309D3"/>
    <w:rsid w:val="001310FB"/>
    <w:rsid w:val="00131A2B"/>
    <w:rsid w:val="00133018"/>
    <w:rsid w:val="00133637"/>
    <w:rsid w:val="00133902"/>
    <w:rsid w:val="00133E71"/>
    <w:rsid w:val="001348D8"/>
    <w:rsid w:val="00134F15"/>
    <w:rsid w:val="00135392"/>
    <w:rsid w:val="00135706"/>
    <w:rsid w:val="00137012"/>
    <w:rsid w:val="001378F4"/>
    <w:rsid w:val="00137C16"/>
    <w:rsid w:val="00137F67"/>
    <w:rsid w:val="001407D4"/>
    <w:rsid w:val="00140A3A"/>
    <w:rsid w:val="00140EE1"/>
    <w:rsid w:val="00140FA1"/>
    <w:rsid w:val="001411C6"/>
    <w:rsid w:val="00141B89"/>
    <w:rsid w:val="00142791"/>
    <w:rsid w:val="00142B69"/>
    <w:rsid w:val="00142D7F"/>
    <w:rsid w:val="00142F51"/>
    <w:rsid w:val="00143544"/>
    <w:rsid w:val="0014393D"/>
    <w:rsid w:val="00143B00"/>
    <w:rsid w:val="00143B91"/>
    <w:rsid w:val="00143F97"/>
    <w:rsid w:val="001441A6"/>
    <w:rsid w:val="001443C3"/>
    <w:rsid w:val="001447EB"/>
    <w:rsid w:val="00145010"/>
    <w:rsid w:val="001455F1"/>
    <w:rsid w:val="00145816"/>
    <w:rsid w:val="00146321"/>
    <w:rsid w:val="00146350"/>
    <w:rsid w:val="0014662F"/>
    <w:rsid w:val="0014673C"/>
    <w:rsid w:val="00146C58"/>
    <w:rsid w:val="00146D5A"/>
    <w:rsid w:val="00146DAE"/>
    <w:rsid w:val="00147529"/>
    <w:rsid w:val="00147A34"/>
    <w:rsid w:val="0015056C"/>
    <w:rsid w:val="00150C86"/>
    <w:rsid w:val="00151D6E"/>
    <w:rsid w:val="0015241F"/>
    <w:rsid w:val="00152D55"/>
    <w:rsid w:val="00153020"/>
    <w:rsid w:val="00153156"/>
    <w:rsid w:val="00153794"/>
    <w:rsid w:val="00153DFA"/>
    <w:rsid w:val="00153E02"/>
    <w:rsid w:val="001543B9"/>
    <w:rsid w:val="00154A8D"/>
    <w:rsid w:val="00155458"/>
    <w:rsid w:val="00155610"/>
    <w:rsid w:val="0015568A"/>
    <w:rsid w:val="00155911"/>
    <w:rsid w:val="00155BF2"/>
    <w:rsid w:val="00155D98"/>
    <w:rsid w:val="0015600E"/>
    <w:rsid w:val="001561CE"/>
    <w:rsid w:val="001566BA"/>
    <w:rsid w:val="0015686F"/>
    <w:rsid w:val="00156889"/>
    <w:rsid w:val="00156C3E"/>
    <w:rsid w:val="001571F9"/>
    <w:rsid w:val="0015737E"/>
    <w:rsid w:val="001578F0"/>
    <w:rsid w:val="00157CFD"/>
    <w:rsid w:val="00157E85"/>
    <w:rsid w:val="0016045E"/>
    <w:rsid w:val="00160F58"/>
    <w:rsid w:val="001610A9"/>
    <w:rsid w:val="001614E1"/>
    <w:rsid w:val="001617DC"/>
    <w:rsid w:val="00161809"/>
    <w:rsid w:val="0016180B"/>
    <w:rsid w:val="00161D0E"/>
    <w:rsid w:val="00161D11"/>
    <w:rsid w:val="00161F04"/>
    <w:rsid w:val="00162560"/>
    <w:rsid w:val="001625D0"/>
    <w:rsid w:val="00162B97"/>
    <w:rsid w:val="00162DAA"/>
    <w:rsid w:val="001638EC"/>
    <w:rsid w:val="001643BA"/>
    <w:rsid w:val="00164D85"/>
    <w:rsid w:val="00166EBA"/>
    <w:rsid w:val="00167101"/>
    <w:rsid w:val="00167F00"/>
    <w:rsid w:val="0017005A"/>
    <w:rsid w:val="00170DFF"/>
    <w:rsid w:val="001712A5"/>
    <w:rsid w:val="00172B6E"/>
    <w:rsid w:val="00172BBE"/>
    <w:rsid w:val="00172E20"/>
    <w:rsid w:val="00173799"/>
    <w:rsid w:val="0017399E"/>
    <w:rsid w:val="001748C7"/>
    <w:rsid w:val="00174F5B"/>
    <w:rsid w:val="00174F8B"/>
    <w:rsid w:val="00175054"/>
    <w:rsid w:val="00175107"/>
    <w:rsid w:val="001754B1"/>
    <w:rsid w:val="001755F4"/>
    <w:rsid w:val="00175918"/>
    <w:rsid w:val="00175D47"/>
    <w:rsid w:val="00176215"/>
    <w:rsid w:val="0017626D"/>
    <w:rsid w:val="0017651C"/>
    <w:rsid w:val="00176704"/>
    <w:rsid w:val="0017674A"/>
    <w:rsid w:val="00176DEF"/>
    <w:rsid w:val="001772CC"/>
    <w:rsid w:val="0017747C"/>
    <w:rsid w:val="001774AD"/>
    <w:rsid w:val="00177A33"/>
    <w:rsid w:val="00177F10"/>
    <w:rsid w:val="0018089C"/>
    <w:rsid w:val="00181244"/>
    <w:rsid w:val="00181BBD"/>
    <w:rsid w:val="00181C67"/>
    <w:rsid w:val="00181D07"/>
    <w:rsid w:val="00181E7A"/>
    <w:rsid w:val="0018211F"/>
    <w:rsid w:val="00182292"/>
    <w:rsid w:val="00182574"/>
    <w:rsid w:val="00182770"/>
    <w:rsid w:val="00182CA1"/>
    <w:rsid w:val="00182F08"/>
    <w:rsid w:val="0018347B"/>
    <w:rsid w:val="0018378C"/>
    <w:rsid w:val="00183CCE"/>
    <w:rsid w:val="0018444E"/>
    <w:rsid w:val="00184AA4"/>
    <w:rsid w:val="00184B18"/>
    <w:rsid w:val="00184BCE"/>
    <w:rsid w:val="0018509D"/>
    <w:rsid w:val="00185527"/>
    <w:rsid w:val="001859BD"/>
    <w:rsid w:val="00185D47"/>
    <w:rsid w:val="00185FE5"/>
    <w:rsid w:val="0018637D"/>
    <w:rsid w:val="00186638"/>
    <w:rsid w:val="00186839"/>
    <w:rsid w:val="00186D11"/>
    <w:rsid w:val="00190860"/>
    <w:rsid w:val="001909E5"/>
    <w:rsid w:val="00190F06"/>
    <w:rsid w:val="00191A6D"/>
    <w:rsid w:val="00191D2F"/>
    <w:rsid w:val="00191F69"/>
    <w:rsid w:val="00192102"/>
    <w:rsid w:val="001922D9"/>
    <w:rsid w:val="001923E3"/>
    <w:rsid w:val="00192618"/>
    <w:rsid w:val="00192812"/>
    <w:rsid w:val="001928E5"/>
    <w:rsid w:val="00192BA6"/>
    <w:rsid w:val="00192C15"/>
    <w:rsid w:val="001939D9"/>
    <w:rsid w:val="00193BFC"/>
    <w:rsid w:val="00194333"/>
    <w:rsid w:val="00194BA9"/>
    <w:rsid w:val="00194EE1"/>
    <w:rsid w:val="00195A2C"/>
    <w:rsid w:val="00195F54"/>
    <w:rsid w:val="00196502"/>
    <w:rsid w:val="00196AC3"/>
    <w:rsid w:val="00196E4C"/>
    <w:rsid w:val="0019742F"/>
    <w:rsid w:val="0019755B"/>
    <w:rsid w:val="00197758"/>
    <w:rsid w:val="00197B08"/>
    <w:rsid w:val="00197DE3"/>
    <w:rsid w:val="001A0917"/>
    <w:rsid w:val="001A1150"/>
    <w:rsid w:val="001A1494"/>
    <w:rsid w:val="001A17A2"/>
    <w:rsid w:val="001A1BF2"/>
    <w:rsid w:val="001A1E4A"/>
    <w:rsid w:val="001A2021"/>
    <w:rsid w:val="001A2986"/>
    <w:rsid w:val="001A2B30"/>
    <w:rsid w:val="001A2BD5"/>
    <w:rsid w:val="001A2D26"/>
    <w:rsid w:val="001A30B3"/>
    <w:rsid w:val="001A31BB"/>
    <w:rsid w:val="001A3E87"/>
    <w:rsid w:val="001A4224"/>
    <w:rsid w:val="001A44AC"/>
    <w:rsid w:val="001A497E"/>
    <w:rsid w:val="001A49C9"/>
    <w:rsid w:val="001A579A"/>
    <w:rsid w:val="001A584F"/>
    <w:rsid w:val="001A594E"/>
    <w:rsid w:val="001A5CD7"/>
    <w:rsid w:val="001A60F2"/>
    <w:rsid w:val="001A657C"/>
    <w:rsid w:val="001A6DAD"/>
    <w:rsid w:val="001A7113"/>
    <w:rsid w:val="001A7214"/>
    <w:rsid w:val="001A753E"/>
    <w:rsid w:val="001A7833"/>
    <w:rsid w:val="001A7D44"/>
    <w:rsid w:val="001A7F0F"/>
    <w:rsid w:val="001B030E"/>
    <w:rsid w:val="001B063C"/>
    <w:rsid w:val="001B0DA6"/>
    <w:rsid w:val="001B0DD9"/>
    <w:rsid w:val="001B0F8B"/>
    <w:rsid w:val="001B14E4"/>
    <w:rsid w:val="001B1BCE"/>
    <w:rsid w:val="001B1F1C"/>
    <w:rsid w:val="001B22CF"/>
    <w:rsid w:val="001B25DA"/>
    <w:rsid w:val="001B263B"/>
    <w:rsid w:val="001B2A95"/>
    <w:rsid w:val="001B2AEE"/>
    <w:rsid w:val="001B3329"/>
    <w:rsid w:val="001B35A9"/>
    <w:rsid w:val="001B3622"/>
    <w:rsid w:val="001B375A"/>
    <w:rsid w:val="001B3854"/>
    <w:rsid w:val="001B3A9E"/>
    <w:rsid w:val="001B43BC"/>
    <w:rsid w:val="001B56A2"/>
    <w:rsid w:val="001B570B"/>
    <w:rsid w:val="001B59B8"/>
    <w:rsid w:val="001B5A8E"/>
    <w:rsid w:val="001B6223"/>
    <w:rsid w:val="001B6B6B"/>
    <w:rsid w:val="001B7015"/>
    <w:rsid w:val="001B7A8D"/>
    <w:rsid w:val="001B7E32"/>
    <w:rsid w:val="001C05C4"/>
    <w:rsid w:val="001C0BBD"/>
    <w:rsid w:val="001C127F"/>
    <w:rsid w:val="001C19EE"/>
    <w:rsid w:val="001C1A16"/>
    <w:rsid w:val="001C2765"/>
    <w:rsid w:val="001C2A72"/>
    <w:rsid w:val="001C2B79"/>
    <w:rsid w:val="001C4A7A"/>
    <w:rsid w:val="001C502A"/>
    <w:rsid w:val="001C505F"/>
    <w:rsid w:val="001C53C6"/>
    <w:rsid w:val="001C5460"/>
    <w:rsid w:val="001C576B"/>
    <w:rsid w:val="001C577A"/>
    <w:rsid w:val="001C59BB"/>
    <w:rsid w:val="001C59E3"/>
    <w:rsid w:val="001C5D45"/>
    <w:rsid w:val="001C60E3"/>
    <w:rsid w:val="001C621F"/>
    <w:rsid w:val="001C64FC"/>
    <w:rsid w:val="001C677D"/>
    <w:rsid w:val="001C7024"/>
    <w:rsid w:val="001C729F"/>
    <w:rsid w:val="001C7E82"/>
    <w:rsid w:val="001D042C"/>
    <w:rsid w:val="001D085B"/>
    <w:rsid w:val="001D0B24"/>
    <w:rsid w:val="001D0B98"/>
    <w:rsid w:val="001D0F8F"/>
    <w:rsid w:val="001D124F"/>
    <w:rsid w:val="001D15C1"/>
    <w:rsid w:val="001D1AF9"/>
    <w:rsid w:val="001D1E16"/>
    <w:rsid w:val="001D1EB5"/>
    <w:rsid w:val="001D2097"/>
    <w:rsid w:val="001D2681"/>
    <w:rsid w:val="001D2DA5"/>
    <w:rsid w:val="001D3679"/>
    <w:rsid w:val="001D38E2"/>
    <w:rsid w:val="001D45FA"/>
    <w:rsid w:val="001D525E"/>
    <w:rsid w:val="001D57DA"/>
    <w:rsid w:val="001D5B18"/>
    <w:rsid w:val="001D734E"/>
    <w:rsid w:val="001D7438"/>
    <w:rsid w:val="001D7CB4"/>
    <w:rsid w:val="001D7DEC"/>
    <w:rsid w:val="001D7E35"/>
    <w:rsid w:val="001E0176"/>
    <w:rsid w:val="001E0A62"/>
    <w:rsid w:val="001E0F01"/>
    <w:rsid w:val="001E1DBB"/>
    <w:rsid w:val="001E2955"/>
    <w:rsid w:val="001E3017"/>
    <w:rsid w:val="001E361F"/>
    <w:rsid w:val="001E3650"/>
    <w:rsid w:val="001E401E"/>
    <w:rsid w:val="001E4241"/>
    <w:rsid w:val="001E5562"/>
    <w:rsid w:val="001E5CAF"/>
    <w:rsid w:val="001E5EDA"/>
    <w:rsid w:val="001E61F7"/>
    <w:rsid w:val="001E6563"/>
    <w:rsid w:val="001E78BD"/>
    <w:rsid w:val="001E7C29"/>
    <w:rsid w:val="001F0014"/>
    <w:rsid w:val="001F0209"/>
    <w:rsid w:val="001F0632"/>
    <w:rsid w:val="001F0D77"/>
    <w:rsid w:val="001F0DE9"/>
    <w:rsid w:val="001F0F81"/>
    <w:rsid w:val="001F131B"/>
    <w:rsid w:val="001F1973"/>
    <w:rsid w:val="001F1D15"/>
    <w:rsid w:val="001F1F0B"/>
    <w:rsid w:val="001F2622"/>
    <w:rsid w:val="001F3CAE"/>
    <w:rsid w:val="001F4133"/>
    <w:rsid w:val="001F44E0"/>
    <w:rsid w:val="001F49F2"/>
    <w:rsid w:val="001F4B06"/>
    <w:rsid w:val="001F4BA5"/>
    <w:rsid w:val="001F51F2"/>
    <w:rsid w:val="001F5C06"/>
    <w:rsid w:val="001F61BB"/>
    <w:rsid w:val="001F627B"/>
    <w:rsid w:val="001F6948"/>
    <w:rsid w:val="001F6D22"/>
    <w:rsid w:val="001F6E52"/>
    <w:rsid w:val="001F6E9C"/>
    <w:rsid w:val="001F731B"/>
    <w:rsid w:val="001F77EF"/>
    <w:rsid w:val="001F7909"/>
    <w:rsid w:val="001F7B4A"/>
    <w:rsid w:val="001F7BE8"/>
    <w:rsid w:val="001F7C63"/>
    <w:rsid w:val="00200AF5"/>
    <w:rsid w:val="002018E2"/>
    <w:rsid w:val="00201B77"/>
    <w:rsid w:val="002022B1"/>
    <w:rsid w:val="00202506"/>
    <w:rsid w:val="002026B3"/>
    <w:rsid w:val="0020280D"/>
    <w:rsid w:val="00202887"/>
    <w:rsid w:val="00202E24"/>
    <w:rsid w:val="0020310F"/>
    <w:rsid w:val="0020342A"/>
    <w:rsid w:val="0020351D"/>
    <w:rsid w:val="00203894"/>
    <w:rsid w:val="00203A61"/>
    <w:rsid w:val="00203C11"/>
    <w:rsid w:val="00203D29"/>
    <w:rsid w:val="002044AF"/>
    <w:rsid w:val="0020477E"/>
    <w:rsid w:val="00204C05"/>
    <w:rsid w:val="00204D2A"/>
    <w:rsid w:val="00204E38"/>
    <w:rsid w:val="00204E48"/>
    <w:rsid w:val="00205234"/>
    <w:rsid w:val="0020563D"/>
    <w:rsid w:val="00205829"/>
    <w:rsid w:val="00205A02"/>
    <w:rsid w:val="00205B65"/>
    <w:rsid w:val="00206020"/>
    <w:rsid w:val="0020620C"/>
    <w:rsid w:val="002068FA"/>
    <w:rsid w:val="00206DEB"/>
    <w:rsid w:val="002075FC"/>
    <w:rsid w:val="002078C3"/>
    <w:rsid w:val="002102D3"/>
    <w:rsid w:val="002106F7"/>
    <w:rsid w:val="00210C35"/>
    <w:rsid w:val="00210CB9"/>
    <w:rsid w:val="00211045"/>
    <w:rsid w:val="00211050"/>
    <w:rsid w:val="00211331"/>
    <w:rsid w:val="0021154A"/>
    <w:rsid w:val="00211AE1"/>
    <w:rsid w:val="00211BEA"/>
    <w:rsid w:val="0021263D"/>
    <w:rsid w:val="002126D2"/>
    <w:rsid w:val="002128F2"/>
    <w:rsid w:val="00212B0D"/>
    <w:rsid w:val="00212D7B"/>
    <w:rsid w:val="00212E44"/>
    <w:rsid w:val="00212ED0"/>
    <w:rsid w:val="0021324D"/>
    <w:rsid w:val="00213AEE"/>
    <w:rsid w:val="00213B3C"/>
    <w:rsid w:val="00214157"/>
    <w:rsid w:val="0021429D"/>
    <w:rsid w:val="00214320"/>
    <w:rsid w:val="002154DE"/>
    <w:rsid w:val="002157E8"/>
    <w:rsid w:val="0021581F"/>
    <w:rsid w:val="00216441"/>
    <w:rsid w:val="002165C8"/>
    <w:rsid w:val="002168D9"/>
    <w:rsid w:val="0021693A"/>
    <w:rsid w:val="00216D60"/>
    <w:rsid w:val="00217471"/>
    <w:rsid w:val="00217ECB"/>
    <w:rsid w:val="00220076"/>
    <w:rsid w:val="0022073C"/>
    <w:rsid w:val="00221020"/>
    <w:rsid w:val="00221CCB"/>
    <w:rsid w:val="00221DB3"/>
    <w:rsid w:val="00221ED4"/>
    <w:rsid w:val="0022282B"/>
    <w:rsid w:val="00222B80"/>
    <w:rsid w:val="00222EDB"/>
    <w:rsid w:val="00223504"/>
    <w:rsid w:val="00223598"/>
    <w:rsid w:val="0022359C"/>
    <w:rsid w:val="002238F0"/>
    <w:rsid w:val="002239A2"/>
    <w:rsid w:val="00223E6D"/>
    <w:rsid w:val="002242E9"/>
    <w:rsid w:val="00224417"/>
    <w:rsid w:val="00224808"/>
    <w:rsid w:val="00224938"/>
    <w:rsid w:val="00224D61"/>
    <w:rsid w:val="00224EC2"/>
    <w:rsid w:val="00224EDA"/>
    <w:rsid w:val="002250C4"/>
    <w:rsid w:val="00225248"/>
    <w:rsid w:val="00225AFE"/>
    <w:rsid w:val="00225FDF"/>
    <w:rsid w:val="002260A4"/>
    <w:rsid w:val="0022640B"/>
    <w:rsid w:val="00226584"/>
    <w:rsid w:val="00226ADE"/>
    <w:rsid w:val="00226D1B"/>
    <w:rsid w:val="00227811"/>
    <w:rsid w:val="00227D00"/>
    <w:rsid w:val="0023034D"/>
    <w:rsid w:val="00231380"/>
    <w:rsid w:val="00231598"/>
    <w:rsid w:val="00231632"/>
    <w:rsid w:val="002317AF"/>
    <w:rsid w:val="00231A45"/>
    <w:rsid w:val="00231B6E"/>
    <w:rsid w:val="00231BF4"/>
    <w:rsid w:val="00231CF8"/>
    <w:rsid w:val="00231E36"/>
    <w:rsid w:val="00232BFD"/>
    <w:rsid w:val="00233370"/>
    <w:rsid w:val="00233434"/>
    <w:rsid w:val="00233B1C"/>
    <w:rsid w:val="00233F11"/>
    <w:rsid w:val="002343A9"/>
    <w:rsid w:val="00234446"/>
    <w:rsid w:val="00234A45"/>
    <w:rsid w:val="00234D78"/>
    <w:rsid w:val="00234E8E"/>
    <w:rsid w:val="00234E92"/>
    <w:rsid w:val="002355A3"/>
    <w:rsid w:val="00235AE4"/>
    <w:rsid w:val="00235CFD"/>
    <w:rsid w:val="00235F3D"/>
    <w:rsid w:val="002365DA"/>
    <w:rsid w:val="0023688D"/>
    <w:rsid w:val="002369B0"/>
    <w:rsid w:val="00236A33"/>
    <w:rsid w:val="00236A4C"/>
    <w:rsid w:val="00236E5E"/>
    <w:rsid w:val="0023745E"/>
    <w:rsid w:val="0023749D"/>
    <w:rsid w:val="00237F51"/>
    <w:rsid w:val="00237FE5"/>
    <w:rsid w:val="00240789"/>
    <w:rsid w:val="00240BF7"/>
    <w:rsid w:val="00241C38"/>
    <w:rsid w:val="00241C46"/>
    <w:rsid w:val="00241CD9"/>
    <w:rsid w:val="002424EA"/>
    <w:rsid w:val="00242B34"/>
    <w:rsid w:val="00243069"/>
    <w:rsid w:val="0024349A"/>
    <w:rsid w:val="002438E1"/>
    <w:rsid w:val="00243DCD"/>
    <w:rsid w:val="00243F4E"/>
    <w:rsid w:val="00244A80"/>
    <w:rsid w:val="00244DB8"/>
    <w:rsid w:val="002460CE"/>
    <w:rsid w:val="002462B2"/>
    <w:rsid w:val="00246539"/>
    <w:rsid w:val="00247019"/>
    <w:rsid w:val="00247233"/>
    <w:rsid w:val="00247730"/>
    <w:rsid w:val="002479BE"/>
    <w:rsid w:val="00247DAF"/>
    <w:rsid w:val="00247F33"/>
    <w:rsid w:val="00247F9C"/>
    <w:rsid w:val="002500DF"/>
    <w:rsid w:val="002500E5"/>
    <w:rsid w:val="00250105"/>
    <w:rsid w:val="0025068F"/>
    <w:rsid w:val="00250821"/>
    <w:rsid w:val="00251CD1"/>
    <w:rsid w:val="00251D3E"/>
    <w:rsid w:val="0025203A"/>
    <w:rsid w:val="0025249D"/>
    <w:rsid w:val="0025249E"/>
    <w:rsid w:val="002525B0"/>
    <w:rsid w:val="002528C2"/>
    <w:rsid w:val="002528E7"/>
    <w:rsid w:val="00252D8E"/>
    <w:rsid w:val="00253370"/>
    <w:rsid w:val="002535D2"/>
    <w:rsid w:val="002537BB"/>
    <w:rsid w:val="002538D8"/>
    <w:rsid w:val="00254005"/>
    <w:rsid w:val="00254F19"/>
    <w:rsid w:val="00254F75"/>
    <w:rsid w:val="00254FC2"/>
    <w:rsid w:val="0025519D"/>
    <w:rsid w:val="00255261"/>
    <w:rsid w:val="0025575A"/>
    <w:rsid w:val="00255ACB"/>
    <w:rsid w:val="00255C9D"/>
    <w:rsid w:val="00256251"/>
    <w:rsid w:val="002572B9"/>
    <w:rsid w:val="002572BD"/>
    <w:rsid w:val="002603D4"/>
    <w:rsid w:val="00260802"/>
    <w:rsid w:val="00260E56"/>
    <w:rsid w:val="002610BE"/>
    <w:rsid w:val="002612D0"/>
    <w:rsid w:val="0026145E"/>
    <w:rsid w:val="0026179E"/>
    <w:rsid w:val="00261972"/>
    <w:rsid w:val="00261C22"/>
    <w:rsid w:val="00261EC6"/>
    <w:rsid w:val="00261F8B"/>
    <w:rsid w:val="00262BFE"/>
    <w:rsid w:val="00262E1F"/>
    <w:rsid w:val="00262EB3"/>
    <w:rsid w:val="0026345D"/>
    <w:rsid w:val="00263814"/>
    <w:rsid w:val="002638A7"/>
    <w:rsid w:val="00263A79"/>
    <w:rsid w:val="00263CD5"/>
    <w:rsid w:val="002641E8"/>
    <w:rsid w:val="002647B5"/>
    <w:rsid w:val="00264BC5"/>
    <w:rsid w:val="00264CC6"/>
    <w:rsid w:val="002654C0"/>
    <w:rsid w:val="002657EC"/>
    <w:rsid w:val="002657EF"/>
    <w:rsid w:val="002664A8"/>
    <w:rsid w:val="002664F9"/>
    <w:rsid w:val="002666AF"/>
    <w:rsid w:val="002668C2"/>
    <w:rsid w:val="00266ED9"/>
    <w:rsid w:val="00267145"/>
    <w:rsid w:val="002675A6"/>
    <w:rsid w:val="00267856"/>
    <w:rsid w:val="0027074B"/>
    <w:rsid w:val="002709F1"/>
    <w:rsid w:val="00270A6C"/>
    <w:rsid w:val="00270C8B"/>
    <w:rsid w:val="00270E7B"/>
    <w:rsid w:val="0027113A"/>
    <w:rsid w:val="00271599"/>
    <w:rsid w:val="00271CFC"/>
    <w:rsid w:val="0027234E"/>
    <w:rsid w:val="00272435"/>
    <w:rsid w:val="0027284E"/>
    <w:rsid w:val="00272864"/>
    <w:rsid w:val="00272ABC"/>
    <w:rsid w:val="00273186"/>
    <w:rsid w:val="0027330C"/>
    <w:rsid w:val="00273F23"/>
    <w:rsid w:val="00274187"/>
    <w:rsid w:val="002745C0"/>
    <w:rsid w:val="00274AD6"/>
    <w:rsid w:val="00275338"/>
    <w:rsid w:val="00275F2B"/>
    <w:rsid w:val="00275FDE"/>
    <w:rsid w:val="00276422"/>
    <w:rsid w:val="002765D8"/>
    <w:rsid w:val="002767C0"/>
    <w:rsid w:val="002770D7"/>
    <w:rsid w:val="00277114"/>
    <w:rsid w:val="00277383"/>
    <w:rsid w:val="002773F8"/>
    <w:rsid w:val="0027762A"/>
    <w:rsid w:val="00277764"/>
    <w:rsid w:val="002777BA"/>
    <w:rsid w:val="00277DFD"/>
    <w:rsid w:val="002805B8"/>
    <w:rsid w:val="00280818"/>
    <w:rsid w:val="0028083C"/>
    <w:rsid w:val="00280A24"/>
    <w:rsid w:val="002811A8"/>
    <w:rsid w:val="0028122F"/>
    <w:rsid w:val="002813DA"/>
    <w:rsid w:val="002814C1"/>
    <w:rsid w:val="00281A49"/>
    <w:rsid w:val="00281E03"/>
    <w:rsid w:val="0028206C"/>
    <w:rsid w:val="0028279F"/>
    <w:rsid w:val="00282E27"/>
    <w:rsid w:val="00282E2B"/>
    <w:rsid w:val="002833B1"/>
    <w:rsid w:val="00283533"/>
    <w:rsid w:val="00283BC6"/>
    <w:rsid w:val="002842AC"/>
    <w:rsid w:val="0028478A"/>
    <w:rsid w:val="00284BA8"/>
    <w:rsid w:val="00284C4E"/>
    <w:rsid w:val="0028508A"/>
    <w:rsid w:val="0028508B"/>
    <w:rsid w:val="00285302"/>
    <w:rsid w:val="00285A7D"/>
    <w:rsid w:val="0028658B"/>
    <w:rsid w:val="002867FD"/>
    <w:rsid w:val="00286816"/>
    <w:rsid w:val="00286E02"/>
    <w:rsid w:val="00287241"/>
    <w:rsid w:val="002872A4"/>
    <w:rsid w:val="00287491"/>
    <w:rsid w:val="0028789A"/>
    <w:rsid w:val="0028799E"/>
    <w:rsid w:val="00290145"/>
    <w:rsid w:val="0029044E"/>
    <w:rsid w:val="002906AA"/>
    <w:rsid w:val="002908AB"/>
    <w:rsid w:val="00291BF8"/>
    <w:rsid w:val="00292737"/>
    <w:rsid w:val="00292797"/>
    <w:rsid w:val="00292A1D"/>
    <w:rsid w:val="0029361B"/>
    <w:rsid w:val="00293643"/>
    <w:rsid w:val="00293647"/>
    <w:rsid w:val="00293C23"/>
    <w:rsid w:val="00293D40"/>
    <w:rsid w:val="00293E2C"/>
    <w:rsid w:val="0029401D"/>
    <w:rsid w:val="0029467D"/>
    <w:rsid w:val="0029468D"/>
    <w:rsid w:val="002946AC"/>
    <w:rsid w:val="00294CE8"/>
    <w:rsid w:val="0029500E"/>
    <w:rsid w:val="002954E9"/>
    <w:rsid w:val="002956B3"/>
    <w:rsid w:val="002957FC"/>
    <w:rsid w:val="00295809"/>
    <w:rsid w:val="00295B70"/>
    <w:rsid w:val="00296497"/>
    <w:rsid w:val="0029674B"/>
    <w:rsid w:val="00296C6F"/>
    <w:rsid w:val="00296D6B"/>
    <w:rsid w:val="00297A17"/>
    <w:rsid w:val="00297B5C"/>
    <w:rsid w:val="00297E7A"/>
    <w:rsid w:val="002A0032"/>
    <w:rsid w:val="002A05C3"/>
    <w:rsid w:val="002A0900"/>
    <w:rsid w:val="002A118F"/>
    <w:rsid w:val="002A1376"/>
    <w:rsid w:val="002A1923"/>
    <w:rsid w:val="002A2552"/>
    <w:rsid w:val="002A2615"/>
    <w:rsid w:val="002A28A0"/>
    <w:rsid w:val="002A2F09"/>
    <w:rsid w:val="002A3373"/>
    <w:rsid w:val="002A3557"/>
    <w:rsid w:val="002A3786"/>
    <w:rsid w:val="002A38BB"/>
    <w:rsid w:val="002A528B"/>
    <w:rsid w:val="002A55F4"/>
    <w:rsid w:val="002A56ED"/>
    <w:rsid w:val="002A58F3"/>
    <w:rsid w:val="002A5AD3"/>
    <w:rsid w:val="002A5C87"/>
    <w:rsid w:val="002A5D81"/>
    <w:rsid w:val="002A5E27"/>
    <w:rsid w:val="002A5FA6"/>
    <w:rsid w:val="002A62FD"/>
    <w:rsid w:val="002A6344"/>
    <w:rsid w:val="002A6BEC"/>
    <w:rsid w:val="002A7441"/>
    <w:rsid w:val="002A77E6"/>
    <w:rsid w:val="002A79D3"/>
    <w:rsid w:val="002B0F37"/>
    <w:rsid w:val="002B1456"/>
    <w:rsid w:val="002B19A4"/>
    <w:rsid w:val="002B1FDE"/>
    <w:rsid w:val="002B25F0"/>
    <w:rsid w:val="002B2ABA"/>
    <w:rsid w:val="002B2F14"/>
    <w:rsid w:val="002B2F61"/>
    <w:rsid w:val="002B3222"/>
    <w:rsid w:val="002B32E3"/>
    <w:rsid w:val="002B3466"/>
    <w:rsid w:val="002B3CFB"/>
    <w:rsid w:val="002B43A2"/>
    <w:rsid w:val="002B4784"/>
    <w:rsid w:val="002B48FA"/>
    <w:rsid w:val="002B4E49"/>
    <w:rsid w:val="002B505C"/>
    <w:rsid w:val="002B51C9"/>
    <w:rsid w:val="002B5220"/>
    <w:rsid w:val="002B5ABD"/>
    <w:rsid w:val="002B5DE9"/>
    <w:rsid w:val="002B62CB"/>
    <w:rsid w:val="002B6694"/>
    <w:rsid w:val="002B6846"/>
    <w:rsid w:val="002B734C"/>
    <w:rsid w:val="002B7966"/>
    <w:rsid w:val="002B7E61"/>
    <w:rsid w:val="002C052E"/>
    <w:rsid w:val="002C0609"/>
    <w:rsid w:val="002C0F24"/>
    <w:rsid w:val="002C133E"/>
    <w:rsid w:val="002C151A"/>
    <w:rsid w:val="002C1804"/>
    <w:rsid w:val="002C23EF"/>
    <w:rsid w:val="002C27BE"/>
    <w:rsid w:val="002C2DE0"/>
    <w:rsid w:val="002C3867"/>
    <w:rsid w:val="002C3DE5"/>
    <w:rsid w:val="002C3F19"/>
    <w:rsid w:val="002C47C5"/>
    <w:rsid w:val="002C49B0"/>
    <w:rsid w:val="002C510E"/>
    <w:rsid w:val="002C5B77"/>
    <w:rsid w:val="002C629B"/>
    <w:rsid w:val="002C63CE"/>
    <w:rsid w:val="002C6461"/>
    <w:rsid w:val="002C64A4"/>
    <w:rsid w:val="002C67F2"/>
    <w:rsid w:val="002C69AE"/>
    <w:rsid w:val="002C69D8"/>
    <w:rsid w:val="002C7073"/>
    <w:rsid w:val="002C765D"/>
    <w:rsid w:val="002C7ACA"/>
    <w:rsid w:val="002D01A6"/>
    <w:rsid w:val="002D0513"/>
    <w:rsid w:val="002D16C4"/>
    <w:rsid w:val="002D17F8"/>
    <w:rsid w:val="002D2257"/>
    <w:rsid w:val="002D25F7"/>
    <w:rsid w:val="002D2714"/>
    <w:rsid w:val="002D2AAF"/>
    <w:rsid w:val="002D32CE"/>
    <w:rsid w:val="002D345E"/>
    <w:rsid w:val="002D34A4"/>
    <w:rsid w:val="002D38E5"/>
    <w:rsid w:val="002D3CE9"/>
    <w:rsid w:val="002D3DDA"/>
    <w:rsid w:val="002D421E"/>
    <w:rsid w:val="002D47C3"/>
    <w:rsid w:val="002D4975"/>
    <w:rsid w:val="002D49C9"/>
    <w:rsid w:val="002D49DD"/>
    <w:rsid w:val="002D4A31"/>
    <w:rsid w:val="002D4B05"/>
    <w:rsid w:val="002D4DF8"/>
    <w:rsid w:val="002D5383"/>
    <w:rsid w:val="002D5860"/>
    <w:rsid w:val="002D5993"/>
    <w:rsid w:val="002D59BE"/>
    <w:rsid w:val="002D5B80"/>
    <w:rsid w:val="002D608A"/>
    <w:rsid w:val="002D624A"/>
    <w:rsid w:val="002D72F3"/>
    <w:rsid w:val="002D7431"/>
    <w:rsid w:val="002D752D"/>
    <w:rsid w:val="002D78F3"/>
    <w:rsid w:val="002D7ADF"/>
    <w:rsid w:val="002E02BD"/>
    <w:rsid w:val="002E0522"/>
    <w:rsid w:val="002E0D33"/>
    <w:rsid w:val="002E16CD"/>
    <w:rsid w:val="002E1796"/>
    <w:rsid w:val="002E1C7E"/>
    <w:rsid w:val="002E1CC5"/>
    <w:rsid w:val="002E1D0B"/>
    <w:rsid w:val="002E21E5"/>
    <w:rsid w:val="002E2536"/>
    <w:rsid w:val="002E2FB7"/>
    <w:rsid w:val="002E337C"/>
    <w:rsid w:val="002E43AD"/>
    <w:rsid w:val="002E48FD"/>
    <w:rsid w:val="002E4990"/>
    <w:rsid w:val="002E4F8C"/>
    <w:rsid w:val="002E59B2"/>
    <w:rsid w:val="002E617F"/>
    <w:rsid w:val="002E6666"/>
    <w:rsid w:val="002E7733"/>
    <w:rsid w:val="002F00EC"/>
    <w:rsid w:val="002F01E0"/>
    <w:rsid w:val="002F1903"/>
    <w:rsid w:val="002F1AC5"/>
    <w:rsid w:val="002F1D35"/>
    <w:rsid w:val="002F241D"/>
    <w:rsid w:val="002F3084"/>
    <w:rsid w:val="002F35C5"/>
    <w:rsid w:val="002F3600"/>
    <w:rsid w:val="002F3761"/>
    <w:rsid w:val="002F3C93"/>
    <w:rsid w:val="002F4203"/>
    <w:rsid w:val="002F4657"/>
    <w:rsid w:val="002F4685"/>
    <w:rsid w:val="002F4718"/>
    <w:rsid w:val="002F5065"/>
    <w:rsid w:val="002F5094"/>
    <w:rsid w:val="002F5D75"/>
    <w:rsid w:val="002F6148"/>
    <w:rsid w:val="002F650D"/>
    <w:rsid w:val="002F7027"/>
    <w:rsid w:val="002F7A47"/>
    <w:rsid w:val="002F7BF3"/>
    <w:rsid w:val="002F7D93"/>
    <w:rsid w:val="0030009F"/>
    <w:rsid w:val="0030092A"/>
    <w:rsid w:val="00301044"/>
    <w:rsid w:val="003011A0"/>
    <w:rsid w:val="003018AE"/>
    <w:rsid w:val="00301FDD"/>
    <w:rsid w:val="003020BD"/>
    <w:rsid w:val="00302277"/>
    <w:rsid w:val="00302288"/>
    <w:rsid w:val="003024B7"/>
    <w:rsid w:val="003027DB"/>
    <w:rsid w:val="0030398D"/>
    <w:rsid w:val="003039EF"/>
    <w:rsid w:val="00303C7B"/>
    <w:rsid w:val="00304259"/>
    <w:rsid w:val="003047FF"/>
    <w:rsid w:val="003055CB"/>
    <w:rsid w:val="00305738"/>
    <w:rsid w:val="00305A10"/>
    <w:rsid w:val="00306048"/>
    <w:rsid w:val="003065F7"/>
    <w:rsid w:val="0030661A"/>
    <w:rsid w:val="00306C5C"/>
    <w:rsid w:val="00306E2C"/>
    <w:rsid w:val="0030798F"/>
    <w:rsid w:val="00307B5A"/>
    <w:rsid w:val="00307D82"/>
    <w:rsid w:val="003101EF"/>
    <w:rsid w:val="003107C2"/>
    <w:rsid w:val="00310B69"/>
    <w:rsid w:val="003117E5"/>
    <w:rsid w:val="00311FFB"/>
    <w:rsid w:val="003122C4"/>
    <w:rsid w:val="00314AB8"/>
    <w:rsid w:val="00314B45"/>
    <w:rsid w:val="00315ADA"/>
    <w:rsid w:val="00315C4E"/>
    <w:rsid w:val="00315D14"/>
    <w:rsid w:val="003160C0"/>
    <w:rsid w:val="003164E5"/>
    <w:rsid w:val="00317025"/>
    <w:rsid w:val="0031715A"/>
    <w:rsid w:val="003172FF"/>
    <w:rsid w:val="0031730F"/>
    <w:rsid w:val="0031784F"/>
    <w:rsid w:val="00317881"/>
    <w:rsid w:val="003179FD"/>
    <w:rsid w:val="00317FEC"/>
    <w:rsid w:val="00320044"/>
    <w:rsid w:val="0032007D"/>
    <w:rsid w:val="00320666"/>
    <w:rsid w:val="003209B7"/>
    <w:rsid w:val="00320DF2"/>
    <w:rsid w:val="00321457"/>
    <w:rsid w:val="0032183A"/>
    <w:rsid w:val="00322406"/>
    <w:rsid w:val="0032260E"/>
    <w:rsid w:val="00322B04"/>
    <w:rsid w:val="00322B55"/>
    <w:rsid w:val="00323437"/>
    <w:rsid w:val="003234CA"/>
    <w:rsid w:val="00323613"/>
    <w:rsid w:val="003240CF"/>
    <w:rsid w:val="0032451E"/>
    <w:rsid w:val="00324873"/>
    <w:rsid w:val="00324E58"/>
    <w:rsid w:val="003250AD"/>
    <w:rsid w:val="003255CA"/>
    <w:rsid w:val="003259DE"/>
    <w:rsid w:val="0032735B"/>
    <w:rsid w:val="00327754"/>
    <w:rsid w:val="00327BDD"/>
    <w:rsid w:val="00327DB4"/>
    <w:rsid w:val="0033072B"/>
    <w:rsid w:val="00330818"/>
    <w:rsid w:val="00330863"/>
    <w:rsid w:val="00331487"/>
    <w:rsid w:val="003315F6"/>
    <w:rsid w:val="003316A1"/>
    <w:rsid w:val="00331AD5"/>
    <w:rsid w:val="00331BEE"/>
    <w:rsid w:val="0033211B"/>
    <w:rsid w:val="0033222E"/>
    <w:rsid w:val="00332519"/>
    <w:rsid w:val="0033295F"/>
    <w:rsid w:val="00333636"/>
    <w:rsid w:val="003336F0"/>
    <w:rsid w:val="003336FB"/>
    <w:rsid w:val="0033391A"/>
    <w:rsid w:val="00333AB1"/>
    <w:rsid w:val="00333FCA"/>
    <w:rsid w:val="0033444C"/>
    <w:rsid w:val="0033479E"/>
    <w:rsid w:val="00335154"/>
    <w:rsid w:val="00335A0C"/>
    <w:rsid w:val="00335E8B"/>
    <w:rsid w:val="0033635D"/>
    <w:rsid w:val="003364CC"/>
    <w:rsid w:val="003366A6"/>
    <w:rsid w:val="00336AEE"/>
    <w:rsid w:val="00336B96"/>
    <w:rsid w:val="00336C31"/>
    <w:rsid w:val="00336CA4"/>
    <w:rsid w:val="0033712F"/>
    <w:rsid w:val="003373E7"/>
    <w:rsid w:val="003374DA"/>
    <w:rsid w:val="003375C3"/>
    <w:rsid w:val="00337768"/>
    <w:rsid w:val="00337AEC"/>
    <w:rsid w:val="003401ED"/>
    <w:rsid w:val="00340781"/>
    <w:rsid w:val="00340A20"/>
    <w:rsid w:val="00340C25"/>
    <w:rsid w:val="00340D98"/>
    <w:rsid w:val="00340E23"/>
    <w:rsid w:val="00341005"/>
    <w:rsid w:val="003416D9"/>
    <w:rsid w:val="0034178C"/>
    <w:rsid w:val="00341D7C"/>
    <w:rsid w:val="003421CC"/>
    <w:rsid w:val="003421EB"/>
    <w:rsid w:val="0034324F"/>
    <w:rsid w:val="0034342B"/>
    <w:rsid w:val="003436D8"/>
    <w:rsid w:val="00343A13"/>
    <w:rsid w:val="00343CCA"/>
    <w:rsid w:val="00344458"/>
    <w:rsid w:val="0034481F"/>
    <w:rsid w:val="00344F5D"/>
    <w:rsid w:val="0034575E"/>
    <w:rsid w:val="00345FF5"/>
    <w:rsid w:val="00346B25"/>
    <w:rsid w:val="00346DFA"/>
    <w:rsid w:val="00346F20"/>
    <w:rsid w:val="003470C2"/>
    <w:rsid w:val="00347790"/>
    <w:rsid w:val="00347998"/>
    <w:rsid w:val="00347F8D"/>
    <w:rsid w:val="00347FAB"/>
    <w:rsid w:val="0035027B"/>
    <w:rsid w:val="003512CF"/>
    <w:rsid w:val="00351537"/>
    <w:rsid w:val="003515EF"/>
    <w:rsid w:val="00351AC2"/>
    <w:rsid w:val="0035249E"/>
    <w:rsid w:val="00352526"/>
    <w:rsid w:val="00352558"/>
    <w:rsid w:val="0035273E"/>
    <w:rsid w:val="00352E0D"/>
    <w:rsid w:val="00352F6E"/>
    <w:rsid w:val="003531C7"/>
    <w:rsid w:val="00353542"/>
    <w:rsid w:val="00353CB0"/>
    <w:rsid w:val="00353F26"/>
    <w:rsid w:val="0035406A"/>
    <w:rsid w:val="0035489D"/>
    <w:rsid w:val="0035491B"/>
    <w:rsid w:val="00354C15"/>
    <w:rsid w:val="00354F0E"/>
    <w:rsid w:val="00355B1D"/>
    <w:rsid w:val="00355D08"/>
    <w:rsid w:val="00355D46"/>
    <w:rsid w:val="00356039"/>
    <w:rsid w:val="003564F2"/>
    <w:rsid w:val="00356510"/>
    <w:rsid w:val="003565C2"/>
    <w:rsid w:val="00356775"/>
    <w:rsid w:val="003567A2"/>
    <w:rsid w:val="00356BB7"/>
    <w:rsid w:val="003571CD"/>
    <w:rsid w:val="0035786D"/>
    <w:rsid w:val="00357938"/>
    <w:rsid w:val="00357C53"/>
    <w:rsid w:val="00357F46"/>
    <w:rsid w:val="0036013C"/>
    <w:rsid w:val="00361028"/>
    <w:rsid w:val="0036165F"/>
    <w:rsid w:val="00361728"/>
    <w:rsid w:val="0036189E"/>
    <w:rsid w:val="003622A7"/>
    <w:rsid w:val="00362677"/>
    <w:rsid w:val="00362855"/>
    <w:rsid w:val="00363B0B"/>
    <w:rsid w:val="00363D15"/>
    <w:rsid w:val="00363D28"/>
    <w:rsid w:val="00363DBD"/>
    <w:rsid w:val="003640F7"/>
    <w:rsid w:val="00364485"/>
    <w:rsid w:val="00364990"/>
    <w:rsid w:val="003650FF"/>
    <w:rsid w:val="0036517D"/>
    <w:rsid w:val="00365385"/>
    <w:rsid w:val="00365FC2"/>
    <w:rsid w:val="0036604F"/>
    <w:rsid w:val="003669F4"/>
    <w:rsid w:val="00366A54"/>
    <w:rsid w:val="003670B6"/>
    <w:rsid w:val="003673A0"/>
    <w:rsid w:val="00367508"/>
    <w:rsid w:val="0036756A"/>
    <w:rsid w:val="00367AD4"/>
    <w:rsid w:val="0037015A"/>
    <w:rsid w:val="003707A4"/>
    <w:rsid w:val="0037132E"/>
    <w:rsid w:val="003714D3"/>
    <w:rsid w:val="00371B8F"/>
    <w:rsid w:val="003721DB"/>
    <w:rsid w:val="0037228D"/>
    <w:rsid w:val="003723DF"/>
    <w:rsid w:val="0037247E"/>
    <w:rsid w:val="00372FF7"/>
    <w:rsid w:val="00373232"/>
    <w:rsid w:val="00373750"/>
    <w:rsid w:val="00374009"/>
    <w:rsid w:val="00374126"/>
    <w:rsid w:val="00374482"/>
    <w:rsid w:val="003747AD"/>
    <w:rsid w:val="0037480C"/>
    <w:rsid w:val="00374CBE"/>
    <w:rsid w:val="003750DD"/>
    <w:rsid w:val="0037534B"/>
    <w:rsid w:val="003758BF"/>
    <w:rsid w:val="003758CA"/>
    <w:rsid w:val="003758D5"/>
    <w:rsid w:val="00376100"/>
    <w:rsid w:val="00376BD5"/>
    <w:rsid w:val="003770A9"/>
    <w:rsid w:val="00377357"/>
    <w:rsid w:val="0037737A"/>
    <w:rsid w:val="003777AE"/>
    <w:rsid w:val="003801B9"/>
    <w:rsid w:val="003806E9"/>
    <w:rsid w:val="00380786"/>
    <w:rsid w:val="00380B7C"/>
    <w:rsid w:val="00380F6A"/>
    <w:rsid w:val="003810DA"/>
    <w:rsid w:val="003811C1"/>
    <w:rsid w:val="0038146D"/>
    <w:rsid w:val="00381757"/>
    <w:rsid w:val="003821A7"/>
    <w:rsid w:val="00382CA0"/>
    <w:rsid w:val="00382D11"/>
    <w:rsid w:val="003831E3"/>
    <w:rsid w:val="00383AAE"/>
    <w:rsid w:val="00383E4E"/>
    <w:rsid w:val="003840D3"/>
    <w:rsid w:val="0038417E"/>
    <w:rsid w:val="003847E4"/>
    <w:rsid w:val="00385212"/>
    <w:rsid w:val="00385BFD"/>
    <w:rsid w:val="00385F64"/>
    <w:rsid w:val="0038611F"/>
    <w:rsid w:val="00386971"/>
    <w:rsid w:val="00386F0C"/>
    <w:rsid w:val="00386F9A"/>
    <w:rsid w:val="00387287"/>
    <w:rsid w:val="00387429"/>
    <w:rsid w:val="00387486"/>
    <w:rsid w:val="003875E8"/>
    <w:rsid w:val="00387C67"/>
    <w:rsid w:val="00387E71"/>
    <w:rsid w:val="00391F78"/>
    <w:rsid w:val="00392188"/>
    <w:rsid w:val="00392560"/>
    <w:rsid w:val="003929D6"/>
    <w:rsid w:val="00392E99"/>
    <w:rsid w:val="00393241"/>
    <w:rsid w:val="00393350"/>
    <w:rsid w:val="00393652"/>
    <w:rsid w:val="003942EE"/>
    <w:rsid w:val="00394C21"/>
    <w:rsid w:val="0039516A"/>
    <w:rsid w:val="0039547D"/>
    <w:rsid w:val="003954AC"/>
    <w:rsid w:val="0039626C"/>
    <w:rsid w:val="003963B5"/>
    <w:rsid w:val="00396601"/>
    <w:rsid w:val="00396EB2"/>
    <w:rsid w:val="003970BC"/>
    <w:rsid w:val="003977F6"/>
    <w:rsid w:val="0039788B"/>
    <w:rsid w:val="00397AAF"/>
    <w:rsid w:val="00397DE6"/>
    <w:rsid w:val="003A01F2"/>
    <w:rsid w:val="003A0751"/>
    <w:rsid w:val="003A0FAF"/>
    <w:rsid w:val="003A102F"/>
    <w:rsid w:val="003A11EA"/>
    <w:rsid w:val="003A171F"/>
    <w:rsid w:val="003A17A6"/>
    <w:rsid w:val="003A1BE9"/>
    <w:rsid w:val="003A1C9A"/>
    <w:rsid w:val="003A1DB2"/>
    <w:rsid w:val="003A2690"/>
    <w:rsid w:val="003A2789"/>
    <w:rsid w:val="003A3403"/>
    <w:rsid w:val="003A3C58"/>
    <w:rsid w:val="003A4074"/>
    <w:rsid w:val="003A466E"/>
    <w:rsid w:val="003A46A8"/>
    <w:rsid w:val="003A4A0C"/>
    <w:rsid w:val="003A4A19"/>
    <w:rsid w:val="003A5219"/>
    <w:rsid w:val="003A5299"/>
    <w:rsid w:val="003A5372"/>
    <w:rsid w:val="003A54A5"/>
    <w:rsid w:val="003A592A"/>
    <w:rsid w:val="003A5B9D"/>
    <w:rsid w:val="003A68B4"/>
    <w:rsid w:val="003A6FFD"/>
    <w:rsid w:val="003A70F8"/>
    <w:rsid w:val="003A7204"/>
    <w:rsid w:val="003A7211"/>
    <w:rsid w:val="003A77C8"/>
    <w:rsid w:val="003A78A8"/>
    <w:rsid w:val="003A7F91"/>
    <w:rsid w:val="003B0129"/>
    <w:rsid w:val="003B036B"/>
    <w:rsid w:val="003B0440"/>
    <w:rsid w:val="003B0971"/>
    <w:rsid w:val="003B0B3E"/>
    <w:rsid w:val="003B0B3F"/>
    <w:rsid w:val="003B0E68"/>
    <w:rsid w:val="003B11C3"/>
    <w:rsid w:val="003B17C5"/>
    <w:rsid w:val="003B1B69"/>
    <w:rsid w:val="003B2136"/>
    <w:rsid w:val="003B215C"/>
    <w:rsid w:val="003B21CA"/>
    <w:rsid w:val="003B2233"/>
    <w:rsid w:val="003B2A79"/>
    <w:rsid w:val="003B2F3A"/>
    <w:rsid w:val="003B321C"/>
    <w:rsid w:val="003B32FC"/>
    <w:rsid w:val="003B37D0"/>
    <w:rsid w:val="003B417F"/>
    <w:rsid w:val="003B4345"/>
    <w:rsid w:val="003B45DC"/>
    <w:rsid w:val="003B45E9"/>
    <w:rsid w:val="003B468A"/>
    <w:rsid w:val="003B46BA"/>
    <w:rsid w:val="003B4DEC"/>
    <w:rsid w:val="003B54FD"/>
    <w:rsid w:val="003B5C2D"/>
    <w:rsid w:val="003B5D0A"/>
    <w:rsid w:val="003B6162"/>
    <w:rsid w:val="003B6528"/>
    <w:rsid w:val="003B6735"/>
    <w:rsid w:val="003B68DF"/>
    <w:rsid w:val="003B69B4"/>
    <w:rsid w:val="003B753C"/>
    <w:rsid w:val="003B7A89"/>
    <w:rsid w:val="003B7B82"/>
    <w:rsid w:val="003B7D62"/>
    <w:rsid w:val="003C0371"/>
    <w:rsid w:val="003C0446"/>
    <w:rsid w:val="003C0568"/>
    <w:rsid w:val="003C0C73"/>
    <w:rsid w:val="003C0EA7"/>
    <w:rsid w:val="003C1611"/>
    <w:rsid w:val="003C1C76"/>
    <w:rsid w:val="003C2877"/>
    <w:rsid w:val="003C290D"/>
    <w:rsid w:val="003C2BF3"/>
    <w:rsid w:val="003C2D66"/>
    <w:rsid w:val="003C2F90"/>
    <w:rsid w:val="003C3B22"/>
    <w:rsid w:val="003C3E2F"/>
    <w:rsid w:val="003C4B11"/>
    <w:rsid w:val="003C4FE3"/>
    <w:rsid w:val="003C500C"/>
    <w:rsid w:val="003C505C"/>
    <w:rsid w:val="003C5620"/>
    <w:rsid w:val="003C586A"/>
    <w:rsid w:val="003C5AB9"/>
    <w:rsid w:val="003C5C6E"/>
    <w:rsid w:val="003C64D3"/>
    <w:rsid w:val="003C6F09"/>
    <w:rsid w:val="003C7C1A"/>
    <w:rsid w:val="003D09AA"/>
    <w:rsid w:val="003D2B97"/>
    <w:rsid w:val="003D2C23"/>
    <w:rsid w:val="003D3E2D"/>
    <w:rsid w:val="003D41A4"/>
    <w:rsid w:val="003D445B"/>
    <w:rsid w:val="003D461A"/>
    <w:rsid w:val="003D4868"/>
    <w:rsid w:val="003D4903"/>
    <w:rsid w:val="003D4A6D"/>
    <w:rsid w:val="003D53D6"/>
    <w:rsid w:val="003D5B3A"/>
    <w:rsid w:val="003D5F07"/>
    <w:rsid w:val="003D6AD1"/>
    <w:rsid w:val="003D6C8A"/>
    <w:rsid w:val="003D6E31"/>
    <w:rsid w:val="003D6FE3"/>
    <w:rsid w:val="003D77D8"/>
    <w:rsid w:val="003D7DA2"/>
    <w:rsid w:val="003E0327"/>
    <w:rsid w:val="003E03CE"/>
    <w:rsid w:val="003E0CDB"/>
    <w:rsid w:val="003E0DB2"/>
    <w:rsid w:val="003E12A1"/>
    <w:rsid w:val="003E15B4"/>
    <w:rsid w:val="003E1C96"/>
    <w:rsid w:val="003E1CBA"/>
    <w:rsid w:val="003E1F71"/>
    <w:rsid w:val="003E2279"/>
    <w:rsid w:val="003E266B"/>
    <w:rsid w:val="003E29DE"/>
    <w:rsid w:val="003E2B56"/>
    <w:rsid w:val="003E3ABA"/>
    <w:rsid w:val="003E5B2E"/>
    <w:rsid w:val="003E5C8B"/>
    <w:rsid w:val="003E5E73"/>
    <w:rsid w:val="003E6089"/>
    <w:rsid w:val="003E6193"/>
    <w:rsid w:val="003E6699"/>
    <w:rsid w:val="003E6852"/>
    <w:rsid w:val="003E7392"/>
    <w:rsid w:val="003E73EB"/>
    <w:rsid w:val="003E74DF"/>
    <w:rsid w:val="003E785A"/>
    <w:rsid w:val="003E7860"/>
    <w:rsid w:val="003E7D66"/>
    <w:rsid w:val="003E7D93"/>
    <w:rsid w:val="003E7E3D"/>
    <w:rsid w:val="003E7FCC"/>
    <w:rsid w:val="003F0660"/>
    <w:rsid w:val="003F0F21"/>
    <w:rsid w:val="003F1173"/>
    <w:rsid w:val="003F123E"/>
    <w:rsid w:val="003F13B3"/>
    <w:rsid w:val="003F22CA"/>
    <w:rsid w:val="003F2425"/>
    <w:rsid w:val="003F2900"/>
    <w:rsid w:val="003F2D3D"/>
    <w:rsid w:val="003F2F54"/>
    <w:rsid w:val="003F3430"/>
    <w:rsid w:val="003F354C"/>
    <w:rsid w:val="003F3AE0"/>
    <w:rsid w:val="003F3BC5"/>
    <w:rsid w:val="003F492C"/>
    <w:rsid w:val="003F6490"/>
    <w:rsid w:val="003F7121"/>
    <w:rsid w:val="003F7169"/>
    <w:rsid w:val="003F77BC"/>
    <w:rsid w:val="003F7BF3"/>
    <w:rsid w:val="00400132"/>
    <w:rsid w:val="0040014B"/>
    <w:rsid w:val="0040062D"/>
    <w:rsid w:val="00400802"/>
    <w:rsid w:val="00400E97"/>
    <w:rsid w:val="00400EC8"/>
    <w:rsid w:val="0040122B"/>
    <w:rsid w:val="00401F01"/>
    <w:rsid w:val="00401F1D"/>
    <w:rsid w:val="004024C9"/>
    <w:rsid w:val="0040253E"/>
    <w:rsid w:val="00403A40"/>
    <w:rsid w:val="00403EA8"/>
    <w:rsid w:val="00405E60"/>
    <w:rsid w:val="00406452"/>
    <w:rsid w:val="00406578"/>
    <w:rsid w:val="00406CA5"/>
    <w:rsid w:val="00407483"/>
    <w:rsid w:val="00407586"/>
    <w:rsid w:val="0040793A"/>
    <w:rsid w:val="00407C7F"/>
    <w:rsid w:val="00407CE5"/>
    <w:rsid w:val="00410BD3"/>
    <w:rsid w:val="00410E7B"/>
    <w:rsid w:val="0041108A"/>
    <w:rsid w:val="004113D4"/>
    <w:rsid w:val="00411670"/>
    <w:rsid w:val="00411F4F"/>
    <w:rsid w:val="00412140"/>
    <w:rsid w:val="004125AB"/>
    <w:rsid w:val="004127F0"/>
    <w:rsid w:val="00412A28"/>
    <w:rsid w:val="0041323A"/>
    <w:rsid w:val="00414B3B"/>
    <w:rsid w:val="004156F1"/>
    <w:rsid w:val="00415C0B"/>
    <w:rsid w:val="004161AD"/>
    <w:rsid w:val="0041620A"/>
    <w:rsid w:val="00416252"/>
    <w:rsid w:val="004162B1"/>
    <w:rsid w:val="0041663C"/>
    <w:rsid w:val="00416AEF"/>
    <w:rsid w:val="00416B45"/>
    <w:rsid w:val="00416D14"/>
    <w:rsid w:val="0041701A"/>
    <w:rsid w:val="00417A6E"/>
    <w:rsid w:val="00417B1D"/>
    <w:rsid w:val="00417C3C"/>
    <w:rsid w:val="00417D9F"/>
    <w:rsid w:val="004205E1"/>
    <w:rsid w:val="004206BC"/>
    <w:rsid w:val="004209B7"/>
    <w:rsid w:val="00420E06"/>
    <w:rsid w:val="004211D6"/>
    <w:rsid w:val="0042197D"/>
    <w:rsid w:val="00421E4E"/>
    <w:rsid w:val="00422057"/>
    <w:rsid w:val="00422AB0"/>
    <w:rsid w:val="00422D9E"/>
    <w:rsid w:val="00423735"/>
    <w:rsid w:val="00423AA7"/>
    <w:rsid w:val="00423EAD"/>
    <w:rsid w:val="00423F5D"/>
    <w:rsid w:val="00424365"/>
    <w:rsid w:val="00424483"/>
    <w:rsid w:val="004248E2"/>
    <w:rsid w:val="00424B27"/>
    <w:rsid w:val="00424E8C"/>
    <w:rsid w:val="00425E50"/>
    <w:rsid w:val="004268C3"/>
    <w:rsid w:val="00426A97"/>
    <w:rsid w:val="00426F17"/>
    <w:rsid w:val="004304F5"/>
    <w:rsid w:val="00430996"/>
    <w:rsid w:val="00430D4A"/>
    <w:rsid w:val="00430D70"/>
    <w:rsid w:val="0043121A"/>
    <w:rsid w:val="004316DE"/>
    <w:rsid w:val="00431D59"/>
    <w:rsid w:val="00432E38"/>
    <w:rsid w:val="00432E41"/>
    <w:rsid w:val="004332A7"/>
    <w:rsid w:val="004335A3"/>
    <w:rsid w:val="0043446D"/>
    <w:rsid w:val="00434C02"/>
    <w:rsid w:val="0043514A"/>
    <w:rsid w:val="004358DB"/>
    <w:rsid w:val="0043590B"/>
    <w:rsid w:val="00435F65"/>
    <w:rsid w:val="0043623C"/>
    <w:rsid w:val="0043644E"/>
    <w:rsid w:val="004367CB"/>
    <w:rsid w:val="0043725B"/>
    <w:rsid w:val="00437834"/>
    <w:rsid w:val="004378B8"/>
    <w:rsid w:val="00437AC4"/>
    <w:rsid w:val="00437C2C"/>
    <w:rsid w:val="00440511"/>
    <w:rsid w:val="004405FA"/>
    <w:rsid w:val="0044077A"/>
    <w:rsid w:val="0044087A"/>
    <w:rsid w:val="00440B54"/>
    <w:rsid w:val="00440BAC"/>
    <w:rsid w:val="004414EB"/>
    <w:rsid w:val="00441749"/>
    <w:rsid w:val="00441F64"/>
    <w:rsid w:val="00441FB8"/>
    <w:rsid w:val="004421E1"/>
    <w:rsid w:val="00442C56"/>
    <w:rsid w:val="00442D92"/>
    <w:rsid w:val="00442E1A"/>
    <w:rsid w:val="00442E8C"/>
    <w:rsid w:val="00443AAA"/>
    <w:rsid w:val="004440C2"/>
    <w:rsid w:val="00444597"/>
    <w:rsid w:val="0044496E"/>
    <w:rsid w:val="00445255"/>
    <w:rsid w:val="00445633"/>
    <w:rsid w:val="00445C35"/>
    <w:rsid w:val="00445F18"/>
    <w:rsid w:val="0044609E"/>
    <w:rsid w:val="004462F8"/>
    <w:rsid w:val="00446D08"/>
    <w:rsid w:val="00446F71"/>
    <w:rsid w:val="004470DE"/>
    <w:rsid w:val="0044712D"/>
    <w:rsid w:val="004501B9"/>
    <w:rsid w:val="00450604"/>
    <w:rsid w:val="00450A7C"/>
    <w:rsid w:val="004512FD"/>
    <w:rsid w:val="00451696"/>
    <w:rsid w:val="0045185A"/>
    <w:rsid w:val="00451CF6"/>
    <w:rsid w:val="00452195"/>
    <w:rsid w:val="0045291C"/>
    <w:rsid w:val="00453D4C"/>
    <w:rsid w:val="00454060"/>
    <w:rsid w:val="004541AC"/>
    <w:rsid w:val="0045435C"/>
    <w:rsid w:val="004545AE"/>
    <w:rsid w:val="004546F5"/>
    <w:rsid w:val="004547F9"/>
    <w:rsid w:val="00454932"/>
    <w:rsid w:val="00454A59"/>
    <w:rsid w:val="00454D3E"/>
    <w:rsid w:val="0045549B"/>
    <w:rsid w:val="00456028"/>
    <w:rsid w:val="0045677F"/>
    <w:rsid w:val="00456A0E"/>
    <w:rsid w:val="0045750B"/>
    <w:rsid w:val="00457EEE"/>
    <w:rsid w:val="004602F7"/>
    <w:rsid w:val="004608F3"/>
    <w:rsid w:val="00460A8C"/>
    <w:rsid w:val="00460DB4"/>
    <w:rsid w:val="004617EE"/>
    <w:rsid w:val="00461D61"/>
    <w:rsid w:val="004620D0"/>
    <w:rsid w:val="00462A23"/>
    <w:rsid w:val="00462AA0"/>
    <w:rsid w:val="00463248"/>
    <w:rsid w:val="00463496"/>
    <w:rsid w:val="004634A9"/>
    <w:rsid w:val="004639EB"/>
    <w:rsid w:val="00463DDF"/>
    <w:rsid w:val="004642B6"/>
    <w:rsid w:val="0046432D"/>
    <w:rsid w:val="004643D6"/>
    <w:rsid w:val="00464D42"/>
    <w:rsid w:val="0046500E"/>
    <w:rsid w:val="00465177"/>
    <w:rsid w:val="0046544E"/>
    <w:rsid w:val="0046565B"/>
    <w:rsid w:val="0046577E"/>
    <w:rsid w:val="00465A54"/>
    <w:rsid w:val="00465F2D"/>
    <w:rsid w:val="00466632"/>
    <w:rsid w:val="004669B2"/>
    <w:rsid w:val="00466CC5"/>
    <w:rsid w:val="0046717A"/>
    <w:rsid w:val="004673D9"/>
    <w:rsid w:val="00467BF4"/>
    <w:rsid w:val="00467F61"/>
    <w:rsid w:val="0047010E"/>
    <w:rsid w:val="00470442"/>
    <w:rsid w:val="0047136E"/>
    <w:rsid w:val="00471A18"/>
    <w:rsid w:val="00471B1E"/>
    <w:rsid w:val="00471C19"/>
    <w:rsid w:val="00471EC2"/>
    <w:rsid w:val="004722F0"/>
    <w:rsid w:val="004723D1"/>
    <w:rsid w:val="0047242D"/>
    <w:rsid w:val="00472782"/>
    <w:rsid w:val="0047285B"/>
    <w:rsid w:val="00472ACC"/>
    <w:rsid w:val="00472DBE"/>
    <w:rsid w:val="00472F5D"/>
    <w:rsid w:val="004731BC"/>
    <w:rsid w:val="004739A5"/>
    <w:rsid w:val="00474A34"/>
    <w:rsid w:val="0047541A"/>
    <w:rsid w:val="00475907"/>
    <w:rsid w:val="0047620B"/>
    <w:rsid w:val="004763E0"/>
    <w:rsid w:val="00476725"/>
    <w:rsid w:val="00477E70"/>
    <w:rsid w:val="00480204"/>
    <w:rsid w:val="00480B1E"/>
    <w:rsid w:val="00481ED4"/>
    <w:rsid w:val="00481FE1"/>
    <w:rsid w:val="00482271"/>
    <w:rsid w:val="00482D5B"/>
    <w:rsid w:val="00483627"/>
    <w:rsid w:val="00483987"/>
    <w:rsid w:val="00483A63"/>
    <w:rsid w:val="00483FA3"/>
    <w:rsid w:val="00483FCB"/>
    <w:rsid w:val="004841B6"/>
    <w:rsid w:val="004844F0"/>
    <w:rsid w:val="00484B9D"/>
    <w:rsid w:val="00484BC6"/>
    <w:rsid w:val="0048528B"/>
    <w:rsid w:val="0048540A"/>
    <w:rsid w:val="004855BD"/>
    <w:rsid w:val="004859B2"/>
    <w:rsid w:val="00485D9F"/>
    <w:rsid w:val="00485E6A"/>
    <w:rsid w:val="00486339"/>
    <w:rsid w:val="0048713A"/>
    <w:rsid w:val="00487A6D"/>
    <w:rsid w:val="00490742"/>
    <w:rsid w:val="004914CA"/>
    <w:rsid w:val="00491C6B"/>
    <w:rsid w:val="00491C9F"/>
    <w:rsid w:val="00492198"/>
    <w:rsid w:val="004923E4"/>
    <w:rsid w:val="004932C0"/>
    <w:rsid w:val="004937E8"/>
    <w:rsid w:val="00493C90"/>
    <w:rsid w:val="00493F18"/>
    <w:rsid w:val="0049415E"/>
    <w:rsid w:val="00494457"/>
    <w:rsid w:val="004946C8"/>
    <w:rsid w:val="00494C24"/>
    <w:rsid w:val="00495218"/>
    <w:rsid w:val="00495BB7"/>
    <w:rsid w:val="00495CF0"/>
    <w:rsid w:val="00495EDC"/>
    <w:rsid w:val="004960E7"/>
    <w:rsid w:val="004962CF"/>
    <w:rsid w:val="00496BD2"/>
    <w:rsid w:val="0049761C"/>
    <w:rsid w:val="00497A93"/>
    <w:rsid w:val="004A03A0"/>
    <w:rsid w:val="004A0524"/>
    <w:rsid w:val="004A0F31"/>
    <w:rsid w:val="004A1146"/>
    <w:rsid w:val="004A1157"/>
    <w:rsid w:val="004A1475"/>
    <w:rsid w:val="004A2377"/>
    <w:rsid w:val="004A26B1"/>
    <w:rsid w:val="004A281B"/>
    <w:rsid w:val="004A311B"/>
    <w:rsid w:val="004A3369"/>
    <w:rsid w:val="004A39D9"/>
    <w:rsid w:val="004A400D"/>
    <w:rsid w:val="004A40E3"/>
    <w:rsid w:val="004A4F75"/>
    <w:rsid w:val="004A54CF"/>
    <w:rsid w:val="004A574B"/>
    <w:rsid w:val="004A59EE"/>
    <w:rsid w:val="004A6F41"/>
    <w:rsid w:val="004A6F99"/>
    <w:rsid w:val="004A705D"/>
    <w:rsid w:val="004A765C"/>
    <w:rsid w:val="004A78B7"/>
    <w:rsid w:val="004A7D62"/>
    <w:rsid w:val="004B024E"/>
    <w:rsid w:val="004B13C1"/>
    <w:rsid w:val="004B153F"/>
    <w:rsid w:val="004B189A"/>
    <w:rsid w:val="004B1F50"/>
    <w:rsid w:val="004B20AE"/>
    <w:rsid w:val="004B276B"/>
    <w:rsid w:val="004B27DC"/>
    <w:rsid w:val="004B2B5C"/>
    <w:rsid w:val="004B2D0B"/>
    <w:rsid w:val="004B331C"/>
    <w:rsid w:val="004B38DF"/>
    <w:rsid w:val="004B41B5"/>
    <w:rsid w:val="004B49B7"/>
    <w:rsid w:val="004B4B47"/>
    <w:rsid w:val="004B612C"/>
    <w:rsid w:val="004B6303"/>
    <w:rsid w:val="004B69B5"/>
    <w:rsid w:val="004B6C12"/>
    <w:rsid w:val="004B70C2"/>
    <w:rsid w:val="004B7231"/>
    <w:rsid w:val="004B79B1"/>
    <w:rsid w:val="004B7FDA"/>
    <w:rsid w:val="004C0264"/>
    <w:rsid w:val="004C059F"/>
    <w:rsid w:val="004C05DE"/>
    <w:rsid w:val="004C0675"/>
    <w:rsid w:val="004C0680"/>
    <w:rsid w:val="004C0B36"/>
    <w:rsid w:val="004C0C60"/>
    <w:rsid w:val="004C1065"/>
    <w:rsid w:val="004C10E9"/>
    <w:rsid w:val="004C127C"/>
    <w:rsid w:val="004C1DCA"/>
    <w:rsid w:val="004C2261"/>
    <w:rsid w:val="004C2C55"/>
    <w:rsid w:val="004C2DEA"/>
    <w:rsid w:val="004C2E7E"/>
    <w:rsid w:val="004C314C"/>
    <w:rsid w:val="004C33C6"/>
    <w:rsid w:val="004C3717"/>
    <w:rsid w:val="004C3CE0"/>
    <w:rsid w:val="004C427B"/>
    <w:rsid w:val="004C454A"/>
    <w:rsid w:val="004C4769"/>
    <w:rsid w:val="004C4C9A"/>
    <w:rsid w:val="004C4F40"/>
    <w:rsid w:val="004C52E0"/>
    <w:rsid w:val="004C708B"/>
    <w:rsid w:val="004C7711"/>
    <w:rsid w:val="004C7878"/>
    <w:rsid w:val="004C7EBE"/>
    <w:rsid w:val="004C7F9B"/>
    <w:rsid w:val="004D025E"/>
    <w:rsid w:val="004D03E2"/>
    <w:rsid w:val="004D1035"/>
    <w:rsid w:val="004D16CC"/>
    <w:rsid w:val="004D16E4"/>
    <w:rsid w:val="004D1E6C"/>
    <w:rsid w:val="004D2095"/>
    <w:rsid w:val="004D279D"/>
    <w:rsid w:val="004D2BF7"/>
    <w:rsid w:val="004D2D60"/>
    <w:rsid w:val="004D2F82"/>
    <w:rsid w:val="004D3179"/>
    <w:rsid w:val="004D35FB"/>
    <w:rsid w:val="004D38A5"/>
    <w:rsid w:val="004D4137"/>
    <w:rsid w:val="004D5032"/>
    <w:rsid w:val="004D52B7"/>
    <w:rsid w:val="004D5988"/>
    <w:rsid w:val="004D7623"/>
    <w:rsid w:val="004E1255"/>
    <w:rsid w:val="004E163A"/>
    <w:rsid w:val="004E1A4B"/>
    <w:rsid w:val="004E1C0F"/>
    <w:rsid w:val="004E1C6D"/>
    <w:rsid w:val="004E1FAC"/>
    <w:rsid w:val="004E202B"/>
    <w:rsid w:val="004E3282"/>
    <w:rsid w:val="004E32F3"/>
    <w:rsid w:val="004E35AF"/>
    <w:rsid w:val="004E3D58"/>
    <w:rsid w:val="004E474F"/>
    <w:rsid w:val="004E49D7"/>
    <w:rsid w:val="004E4A21"/>
    <w:rsid w:val="004E4AE0"/>
    <w:rsid w:val="004E4FF9"/>
    <w:rsid w:val="004E53D7"/>
    <w:rsid w:val="004E581E"/>
    <w:rsid w:val="004E5984"/>
    <w:rsid w:val="004E5B57"/>
    <w:rsid w:val="004E5D22"/>
    <w:rsid w:val="004E637F"/>
    <w:rsid w:val="004E65EE"/>
    <w:rsid w:val="004E664E"/>
    <w:rsid w:val="004E6950"/>
    <w:rsid w:val="004E6978"/>
    <w:rsid w:val="004E69BA"/>
    <w:rsid w:val="004E76AD"/>
    <w:rsid w:val="004E7826"/>
    <w:rsid w:val="004E7C49"/>
    <w:rsid w:val="004F02C7"/>
    <w:rsid w:val="004F05A5"/>
    <w:rsid w:val="004F098C"/>
    <w:rsid w:val="004F0EEC"/>
    <w:rsid w:val="004F130A"/>
    <w:rsid w:val="004F148D"/>
    <w:rsid w:val="004F182F"/>
    <w:rsid w:val="004F187F"/>
    <w:rsid w:val="004F1895"/>
    <w:rsid w:val="004F1AEA"/>
    <w:rsid w:val="004F1F65"/>
    <w:rsid w:val="004F2706"/>
    <w:rsid w:val="004F28ED"/>
    <w:rsid w:val="004F2A0D"/>
    <w:rsid w:val="004F2A27"/>
    <w:rsid w:val="004F2A99"/>
    <w:rsid w:val="004F2C39"/>
    <w:rsid w:val="004F3A51"/>
    <w:rsid w:val="004F3AFC"/>
    <w:rsid w:val="004F3B77"/>
    <w:rsid w:val="004F4269"/>
    <w:rsid w:val="004F441D"/>
    <w:rsid w:val="004F4BE2"/>
    <w:rsid w:val="004F4DD9"/>
    <w:rsid w:val="004F4EBD"/>
    <w:rsid w:val="004F530D"/>
    <w:rsid w:val="004F5DCC"/>
    <w:rsid w:val="004F635F"/>
    <w:rsid w:val="004F67AD"/>
    <w:rsid w:val="004F7F0C"/>
    <w:rsid w:val="00500218"/>
    <w:rsid w:val="00500641"/>
    <w:rsid w:val="00500A1A"/>
    <w:rsid w:val="00500B8F"/>
    <w:rsid w:val="00500DF2"/>
    <w:rsid w:val="0050143A"/>
    <w:rsid w:val="00501B2E"/>
    <w:rsid w:val="0050227A"/>
    <w:rsid w:val="005022C0"/>
    <w:rsid w:val="0050245C"/>
    <w:rsid w:val="005028AC"/>
    <w:rsid w:val="00502BB8"/>
    <w:rsid w:val="00502E3A"/>
    <w:rsid w:val="00503021"/>
    <w:rsid w:val="005033A4"/>
    <w:rsid w:val="005042D6"/>
    <w:rsid w:val="005046D4"/>
    <w:rsid w:val="00504F56"/>
    <w:rsid w:val="0050502B"/>
    <w:rsid w:val="00505275"/>
    <w:rsid w:val="00505560"/>
    <w:rsid w:val="00505585"/>
    <w:rsid w:val="00506A39"/>
    <w:rsid w:val="00506C9C"/>
    <w:rsid w:val="005072DD"/>
    <w:rsid w:val="00507CB2"/>
    <w:rsid w:val="00510412"/>
    <w:rsid w:val="005104A3"/>
    <w:rsid w:val="005106F3"/>
    <w:rsid w:val="00510AE3"/>
    <w:rsid w:val="005110EC"/>
    <w:rsid w:val="005114DF"/>
    <w:rsid w:val="0051274E"/>
    <w:rsid w:val="00512A3A"/>
    <w:rsid w:val="00512A7C"/>
    <w:rsid w:val="00512B39"/>
    <w:rsid w:val="00513420"/>
    <w:rsid w:val="00513D34"/>
    <w:rsid w:val="00513EE9"/>
    <w:rsid w:val="00514147"/>
    <w:rsid w:val="005142F8"/>
    <w:rsid w:val="00514555"/>
    <w:rsid w:val="00514A81"/>
    <w:rsid w:val="00514DE8"/>
    <w:rsid w:val="00514F9D"/>
    <w:rsid w:val="00515195"/>
    <w:rsid w:val="00515394"/>
    <w:rsid w:val="005160A2"/>
    <w:rsid w:val="0051613F"/>
    <w:rsid w:val="00516797"/>
    <w:rsid w:val="0051694E"/>
    <w:rsid w:val="005169FC"/>
    <w:rsid w:val="00516BD6"/>
    <w:rsid w:val="00517108"/>
    <w:rsid w:val="00517C88"/>
    <w:rsid w:val="00520701"/>
    <w:rsid w:val="00520A61"/>
    <w:rsid w:val="0052111B"/>
    <w:rsid w:val="005212AF"/>
    <w:rsid w:val="00521598"/>
    <w:rsid w:val="0052183C"/>
    <w:rsid w:val="00521AC6"/>
    <w:rsid w:val="00521FA0"/>
    <w:rsid w:val="0052260A"/>
    <w:rsid w:val="00522997"/>
    <w:rsid w:val="00522AD1"/>
    <w:rsid w:val="00522F3F"/>
    <w:rsid w:val="005233D2"/>
    <w:rsid w:val="005235C8"/>
    <w:rsid w:val="0052499F"/>
    <w:rsid w:val="00524ACA"/>
    <w:rsid w:val="00524DF9"/>
    <w:rsid w:val="00524F34"/>
    <w:rsid w:val="0052505F"/>
    <w:rsid w:val="005250C0"/>
    <w:rsid w:val="00525831"/>
    <w:rsid w:val="00525F93"/>
    <w:rsid w:val="00525FCE"/>
    <w:rsid w:val="005266A7"/>
    <w:rsid w:val="0052677E"/>
    <w:rsid w:val="00526E75"/>
    <w:rsid w:val="005274AB"/>
    <w:rsid w:val="005279BA"/>
    <w:rsid w:val="00527B33"/>
    <w:rsid w:val="00527E48"/>
    <w:rsid w:val="00527E4D"/>
    <w:rsid w:val="00530096"/>
    <w:rsid w:val="005301E8"/>
    <w:rsid w:val="00530A60"/>
    <w:rsid w:val="005317E6"/>
    <w:rsid w:val="0053197A"/>
    <w:rsid w:val="005319A3"/>
    <w:rsid w:val="00532410"/>
    <w:rsid w:val="00532524"/>
    <w:rsid w:val="005325D0"/>
    <w:rsid w:val="00532951"/>
    <w:rsid w:val="005334F5"/>
    <w:rsid w:val="00533778"/>
    <w:rsid w:val="005339C9"/>
    <w:rsid w:val="00533DE5"/>
    <w:rsid w:val="00533E16"/>
    <w:rsid w:val="00533EC7"/>
    <w:rsid w:val="00533ED1"/>
    <w:rsid w:val="0053408E"/>
    <w:rsid w:val="00534252"/>
    <w:rsid w:val="00535497"/>
    <w:rsid w:val="00535750"/>
    <w:rsid w:val="00536189"/>
    <w:rsid w:val="005369DE"/>
    <w:rsid w:val="00536C2B"/>
    <w:rsid w:val="00536E7F"/>
    <w:rsid w:val="00537145"/>
    <w:rsid w:val="0053772A"/>
    <w:rsid w:val="00537C91"/>
    <w:rsid w:val="00537D50"/>
    <w:rsid w:val="00537E2E"/>
    <w:rsid w:val="00540006"/>
    <w:rsid w:val="00540C4F"/>
    <w:rsid w:val="00540FEA"/>
    <w:rsid w:val="005416AE"/>
    <w:rsid w:val="0054170B"/>
    <w:rsid w:val="00541AC6"/>
    <w:rsid w:val="00541C73"/>
    <w:rsid w:val="00541E6F"/>
    <w:rsid w:val="00542026"/>
    <w:rsid w:val="005421E0"/>
    <w:rsid w:val="0054268D"/>
    <w:rsid w:val="00542C07"/>
    <w:rsid w:val="00542ED9"/>
    <w:rsid w:val="005431FB"/>
    <w:rsid w:val="0054375D"/>
    <w:rsid w:val="00543A83"/>
    <w:rsid w:val="00543B41"/>
    <w:rsid w:val="00544099"/>
    <w:rsid w:val="005443D8"/>
    <w:rsid w:val="0054472A"/>
    <w:rsid w:val="0054496A"/>
    <w:rsid w:val="00544EF1"/>
    <w:rsid w:val="00544F78"/>
    <w:rsid w:val="00545077"/>
    <w:rsid w:val="00545728"/>
    <w:rsid w:val="00545982"/>
    <w:rsid w:val="005462D0"/>
    <w:rsid w:val="005464E9"/>
    <w:rsid w:val="0054685E"/>
    <w:rsid w:val="0054733C"/>
    <w:rsid w:val="0054791C"/>
    <w:rsid w:val="00547E3A"/>
    <w:rsid w:val="0055000C"/>
    <w:rsid w:val="005506A1"/>
    <w:rsid w:val="005507B6"/>
    <w:rsid w:val="00550B07"/>
    <w:rsid w:val="00550BAE"/>
    <w:rsid w:val="00550D8E"/>
    <w:rsid w:val="0055115E"/>
    <w:rsid w:val="00551413"/>
    <w:rsid w:val="0055165F"/>
    <w:rsid w:val="005517F0"/>
    <w:rsid w:val="00552012"/>
    <w:rsid w:val="005522A3"/>
    <w:rsid w:val="0055273C"/>
    <w:rsid w:val="00552CBB"/>
    <w:rsid w:val="00552F78"/>
    <w:rsid w:val="005545CE"/>
    <w:rsid w:val="005547C6"/>
    <w:rsid w:val="00554B8B"/>
    <w:rsid w:val="00554CD9"/>
    <w:rsid w:val="00554D82"/>
    <w:rsid w:val="005550B6"/>
    <w:rsid w:val="00555159"/>
    <w:rsid w:val="005552BF"/>
    <w:rsid w:val="005552CE"/>
    <w:rsid w:val="0055550D"/>
    <w:rsid w:val="0055550F"/>
    <w:rsid w:val="005557EC"/>
    <w:rsid w:val="00555A95"/>
    <w:rsid w:val="00555F2A"/>
    <w:rsid w:val="0055612B"/>
    <w:rsid w:val="00556D02"/>
    <w:rsid w:val="00556F2B"/>
    <w:rsid w:val="005576E4"/>
    <w:rsid w:val="00557C92"/>
    <w:rsid w:val="00557DF6"/>
    <w:rsid w:val="005600C2"/>
    <w:rsid w:val="00560154"/>
    <w:rsid w:val="00560175"/>
    <w:rsid w:val="005607F6"/>
    <w:rsid w:val="00560D3E"/>
    <w:rsid w:val="00561253"/>
    <w:rsid w:val="0056147F"/>
    <w:rsid w:val="005621F7"/>
    <w:rsid w:val="00563471"/>
    <w:rsid w:val="005636AF"/>
    <w:rsid w:val="0056378E"/>
    <w:rsid w:val="005637A8"/>
    <w:rsid w:val="00563CE2"/>
    <w:rsid w:val="00563DF2"/>
    <w:rsid w:val="00563ED4"/>
    <w:rsid w:val="005640F8"/>
    <w:rsid w:val="0056539A"/>
    <w:rsid w:val="005657D1"/>
    <w:rsid w:val="00565B7D"/>
    <w:rsid w:val="00565BB3"/>
    <w:rsid w:val="005669A4"/>
    <w:rsid w:val="0056703B"/>
    <w:rsid w:val="0056722A"/>
    <w:rsid w:val="0056796C"/>
    <w:rsid w:val="00567A64"/>
    <w:rsid w:val="00567BB2"/>
    <w:rsid w:val="00567DB7"/>
    <w:rsid w:val="00567F04"/>
    <w:rsid w:val="005702B3"/>
    <w:rsid w:val="005703DE"/>
    <w:rsid w:val="005707F8"/>
    <w:rsid w:val="00570B09"/>
    <w:rsid w:val="00570E55"/>
    <w:rsid w:val="005715A4"/>
    <w:rsid w:val="005719B4"/>
    <w:rsid w:val="00571EDC"/>
    <w:rsid w:val="005722AF"/>
    <w:rsid w:val="00572387"/>
    <w:rsid w:val="005724DA"/>
    <w:rsid w:val="005728DE"/>
    <w:rsid w:val="00573AC4"/>
    <w:rsid w:val="00573B2E"/>
    <w:rsid w:val="00573EC0"/>
    <w:rsid w:val="00573FB1"/>
    <w:rsid w:val="00574296"/>
    <w:rsid w:val="0057479B"/>
    <w:rsid w:val="00574A47"/>
    <w:rsid w:val="005751FA"/>
    <w:rsid w:val="0057545E"/>
    <w:rsid w:val="0057578A"/>
    <w:rsid w:val="00575820"/>
    <w:rsid w:val="00575BFE"/>
    <w:rsid w:val="0057611C"/>
    <w:rsid w:val="005761CE"/>
    <w:rsid w:val="00576D6B"/>
    <w:rsid w:val="00576E59"/>
    <w:rsid w:val="0057778E"/>
    <w:rsid w:val="00577C2F"/>
    <w:rsid w:val="00577C93"/>
    <w:rsid w:val="00577EE8"/>
    <w:rsid w:val="0058006A"/>
    <w:rsid w:val="00580096"/>
    <w:rsid w:val="00580408"/>
    <w:rsid w:val="00580530"/>
    <w:rsid w:val="00580730"/>
    <w:rsid w:val="00580770"/>
    <w:rsid w:val="005808AC"/>
    <w:rsid w:val="00581007"/>
    <w:rsid w:val="00581DB5"/>
    <w:rsid w:val="00582EA0"/>
    <w:rsid w:val="00582EAD"/>
    <w:rsid w:val="0058301F"/>
    <w:rsid w:val="00583734"/>
    <w:rsid w:val="00583C04"/>
    <w:rsid w:val="0058413F"/>
    <w:rsid w:val="00584522"/>
    <w:rsid w:val="00584BAD"/>
    <w:rsid w:val="00584D8D"/>
    <w:rsid w:val="005850D2"/>
    <w:rsid w:val="0058527E"/>
    <w:rsid w:val="00585565"/>
    <w:rsid w:val="005859CD"/>
    <w:rsid w:val="0058627A"/>
    <w:rsid w:val="005862BB"/>
    <w:rsid w:val="005862CE"/>
    <w:rsid w:val="00586716"/>
    <w:rsid w:val="00586A91"/>
    <w:rsid w:val="00586AC4"/>
    <w:rsid w:val="0058768C"/>
    <w:rsid w:val="005876A4"/>
    <w:rsid w:val="0059009C"/>
    <w:rsid w:val="00590EC3"/>
    <w:rsid w:val="00591868"/>
    <w:rsid w:val="00591D26"/>
    <w:rsid w:val="00591D7F"/>
    <w:rsid w:val="00593402"/>
    <w:rsid w:val="005936CF"/>
    <w:rsid w:val="00594316"/>
    <w:rsid w:val="00594375"/>
    <w:rsid w:val="005943B6"/>
    <w:rsid w:val="0059479C"/>
    <w:rsid w:val="005957B5"/>
    <w:rsid w:val="005958C1"/>
    <w:rsid w:val="00595A23"/>
    <w:rsid w:val="00596105"/>
    <w:rsid w:val="00596316"/>
    <w:rsid w:val="005966D3"/>
    <w:rsid w:val="00596F55"/>
    <w:rsid w:val="005971E3"/>
    <w:rsid w:val="0059774D"/>
    <w:rsid w:val="00597846"/>
    <w:rsid w:val="00597A09"/>
    <w:rsid w:val="00597C3A"/>
    <w:rsid w:val="00597DEC"/>
    <w:rsid w:val="005A00CF"/>
    <w:rsid w:val="005A0163"/>
    <w:rsid w:val="005A0367"/>
    <w:rsid w:val="005A03BB"/>
    <w:rsid w:val="005A073A"/>
    <w:rsid w:val="005A0B3C"/>
    <w:rsid w:val="005A108E"/>
    <w:rsid w:val="005A1227"/>
    <w:rsid w:val="005A1C2C"/>
    <w:rsid w:val="005A1C30"/>
    <w:rsid w:val="005A1DA8"/>
    <w:rsid w:val="005A1EC6"/>
    <w:rsid w:val="005A20C6"/>
    <w:rsid w:val="005A2639"/>
    <w:rsid w:val="005A2AA6"/>
    <w:rsid w:val="005A2BE1"/>
    <w:rsid w:val="005A2FB6"/>
    <w:rsid w:val="005A3205"/>
    <w:rsid w:val="005A33E4"/>
    <w:rsid w:val="005A3EDD"/>
    <w:rsid w:val="005A4077"/>
    <w:rsid w:val="005A435B"/>
    <w:rsid w:val="005A4AFC"/>
    <w:rsid w:val="005A5282"/>
    <w:rsid w:val="005A5463"/>
    <w:rsid w:val="005A558C"/>
    <w:rsid w:val="005A592A"/>
    <w:rsid w:val="005A5BAF"/>
    <w:rsid w:val="005A5BCA"/>
    <w:rsid w:val="005A5CD9"/>
    <w:rsid w:val="005A5E8B"/>
    <w:rsid w:val="005A6F8D"/>
    <w:rsid w:val="005A7391"/>
    <w:rsid w:val="005A74C7"/>
    <w:rsid w:val="005A75E3"/>
    <w:rsid w:val="005A7695"/>
    <w:rsid w:val="005A7714"/>
    <w:rsid w:val="005A780E"/>
    <w:rsid w:val="005A7882"/>
    <w:rsid w:val="005A7A07"/>
    <w:rsid w:val="005A7B3E"/>
    <w:rsid w:val="005A7CDC"/>
    <w:rsid w:val="005B0195"/>
    <w:rsid w:val="005B06E4"/>
    <w:rsid w:val="005B0D15"/>
    <w:rsid w:val="005B18BE"/>
    <w:rsid w:val="005B1F35"/>
    <w:rsid w:val="005B211D"/>
    <w:rsid w:val="005B2392"/>
    <w:rsid w:val="005B23FF"/>
    <w:rsid w:val="005B27BF"/>
    <w:rsid w:val="005B2A14"/>
    <w:rsid w:val="005B35B0"/>
    <w:rsid w:val="005B3695"/>
    <w:rsid w:val="005B3727"/>
    <w:rsid w:val="005B39B9"/>
    <w:rsid w:val="005B4071"/>
    <w:rsid w:val="005B47FC"/>
    <w:rsid w:val="005B4C71"/>
    <w:rsid w:val="005B52CA"/>
    <w:rsid w:val="005B5391"/>
    <w:rsid w:val="005B5B2E"/>
    <w:rsid w:val="005B5CF8"/>
    <w:rsid w:val="005B632E"/>
    <w:rsid w:val="005B6EDE"/>
    <w:rsid w:val="005B7564"/>
    <w:rsid w:val="005C014E"/>
    <w:rsid w:val="005C03B2"/>
    <w:rsid w:val="005C105E"/>
    <w:rsid w:val="005C107C"/>
    <w:rsid w:val="005C1802"/>
    <w:rsid w:val="005C1B34"/>
    <w:rsid w:val="005C1F44"/>
    <w:rsid w:val="005C2467"/>
    <w:rsid w:val="005C3406"/>
    <w:rsid w:val="005C426F"/>
    <w:rsid w:val="005C44F6"/>
    <w:rsid w:val="005C526E"/>
    <w:rsid w:val="005C572C"/>
    <w:rsid w:val="005C58E3"/>
    <w:rsid w:val="005C69EB"/>
    <w:rsid w:val="005C71A0"/>
    <w:rsid w:val="005C7701"/>
    <w:rsid w:val="005C7C21"/>
    <w:rsid w:val="005C7D89"/>
    <w:rsid w:val="005D0B7F"/>
    <w:rsid w:val="005D0C12"/>
    <w:rsid w:val="005D1077"/>
    <w:rsid w:val="005D1710"/>
    <w:rsid w:val="005D1A4B"/>
    <w:rsid w:val="005D2B18"/>
    <w:rsid w:val="005D321F"/>
    <w:rsid w:val="005D352D"/>
    <w:rsid w:val="005D3530"/>
    <w:rsid w:val="005D3A6F"/>
    <w:rsid w:val="005D4312"/>
    <w:rsid w:val="005D44C4"/>
    <w:rsid w:val="005D47FA"/>
    <w:rsid w:val="005D4830"/>
    <w:rsid w:val="005D4F97"/>
    <w:rsid w:val="005D5FBC"/>
    <w:rsid w:val="005D651A"/>
    <w:rsid w:val="005D6A21"/>
    <w:rsid w:val="005D6B4F"/>
    <w:rsid w:val="005D6EEC"/>
    <w:rsid w:val="005D7001"/>
    <w:rsid w:val="005D77E2"/>
    <w:rsid w:val="005D7D59"/>
    <w:rsid w:val="005E0335"/>
    <w:rsid w:val="005E060C"/>
    <w:rsid w:val="005E0DFE"/>
    <w:rsid w:val="005E11D3"/>
    <w:rsid w:val="005E1246"/>
    <w:rsid w:val="005E13DA"/>
    <w:rsid w:val="005E1454"/>
    <w:rsid w:val="005E218B"/>
    <w:rsid w:val="005E29B9"/>
    <w:rsid w:val="005E2CE5"/>
    <w:rsid w:val="005E2F94"/>
    <w:rsid w:val="005E310B"/>
    <w:rsid w:val="005E36C4"/>
    <w:rsid w:val="005E381C"/>
    <w:rsid w:val="005E3913"/>
    <w:rsid w:val="005E4534"/>
    <w:rsid w:val="005E4C83"/>
    <w:rsid w:val="005E5190"/>
    <w:rsid w:val="005E527F"/>
    <w:rsid w:val="005E563F"/>
    <w:rsid w:val="005E58ED"/>
    <w:rsid w:val="005E5FBE"/>
    <w:rsid w:val="005E6206"/>
    <w:rsid w:val="005E651C"/>
    <w:rsid w:val="005E6D31"/>
    <w:rsid w:val="005E6E47"/>
    <w:rsid w:val="005E75B6"/>
    <w:rsid w:val="005E77D3"/>
    <w:rsid w:val="005E7BED"/>
    <w:rsid w:val="005E7E35"/>
    <w:rsid w:val="005F00C9"/>
    <w:rsid w:val="005F0B16"/>
    <w:rsid w:val="005F0C5B"/>
    <w:rsid w:val="005F0D8C"/>
    <w:rsid w:val="005F0E51"/>
    <w:rsid w:val="005F145D"/>
    <w:rsid w:val="005F2201"/>
    <w:rsid w:val="005F28F9"/>
    <w:rsid w:val="005F2BFF"/>
    <w:rsid w:val="005F2E51"/>
    <w:rsid w:val="005F3015"/>
    <w:rsid w:val="005F3465"/>
    <w:rsid w:val="005F393D"/>
    <w:rsid w:val="005F3C83"/>
    <w:rsid w:val="005F41A2"/>
    <w:rsid w:val="005F41B2"/>
    <w:rsid w:val="005F42EA"/>
    <w:rsid w:val="005F46C8"/>
    <w:rsid w:val="005F48B6"/>
    <w:rsid w:val="005F517F"/>
    <w:rsid w:val="005F5541"/>
    <w:rsid w:val="005F6003"/>
    <w:rsid w:val="005F6572"/>
    <w:rsid w:val="005F6745"/>
    <w:rsid w:val="005F67B4"/>
    <w:rsid w:val="005F69DB"/>
    <w:rsid w:val="005F6AD4"/>
    <w:rsid w:val="005F7F03"/>
    <w:rsid w:val="006003B3"/>
    <w:rsid w:val="00600E38"/>
    <w:rsid w:val="00601376"/>
    <w:rsid w:val="006013CB"/>
    <w:rsid w:val="006018CD"/>
    <w:rsid w:val="00601A3D"/>
    <w:rsid w:val="00602036"/>
    <w:rsid w:val="0060239A"/>
    <w:rsid w:val="00602EAA"/>
    <w:rsid w:val="00602F1A"/>
    <w:rsid w:val="00602FC8"/>
    <w:rsid w:val="00603A45"/>
    <w:rsid w:val="00603F24"/>
    <w:rsid w:val="00604002"/>
    <w:rsid w:val="00604CFF"/>
    <w:rsid w:val="00604F06"/>
    <w:rsid w:val="00605567"/>
    <w:rsid w:val="00605695"/>
    <w:rsid w:val="006058C4"/>
    <w:rsid w:val="00606BE6"/>
    <w:rsid w:val="0060724A"/>
    <w:rsid w:val="006103EB"/>
    <w:rsid w:val="00610567"/>
    <w:rsid w:val="0061064E"/>
    <w:rsid w:val="006108C3"/>
    <w:rsid w:val="00611364"/>
    <w:rsid w:val="00611D0F"/>
    <w:rsid w:val="00611FE1"/>
    <w:rsid w:val="00612122"/>
    <w:rsid w:val="006121FA"/>
    <w:rsid w:val="0061266E"/>
    <w:rsid w:val="006126B3"/>
    <w:rsid w:val="0061282D"/>
    <w:rsid w:val="00612959"/>
    <w:rsid w:val="00612C46"/>
    <w:rsid w:val="00612FB2"/>
    <w:rsid w:val="006130D4"/>
    <w:rsid w:val="0061335F"/>
    <w:rsid w:val="0061342E"/>
    <w:rsid w:val="006134F6"/>
    <w:rsid w:val="006140C7"/>
    <w:rsid w:val="00615AD2"/>
    <w:rsid w:val="00615C9C"/>
    <w:rsid w:val="00615CB6"/>
    <w:rsid w:val="00615FEA"/>
    <w:rsid w:val="006166F5"/>
    <w:rsid w:val="0061687B"/>
    <w:rsid w:val="006176EA"/>
    <w:rsid w:val="006206C5"/>
    <w:rsid w:val="006214BF"/>
    <w:rsid w:val="00621613"/>
    <w:rsid w:val="00621653"/>
    <w:rsid w:val="00621F8E"/>
    <w:rsid w:val="00622AD0"/>
    <w:rsid w:val="00622AFA"/>
    <w:rsid w:val="00623C8E"/>
    <w:rsid w:val="006244A3"/>
    <w:rsid w:val="00624591"/>
    <w:rsid w:val="006245C6"/>
    <w:rsid w:val="00624A78"/>
    <w:rsid w:val="006252B9"/>
    <w:rsid w:val="0062539C"/>
    <w:rsid w:val="006255AC"/>
    <w:rsid w:val="0062598B"/>
    <w:rsid w:val="00625AA2"/>
    <w:rsid w:val="00625D19"/>
    <w:rsid w:val="00625D5D"/>
    <w:rsid w:val="00625EAB"/>
    <w:rsid w:val="00625F44"/>
    <w:rsid w:val="006264AA"/>
    <w:rsid w:val="0062685C"/>
    <w:rsid w:val="00626ABF"/>
    <w:rsid w:val="00626B6E"/>
    <w:rsid w:val="00626C60"/>
    <w:rsid w:val="00626FD3"/>
    <w:rsid w:val="00627270"/>
    <w:rsid w:val="00627A38"/>
    <w:rsid w:val="00627A89"/>
    <w:rsid w:val="00630AF6"/>
    <w:rsid w:val="00630B28"/>
    <w:rsid w:val="006310B1"/>
    <w:rsid w:val="00631301"/>
    <w:rsid w:val="006316F2"/>
    <w:rsid w:val="00631FB5"/>
    <w:rsid w:val="0063265D"/>
    <w:rsid w:val="00633324"/>
    <w:rsid w:val="00633BA5"/>
    <w:rsid w:val="00633BAF"/>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96B"/>
    <w:rsid w:val="006407FF"/>
    <w:rsid w:val="00640A4E"/>
    <w:rsid w:val="00640B3F"/>
    <w:rsid w:val="006414DC"/>
    <w:rsid w:val="0064217A"/>
    <w:rsid w:val="006423C0"/>
    <w:rsid w:val="00642788"/>
    <w:rsid w:val="006428D0"/>
    <w:rsid w:val="00643372"/>
    <w:rsid w:val="006438FE"/>
    <w:rsid w:val="00643EF7"/>
    <w:rsid w:val="0064431F"/>
    <w:rsid w:val="00644371"/>
    <w:rsid w:val="0064528D"/>
    <w:rsid w:val="00645F6C"/>
    <w:rsid w:val="00646055"/>
    <w:rsid w:val="00646160"/>
    <w:rsid w:val="00646EA3"/>
    <w:rsid w:val="00647AD9"/>
    <w:rsid w:val="00647E1F"/>
    <w:rsid w:val="00647FE3"/>
    <w:rsid w:val="006508A6"/>
    <w:rsid w:val="00650D2A"/>
    <w:rsid w:val="00650F25"/>
    <w:rsid w:val="0065154C"/>
    <w:rsid w:val="00651D00"/>
    <w:rsid w:val="006524EC"/>
    <w:rsid w:val="00653294"/>
    <w:rsid w:val="006535C8"/>
    <w:rsid w:val="00653CF6"/>
    <w:rsid w:val="0065430A"/>
    <w:rsid w:val="0065459C"/>
    <w:rsid w:val="00654D16"/>
    <w:rsid w:val="006550C1"/>
    <w:rsid w:val="0065558C"/>
    <w:rsid w:val="00655758"/>
    <w:rsid w:val="006559DA"/>
    <w:rsid w:val="00655B9D"/>
    <w:rsid w:val="00656612"/>
    <w:rsid w:val="00656B40"/>
    <w:rsid w:val="00656CBB"/>
    <w:rsid w:val="00656DA1"/>
    <w:rsid w:val="00656F05"/>
    <w:rsid w:val="006570AE"/>
    <w:rsid w:val="006576E3"/>
    <w:rsid w:val="00657C8E"/>
    <w:rsid w:val="006608BD"/>
    <w:rsid w:val="00660A61"/>
    <w:rsid w:val="00660AFD"/>
    <w:rsid w:val="006613D1"/>
    <w:rsid w:val="006614DA"/>
    <w:rsid w:val="006615C8"/>
    <w:rsid w:val="00661989"/>
    <w:rsid w:val="00661FD1"/>
    <w:rsid w:val="0066278E"/>
    <w:rsid w:val="00662D3D"/>
    <w:rsid w:val="006640E0"/>
    <w:rsid w:val="0066422B"/>
    <w:rsid w:val="006642E3"/>
    <w:rsid w:val="0066468D"/>
    <w:rsid w:val="0066587B"/>
    <w:rsid w:val="00665AC8"/>
    <w:rsid w:val="00665C5E"/>
    <w:rsid w:val="00665E01"/>
    <w:rsid w:val="00665EA0"/>
    <w:rsid w:val="00665FAC"/>
    <w:rsid w:val="00666A76"/>
    <w:rsid w:val="00666B27"/>
    <w:rsid w:val="00666DF0"/>
    <w:rsid w:val="006674A2"/>
    <w:rsid w:val="00667627"/>
    <w:rsid w:val="00667B10"/>
    <w:rsid w:val="00667E02"/>
    <w:rsid w:val="00667F38"/>
    <w:rsid w:val="00670138"/>
    <w:rsid w:val="006703D0"/>
    <w:rsid w:val="00670466"/>
    <w:rsid w:val="00670823"/>
    <w:rsid w:val="00670A9D"/>
    <w:rsid w:val="00670B57"/>
    <w:rsid w:val="00670C06"/>
    <w:rsid w:val="00671EF0"/>
    <w:rsid w:val="00672486"/>
    <w:rsid w:val="00672B38"/>
    <w:rsid w:val="00672EC3"/>
    <w:rsid w:val="00673CE8"/>
    <w:rsid w:val="00674A83"/>
    <w:rsid w:val="00674C8F"/>
    <w:rsid w:val="00675432"/>
    <w:rsid w:val="00675B3D"/>
    <w:rsid w:val="00675D07"/>
    <w:rsid w:val="00675E8C"/>
    <w:rsid w:val="00677513"/>
    <w:rsid w:val="00677612"/>
    <w:rsid w:val="0067783C"/>
    <w:rsid w:val="00680080"/>
    <w:rsid w:val="00680091"/>
    <w:rsid w:val="00680685"/>
    <w:rsid w:val="006806D3"/>
    <w:rsid w:val="00681937"/>
    <w:rsid w:val="00681A8A"/>
    <w:rsid w:val="006820B2"/>
    <w:rsid w:val="006820C5"/>
    <w:rsid w:val="00682175"/>
    <w:rsid w:val="0068219D"/>
    <w:rsid w:val="006827E0"/>
    <w:rsid w:val="0068291C"/>
    <w:rsid w:val="00682A53"/>
    <w:rsid w:val="00682B6A"/>
    <w:rsid w:val="00682D89"/>
    <w:rsid w:val="00682E0D"/>
    <w:rsid w:val="0068307F"/>
    <w:rsid w:val="006830DD"/>
    <w:rsid w:val="0068337B"/>
    <w:rsid w:val="0068369F"/>
    <w:rsid w:val="0068382C"/>
    <w:rsid w:val="00683AA4"/>
    <w:rsid w:val="00683BC5"/>
    <w:rsid w:val="00683DBA"/>
    <w:rsid w:val="00684609"/>
    <w:rsid w:val="00684B3A"/>
    <w:rsid w:val="00684F83"/>
    <w:rsid w:val="00685432"/>
    <w:rsid w:val="006856A7"/>
    <w:rsid w:val="0068611B"/>
    <w:rsid w:val="0068646D"/>
    <w:rsid w:val="006868FC"/>
    <w:rsid w:val="00686D80"/>
    <w:rsid w:val="006870E5"/>
    <w:rsid w:val="00687861"/>
    <w:rsid w:val="00687A2D"/>
    <w:rsid w:val="0069012A"/>
    <w:rsid w:val="006903B1"/>
    <w:rsid w:val="00690501"/>
    <w:rsid w:val="00690B13"/>
    <w:rsid w:val="00691110"/>
    <w:rsid w:val="006914F8"/>
    <w:rsid w:val="006915DE"/>
    <w:rsid w:val="00691D2F"/>
    <w:rsid w:val="006921E6"/>
    <w:rsid w:val="00692602"/>
    <w:rsid w:val="00692B95"/>
    <w:rsid w:val="00692BE3"/>
    <w:rsid w:val="00693539"/>
    <w:rsid w:val="0069368E"/>
    <w:rsid w:val="00694786"/>
    <w:rsid w:val="0069489D"/>
    <w:rsid w:val="00694ECB"/>
    <w:rsid w:val="006953EB"/>
    <w:rsid w:val="006957EB"/>
    <w:rsid w:val="00695D69"/>
    <w:rsid w:val="00696B9B"/>
    <w:rsid w:val="00696D59"/>
    <w:rsid w:val="00697C0E"/>
    <w:rsid w:val="006A046A"/>
    <w:rsid w:val="006A05E3"/>
    <w:rsid w:val="006A183A"/>
    <w:rsid w:val="006A249E"/>
    <w:rsid w:val="006A2559"/>
    <w:rsid w:val="006A27A2"/>
    <w:rsid w:val="006A2861"/>
    <w:rsid w:val="006A3810"/>
    <w:rsid w:val="006A3CAA"/>
    <w:rsid w:val="006A4914"/>
    <w:rsid w:val="006A4C4B"/>
    <w:rsid w:val="006A4CAD"/>
    <w:rsid w:val="006A54B4"/>
    <w:rsid w:val="006A5802"/>
    <w:rsid w:val="006A599D"/>
    <w:rsid w:val="006A5B11"/>
    <w:rsid w:val="006A610C"/>
    <w:rsid w:val="006A611E"/>
    <w:rsid w:val="006A62A7"/>
    <w:rsid w:val="006A68A3"/>
    <w:rsid w:val="006A6A9E"/>
    <w:rsid w:val="006A6B98"/>
    <w:rsid w:val="006A6D78"/>
    <w:rsid w:val="006A6FE0"/>
    <w:rsid w:val="006A79F2"/>
    <w:rsid w:val="006A7C21"/>
    <w:rsid w:val="006A7CF4"/>
    <w:rsid w:val="006B0293"/>
    <w:rsid w:val="006B0A04"/>
    <w:rsid w:val="006B181B"/>
    <w:rsid w:val="006B1B7F"/>
    <w:rsid w:val="006B1E13"/>
    <w:rsid w:val="006B27B7"/>
    <w:rsid w:val="006B2827"/>
    <w:rsid w:val="006B28AB"/>
    <w:rsid w:val="006B2CA0"/>
    <w:rsid w:val="006B368D"/>
    <w:rsid w:val="006B3C52"/>
    <w:rsid w:val="006B3F2D"/>
    <w:rsid w:val="006B4E1D"/>
    <w:rsid w:val="006B4F6A"/>
    <w:rsid w:val="006B52AF"/>
    <w:rsid w:val="006B5629"/>
    <w:rsid w:val="006B5925"/>
    <w:rsid w:val="006B67FA"/>
    <w:rsid w:val="006B7273"/>
    <w:rsid w:val="006C05CA"/>
    <w:rsid w:val="006C0CA0"/>
    <w:rsid w:val="006C1140"/>
    <w:rsid w:val="006C13EC"/>
    <w:rsid w:val="006C196B"/>
    <w:rsid w:val="006C1A36"/>
    <w:rsid w:val="006C1B1C"/>
    <w:rsid w:val="006C1B8E"/>
    <w:rsid w:val="006C1F00"/>
    <w:rsid w:val="006C2923"/>
    <w:rsid w:val="006C2D0C"/>
    <w:rsid w:val="006C32E6"/>
    <w:rsid w:val="006C34C4"/>
    <w:rsid w:val="006C3698"/>
    <w:rsid w:val="006C3AA6"/>
    <w:rsid w:val="006C4102"/>
    <w:rsid w:val="006C4582"/>
    <w:rsid w:val="006C45A0"/>
    <w:rsid w:val="006C4C7C"/>
    <w:rsid w:val="006C4FAE"/>
    <w:rsid w:val="006C5B17"/>
    <w:rsid w:val="006C6072"/>
    <w:rsid w:val="006C64A7"/>
    <w:rsid w:val="006C6BF7"/>
    <w:rsid w:val="006C7027"/>
    <w:rsid w:val="006C70CC"/>
    <w:rsid w:val="006C79B7"/>
    <w:rsid w:val="006D0578"/>
    <w:rsid w:val="006D136F"/>
    <w:rsid w:val="006D1842"/>
    <w:rsid w:val="006D2049"/>
    <w:rsid w:val="006D2C73"/>
    <w:rsid w:val="006D31E1"/>
    <w:rsid w:val="006D39AC"/>
    <w:rsid w:val="006D3A59"/>
    <w:rsid w:val="006D43CA"/>
    <w:rsid w:val="006D4741"/>
    <w:rsid w:val="006D54AF"/>
    <w:rsid w:val="006D5911"/>
    <w:rsid w:val="006D5F08"/>
    <w:rsid w:val="006D6763"/>
    <w:rsid w:val="006D6807"/>
    <w:rsid w:val="006D6B6D"/>
    <w:rsid w:val="006D6CD4"/>
    <w:rsid w:val="006D6EC5"/>
    <w:rsid w:val="006D796D"/>
    <w:rsid w:val="006D7B3E"/>
    <w:rsid w:val="006D7BED"/>
    <w:rsid w:val="006E037C"/>
    <w:rsid w:val="006E0441"/>
    <w:rsid w:val="006E1F90"/>
    <w:rsid w:val="006E2A3A"/>
    <w:rsid w:val="006E2A88"/>
    <w:rsid w:val="006E3197"/>
    <w:rsid w:val="006E3851"/>
    <w:rsid w:val="006E3B0E"/>
    <w:rsid w:val="006E3CBA"/>
    <w:rsid w:val="006E3DF5"/>
    <w:rsid w:val="006E3E42"/>
    <w:rsid w:val="006E4088"/>
    <w:rsid w:val="006E40C1"/>
    <w:rsid w:val="006E4128"/>
    <w:rsid w:val="006E426A"/>
    <w:rsid w:val="006E4871"/>
    <w:rsid w:val="006E4A87"/>
    <w:rsid w:val="006E4E02"/>
    <w:rsid w:val="006E582F"/>
    <w:rsid w:val="006E5B14"/>
    <w:rsid w:val="006E63DF"/>
    <w:rsid w:val="006E65F7"/>
    <w:rsid w:val="006E6A6F"/>
    <w:rsid w:val="006E6CD8"/>
    <w:rsid w:val="006E709F"/>
    <w:rsid w:val="006E732F"/>
    <w:rsid w:val="006E7929"/>
    <w:rsid w:val="006E7EA0"/>
    <w:rsid w:val="006F0051"/>
    <w:rsid w:val="006F0130"/>
    <w:rsid w:val="006F0441"/>
    <w:rsid w:val="006F0E20"/>
    <w:rsid w:val="006F13A5"/>
    <w:rsid w:val="006F1845"/>
    <w:rsid w:val="006F1BAB"/>
    <w:rsid w:val="006F1D31"/>
    <w:rsid w:val="006F2142"/>
    <w:rsid w:val="006F2256"/>
    <w:rsid w:val="006F2339"/>
    <w:rsid w:val="006F2CCF"/>
    <w:rsid w:val="006F305C"/>
    <w:rsid w:val="006F308D"/>
    <w:rsid w:val="006F34D6"/>
    <w:rsid w:val="006F36E4"/>
    <w:rsid w:val="006F37AA"/>
    <w:rsid w:val="006F3972"/>
    <w:rsid w:val="006F3AFD"/>
    <w:rsid w:val="006F3C04"/>
    <w:rsid w:val="006F4195"/>
    <w:rsid w:val="006F461E"/>
    <w:rsid w:val="006F47AD"/>
    <w:rsid w:val="006F493B"/>
    <w:rsid w:val="006F4CD7"/>
    <w:rsid w:val="006F52C8"/>
    <w:rsid w:val="006F5941"/>
    <w:rsid w:val="006F600C"/>
    <w:rsid w:val="006F6033"/>
    <w:rsid w:val="006F6400"/>
    <w:rsid w:val="006F67CB"/>
    <w:rsid w:val="006F69A5"/>
    <w:rsid w:val="006F7150"/>
    <w:rsid w:val="006F785E"/>
    <w:rsid w:val="00700206"/>
    <w:rsid w:val="007004A4"/>
    <w:rsid w:val="007008FA"/>
    <w:rsid w:val="00700A21"/>
    <w:rsid w:val="00700B85"/>
    <w:rsid w:val="00700D7C"/>
    <w:rsid w:val="007013C0"/>
    <w:rsid w:val="0070195A"/>
    <w:rsid w:val="00701E91"/>
    <w:rsid w:val="0070216B"/>
    <w:rsid w:val="0070216C"/>
    <w:rsid w:val="007025A5"/>
    <w:rsid w:val="007031B3"/>
    <w:rsid w:val="00703E67"/>
    <w:rsid w:val="00704E1C"/>
    <w:rsid w:val="007050EF"/>
    <w:rsid w:val="007051F8"/>
    <w:rsid w:val="007059D6"/>
    <w:rsid w:val="007059DF"/>
    <w:rsid w:val="00705E93"/>
    <w:rsid w:val="00705E9C"/>
    <w:rsid w:val="0070606B"/>
    <w:rsid w:val="007061AB"/>
    <w:rsid w:val="00706A1C"/>
    <w:rsid w:val="00706B5E"/>
    <w:rsid w:val="007079DE"/>
    <w:rsid w:val="00707A93"/>
    <w:rsid w:val="00707ED3"/>
    <w:rsid w:val="00710283"/>
    <w:rsid w:val="00710498"/>
    <w:rsid w:val="0071086E"/>
    <w:rsid w:val="0071098E"/>
    <w:rsid w:val="00710D21"/>
    <w:rsid w:val="00710FE1"/>
    <w:rsid w:val="0071172A"/>
    <w:rsid w:val="00711CD6"/>
    <w:rsid w:val="00711D15"/>
    <w:rsid w:val="00711FFD"/>
    <w:rsid w:val="0071268B"/>
    <w:rsid w:val="0071368B"/>
    <w:rsid w:val="007137D1"/>
    <w:rsid w:val="00715559"/>
    <w:rsid w:val="00715E49"/>
    <w:rsid w:val="00715EDA"/>
    <w:rsid w:val="00715F88"/>
    <w:rsid w:val="00716178"/>
    <w:rsid w:val="00716624"/>
    <w:rsid w:val="0071668C"/>
    <w:rsid w:val="007166EA"/>
    <w:rsid w:val="00716F75"/>
    <w:rsid w:val="007174BB"/>
    <w:rsid w:val="007175F4"/>
    <w:rsid w:val="00717C81"/>
    <w:rsid w:val="00720284"/>
    <w:rsid w:val="00720365"/>
    <w:rsid w:val="00720382"/>
    <w:rsid w:val="00720790"/>
    <w:rsid w:val="0072096D"/>
    <w:rsid w:val="00720BB0"/>
    <w:rsid w:val="00720F89"/>
    <w:rsid w:val="00720FA6"/>
    <w:rsid w:val="0072141E"/>
    <w:rsid w:val="00721613"/>
    <w:rsid w:val="00721FA5"/>
    <w:rsid w:val="00722017"/>
    <w:rsid w:val="00722D29"/>
    <w:rsid w:val="00722F3B"/>
    <w:rsid w:val="007230A0"/>
    <w:rsid w:val="007233AF"/>
    <w:rsid w:val="0072349E"/>
    <w:rsid w:val="007236DC"/>
    <w:rsid w:val="00723C31"/>
    <w:rsid w:val="00723EA4"/>
    <w:rsid w:val="00724288"/>
    <w:rsid w:val="0072475F"/>
    <w:rsid w:val="00724A73"/>
    <w:rsid w:val="00724A92"/>
    <w:rsid w:val="00724D5D"/>
    <w:rsid w:val="00725023"/>
    <w:rsid w:val="0072518E"/>
    <w:rsid w:val="007255C5"/>
    <w:rsid w:val="007255FD"/>
    <w:rsid w:val="007259BD"/>
    <w:rsid w:val="00726406"/>
    <w:rsid w:val="00730692"/>
    <w:rsid w:val="00730ABC"/>
    <w:rsid w:val="00730B4A"/>
    <w:rsid w:val="007315E7"/>
    <w:rsid w:val="00731C11"/>
    <w:rsid w:val="00731F0C"/>
    <w:rsid w:val="00732217"/>
    <w:rsid w:val="00732600"/>
    <w:rsid w:val="00732712"/>
    <w:rsid w:val="00732F43"/>
    <w:rsid w:val="00733258"/>
    <w:rsid w:val="0073393D"/>
    <w:rsid w:val="00733A97"/>
    <w:rsid w:val="0073479D"/>
    <w:rsid w:val="00734B9F"/>
    <w:rsid w:val="00734DFD"/>
    <w:rsid w:val="0073518C"/>
    <w:rsid w:val="007354EF"/>
    <w:rsid w:val="00735640"/>
    <w:rsid w:val="00736733"/>
    <w:rsid w:val="0073673A"/>
    <w:rsid w:val="007369A5"/>
    <w:rsid w:val="00736B97"/>
    <w:rsid w:val="00736DBB"/>
    <w:rsid w:val="00740309"/>
    <w:rsid w:val="00740665"/>
    <w:rsid w:val="00740F26"/>
    <w:rsid w:val="00742AEE"/>
    <w:rsid w:val="00742B41"/>
    <w:rsid w:val="00743544"/>
    <w:rsid w:val="007440E9"/>
    <w:rsid w:val="00744F42"/>
    <w:rsid w:val="0074598F"/>
    <w:rsid w:val="007464D5"/>
    <w:rsid w:val="00746633"/>
    <w:rsid w:val="00746B6A"/>
    <w:rsid w:val="00746FD3"/>
    <w:rsid w:val="007471CE"/>
    <w:rsid w:val="0074731A"/>
    <w:rsid w:val="007473E3"/>
    <w:rsid w:val="00747952"/>
    <w:rsid w:val="00747ABB"/>
    <w:rsid w:val="00747FC1"/>
    <w:rsid w:val="0075064F"/>
    <w:rsid w:val="0075070A"/>
    <w:rsid w:val="007510AE"/>
    <w:rsid w:val="007513A1"/>
    <w:rsid w:val="00751975"/>
    <w:rsid w:val="00751D79"/>
    <w:rsid w:val="007521FF"/>
    <w:rsid w:val="007523E4"/>
    <w:rsid w:val="00752D03"/>
    <w:rsid w:val="00752DE4"/>
    <w:rsid w:val="007530EF"/>
    <w:rsid w:val="00753293"/>
    <w:rsid w:val="00753CC9"/>
    <w:rsid w:val="00754034"/>
    <w:rsid w:val="0075427C"/>
    <w:rsid w:val="00754402"/>
    <w:rsid w:val="00754C5D"/>
    <w:rsid w:val="007556C7"/>
    <w:rsid w:val="00755AAD"/>
    <w:rsid w:val="0075690B"/>
    <w:rsid w:val="007570EC"/>
    <w:rsid w:val="00757417"/>
    <w:rsid w:val="00757904"/>
    <w:rsid w:val="00757B4A"/>
    <w:rsid w:val="00757CA1"/>
    <w:rsid w:val="0076005F"/>
    <w:rsid w:val="007603C5"/>
    <w:rsid w:val="00760587"/>
    <w:rsid w:val="0076097B"/>
    <w:rsid w:val="00760A2C"/>
    <w:rsid w:val="00760A49"/>
    <w:rsid w:val="00760D3A"/>
    <w:rsid w:val="00761042"/>
    <w:rsid w:val="00761BD3"/>
    <w:rsid w:val="00761CDB"/>
    <w:rsid w:val="00762199"/>
    <w:rsid w:val="007622B3"/>
    <w:rsid w:val="0076309E"/>
    <w:rsid w:val="00763414"/>
    <w:rsid w:val="00763642"/>
    <w:rsid w:val="0076454B"/>
    <w:rsid w:val="00764918"/>
    <w:rsid w:val="007649D2"/>
    <w:rsid w:val="007654AE"/>
    <w:rsid w:val="00765713"/>
    <w:rsid w:val="0076581D"/>
    <w:rsid w:val="007665EA"/>
    <w:rsid w:val="007675DE"/>
    <w:rsid w:val="00767643"/>
    <w:rsid w:val="0077065D"/>
    <w:rsid w:val="0077088A"/>
    <w:rsid w:val="00770B83"/>
    <w:rsid w:val="00770C5C"/>
    <w:rsid w:val="00770DC8"/>
    <w:rsid w:val="00771B53"/>
    <w:rsid w:val="00772100"/>
    <w:rsid w:val="007721B5"/>
    <w:rsid w:val="00772A5D"/>
    <w:rsid w:val="00772B7D"/>
    <w:rsid w:val="0077331E"/>
    <w:rsid w:val="00773691"/>
    <w:rsid w:val="007739AC"/>
    <w:rsid w:val="00773D9D"/>
    <w:rsid w:val="007744DE"/>
    <w:rsid w:val="00774618"/>
    <w:rsid w:val="00774B54"/>
    <w:rsid w:val="00774B5E"/>
    <w:rsid w:val="00774B94"/>
    <w:rsid w:val="00774DE4"/>
    <w:rsid w:val="0077509F"/>
    <w:rsid w:val="00775366"/>
    <w:rsid w:val="0077552E"/>
    <w:rsid w:val="00775EE3"/>
    <w:rsid w:val="0077767F"/>
    <w:rsid w:val="00780054"/>
    <w:rsid w:val="00780107"/>
    <w:rsid w:val="00780619"/>
    <w:rsid w:val="00780DCC"/>
    <w:rsid w:val="007817B5"/>
    <w:rsid w:val="00781AF1"/>
    <w:rsid w:val="00781B50"/>
    <w:rsid w:val="00781FB8"/>
    <w:rsid w:val="007828C5"/>
    <w:rsid w:val="00782B38"/>
    <w:rsid w:val="00782B8A"/>
    <w:rsid w:val="0078365D"/>
    <w:rsid w:val="007838CE"/>
    <w:rsid w:val="00783D91"/>
    <w:rsid w:val="00784087"/>
    <w:rsid w:val="007846BE"/>
    <w:rsid w:val="007846E7"/>
    <w:rsid w:val="00784852"/>
    <w:rsid w:val="007848E4"/>
    <w:rsid w:val="00784D5B"/>
    <w:rsid w:val="00785427"/>
    <w:rsid w:val="007860C5"/>
    <w:rsid w:val="00786926"/>
    <w:rsid w:val="00786946"/>
    <w:rsid w:val="00786B61"/>
    <w:rsid w:val="00787406"/>
    <w:rsid w:val="007877D6"/>
    <w:rsid w:val="007878A9"/>
    <w:rsid w:val="00787CD1"/>
    <w:rsid w:val="00787D88"/>
    <w:rsid w:val="007902F4"/>
    <w:rsid w:val="00790848"/>
    <w:rsid w:val="0079099A"/>
    <w:rsid w:val="00790AE5"/>
    <w:rsid w:val="00790E66"/>
    <w:rsid w:val="00791151"/>
    <w:rsid w:val="007911A4"/>
    <w:rsid w:val="00791C9A"/>
    <w:rsid w:val="00792938"/>
    <w:rsid w:val="00792BF6"/>
    <w:rsid w:val="00792E9A"/>
    <w:rsid w:val="00793099"/>
    <w:rsid w:val="007934EC"/>
    <w:rsid w:val="00793791"/>
    <w:rsid w:val="007938D0"/>
    <w:rsid w:val="0079426B"/>
    <w:rsid w:val="00794E5C"/>
    <w:rsid w:val="00794EF4"/>
    <w:rsid w:val="00794FA3"/>
    <w:rsid w:val="007952E3"/>
    <w:rsid w:val="007956DE"/>
    <w:rsid w:val="00796317"/>
    <w:rsid w:val="00796397"/>
    <w:rsid w:val="00796666"/>
    <w:rsid w:val="00796807"/>
    <w:rsid w:val="00796CD0"/>
    <w:rsid w:val="00796F56"/>
    <w:rsid w:val="0079709B"/>
    <w:rsid w:val="0079723A"/>
    <w:rsid w:val="00797C8E"/>
    <w:rsid w:val="00797CB0"/>
    <w:rsid w:val="007A031C"/>
    <w:rsid w:val="007A0B1C"/>
    <w:rsid w:val="007A0CCB"/>
    <w:rsid w:val="007A13F6"/>
    <w:rsid w:val="007A1511"/>
    <w:rsid w:val="007A193A"/>
    <w:rsid w:val="007A2ABF"/>
    <w:rsid w:val="007A2D56"/>
    <w:rsid w:val="007A3144"/>
    <w:rsid w:val="007A5377"/>
    <w:rsid w:val="007A53A9"/>
    <w:rsid w:val="007A5C67"/>
    <w:rsid w:val="007A62E1"/>
    <w:rsid w:val="007A746B"/>
    <w:rsid w:val="007A7CEA"/>
    <w:rsid w:val="007A7F2F"/>
    <w:rsid w:val="007B0BE7"/>
    <w:rsid w:val="007B0FE7"/>
    <w:rsid w:val="007B0FEE"/>
    <w:rsid w:val="007B1503"/>
    <w:rsid w:val="007B16FE"/>
    <w:rsid w:val="007B1761"/>
    <w:rsid w:val="007B19B2"/>
    <w:rsid w:val="007B1D5A"/>
    <w:rsid w:val="007B1ED4"/>
    <w:rsid w:val="007B2413"/>
    <w:rsid w:val="007B2EA6"/>
    <w:rsid w:val="007B2F39"/>
    <w:rsid w:val="007B3D2E"/>
    <w:rsid w:val="007B4257"/>
    <w:rsid w:val="007B535B"/>
    <w:rsid w:val="007B555D"/>
    <w:rsid w:val="007B557E"/>
    <w:rsid w:val="007B55E7"/>
    <w:rsid w:val="007B5B38"/>
    <w:rsid w:val="007B5C8C"/>
    <w:rsid w:val="007B60D5"/>
    <w:rsid w:val="007B6147"/>
    <w:rsid w:val="007B71CF"/>
    <w:rsid w:val="007B72D6"/>
    <w:rsid w:val="007B7928"/>
    <w:rsid w:val="007B7CA2"/>
    <w:rsid w:val="007B7D91"/>
    <w:rsid w:val="007B7FF2"/>
    <w:rsid w:val="007C0246"/>
    <w:rsid w:val="007C05B6"/>
    <w:rsid w:val="007C0977"/>
    <w:rsid w:val="007C0B7B"/>
    <w:rsid w:val="007C1019"/>
    <w:rsid w:val="007C1E74"/>
    <w:rsid w:val="007C2A2F"/>
    <w:rsid w:val="007C3023"/>
    <w:rsid w:val="007C34DF"/>
    <w:rsid w:val="007C3833"/>
    <w:rsid w:val="007C42E3"/>
    <w:rsid w:val="007C5B7A"/>
    <w:rsid w:val="007C5CB6"/>
    <w:rsid w:val="007C6114"/>
    <w:rsid w:val="007C635E"/>
    <w:rsid w:val="007C6533"/>
    <w:rsid w:val="007C6D1B"/>
    <w:rsid w:val="007C6E13"/>
    <w:rsid w:val="007C6E71"/>
    <w:rsid w:val="007C6ED6"/>
    <w:rsid w:val="007C79F8"/>
    <w:rsid w:val="007D09A6"/>
    <w:rsid w:val="007D0AB3"/>
    <w:rsid w:val="007D0DC9"/>
    <w:rsid w:val="007D1183"/>
    <w:rsid w:val="007D1C69"/>
    <w:rsid w:val="007D2DC7"/>
    <w:rsid w:val="007D3075"/>
    <w:rsid w:val="007D32A8"/>
    <w:rsid w:val="007D33F8"/>
    <w:rsid w:val="007D3618"/>
    <w:rsid w:val="007D3A5D"/>
    <w:rsid w:val="007D3E16"/>
    <w:rsid w:val="007D4C66"/>
    <w:rsid w:val="007D4FC6"/>
    <w:rsid w:val="007D56ED"/>
    <w:rsid w:val="007D571C"/>
    <w:rsid w:val="007D58EB"/>
    <w:rsid w:val="007D5911"/>
    <w:rsid w:val="007D6BFA"/>
    <w:rsid w:val="007D6DB9"/>
    <w:rsid w:val="007D6E9B"/>
    <w:rsid w:val="007D6F7C"/>
    <w:rsid w:val="007D728B"/>
    <w:rsid w:val="007D72F8"/>
    <w:rsid w:val="007D7590"/>
    <w:rsid w:val="007D7877"/>
    <w:rsid w:val="007D792E"/>
    <w:rsid w:val="007D7CFF"/>
    <w:rsid w:val="007D7DF9"/>
    <w:rsid w:val="007E0122"/>
    <w:rsid w:val="007E0E91"/>
    <w:rsid w:val="007E1251"/>
    <w:rsid w:val="007E1A8E"/>
    <w:rsid w:val="007E2098"/>
    <w:rsid w:val="007E2B43"/>
    <w:rsid w:val="007E3375"/>
    <w:rsid w:val="007E33AD"/>
    <w:rsid w:val="007E36D1"/>
    <w:rsid w:val="007E3A98"/>
    <w:rsid w:val="007E3DD7"/>
    <w:rsid w:val="007E40A9"/>
    <w:rsid w:val="007E4136"/>
    <w:rsid w:val="007E4173"/>
    <w:rsid w:val="007E48EF"/>
    <w:rsid w:val="007E49DB"/>
    <w:rsid w:val="007E4A42"/>
    <w:rsid w:val="007E59A4"/>
    <w:rsid w:val="007E5AA0"/>
    <w:rsid w:val="007E60FB"/>
    <w:rsid w:val="007E6657"/>
    <w:rsid w:val="007E6E85"/>
    <w:rsid w:val="007E7295"/>
    <w:rsid w:val="007E7AC9"/>
    <w:rsid w:val="007E7CE8"/>
    <w:rsid w:val="007F05D0"/>
    <w:rsid w:val="007F0998"/>
    <w:rsid w:val="007F0AD0"/>
    <w:rsid w:val="007F1D81"/>
    <w:rsid w:val="007F1F1D"/>
    <w:rsid w:val="007F20AF"/>
    <w:rsid w:val="007F21F0"/>
    <w:rsid w:val="007F27D0"/>
    <w:rsid w:val="007F2ADD"/>
    <w:rsid w:val="007F30A7"/>
    <w:rsid w:val="007F35C8"/>
    <w:rsid w:val="007F379F"/>
    <w:rsid w:val="007F3C35"/>
    <w:rsid w:val="007F3C36"/>
    <w:rsid w:val="007F3E21"/>
    <w:rsid w:val="007F44F7"/>
    <w:rsid w:val="007F4AAC"/>
    <w:rsid w:val="007F4FB7"/>
    <w:rsid w:val="007F5125"/>
    <w:rsid w:val="007F52D1"/>
    <w:rsid w:val="007F5357"/>
    <w:rsid w:val="007F5483"/>
    <w:rsid w:val="007F57A5"/>
    <w:rsid w:val="007F58BD"/>
    <w:rsid w:val="007F60D4"/>
    <w:rsid w:val="007F6407"/>
    <w:rsid w:val="007F653B"/>
    <w:rsid w:val="007F705A"/>
    <w:rsid w:val="0080030E"/>
    <w:rsid w:val="00800553"/>
    <w:rsid w:val="00800A8F"/>
    <w:rsid w:val="00800DB8"/>
    <w:rsid w:val="008013FF"/>
    <w:rsid w:val="00801536"/>
    <w:rsid w:val="008019E4"/>
    <w:rsid w:val="008028DF"/>
    <w:rsid w:val="00803A0E"/>
    <w:rsid w:val="00803DB3"/>
    <w:rsid w:val="008041EB"/>
    <w:rsid w:val="008042E0"/>
    <w:rsid w:val="00804A61"/>
    <w:rsid w:val="0080519E"/>
    <w:rsid w:val="00805C33"/>
    <w:rsid w:val="008061CA"/>
    <w:rsid w:val="008062CB"/>
    <w:rsid w:val="00806AED"/>
    <w:rsid w:val="008070D0"/>
    <w:rsid w:val="008071BF"/>
    <w:rsid w:val="00807AE4"/>
    <w:rsid w:val="00807DD3"/>
    <w:rsid w:val="00807F49"/>
    <w:rsid w:val="00810591"/>
    <w:rsid w:val="00810A26"/>
    <w:rsid w:val="00810A80"/>
    <w:rsid w:val="00810FD9"/>
    <w:rsid w:val="008110FE"/>
    <w:rsid w:val="00811350"/>
    <w:rsid w:val="00811A85"/>
    <w:rsid w:val="00811F60"/>
    <w:rsid w:val="00812001"/>
    <w:rsid w:val="0081321A"/>
    <w:rsid w:val="008132F7"/>
    <w:rsid w:val="0081384D"/>
    <w:rsid w:val="008141ED"/>
    <w:rsid w:val="00814B96"/>
    <w:rsid w:val="00814FB9"/>
    <w:rsid w:val="00815277"/>
    <w:rsid w:val="008154A9"/>
    <w:rsid w:val="008158DB"/>
    <w:rsid w:val="00815C1C"/>
    <w:rsid w:val="00816389"/>
    <w:rsid w:val="008163F5"/>
    <w:rsid w:val="008165F1"/>
    <w:rsid w:val="00816A45"/>
    <w:rsid w:val="00816BDB"/>
    <w:rsid w:val="00816E15"/>
    <w:rsid w:val="00817259"/>
    <w:rsid w:val="00817762"/>
    <w:rsid w:val="008200BB"/>
    <w:rsid w:val="0082052C"/>
    <w:rsid w:val="008207DB"/>
    <w:rsid w:val="00820B1A"/>
    <w:rsid w:val="008213F4"/>
    <w:rsid w:val="00821AFD"/>
    <w:rsid w:val="00821E53"/>
    <w:rsid w:val="008224ED"/>
    <w:rsid w:val="0082267F"/>
    <w:rsid w:val="00822C4C"/>
    <w:rsid w:val="008238B5"/>
    <w:rsid w:val="00823E32"/>
    <w:rsid w:val="00824685"/>
    <w:rsid w:val="00824C1E"/>
    <w:rsid w:val="00824DB6"/>
    <w:rsid w:val="008253E8"/>
    <w:rsid w:val="00825878"/>
    <w:rsid w:val="00825E44"/>
    <w:rsid w:val="008265A0"/>
    <w:rsid w:val="00826668"/>
    <w:rsid w:val="00826C9B"/>
    <w:rsid w:val="00826EA0"/>
    <w:rsid w:val="00826EFD"/>
    <w:rsid w:val="00827073"/>
    <w:rsid w:val="0082707E"/>
    <w:rsid w:val="008277AC"/>
    <w:rsid w:val="00827FD9"/>
    <w:rsid w:val="0083040D"/>
    <w:rsid w:val="008308EC"/>
    <w:rsid w:val="008309D4"/>
    <w:rsid w:val="0083141B"/>
    <w:rsid w:val="00831D6F"/>
    <w:rsid w:val="00832210"/>
    <w:rsid w:val="008322BD"/>
    <w:rsid w:val="00832D93"/>
    <w:rsid w:val="00833BC2"/>
    <w:rsid w:val="00833C8F"/>
    <w:rsid w:val="00833DD5"/>
    <w:rsid w:val="00833E43"/>
    <w:rsid w:val="008343BF"/>
    <w:rsid w:val="00834B68"/>
    <w:rsid w:val="008353EB"/>
    <w:rsid w:val="008354D7"/>
    <w:rsid w:val="00835BA1"/>
    <w:rsid w:val="00835D63"/>
    <w:rsid w:val="00836A41"/>
    <w:rsid w:val="0083706B"/>
    <w:rsid w:val="00837417"/>
    <w:rsid w:val="00837BDA"/>
    <w:rsid w:val="00837BF7"/>
    <w:rsid w:val="008404D1"/>
    <w:rsid w:val="008405EC"/>
    <w:rsid w:val="00840992"/>
    <w:rsid w:val="00840B96"/>
    <w:rsid w:val="00841551"/>
    <w:rsid w:val="00841D0A"/>
    <w:rsid w:val="00841FC9"/>
    <w:rsid w:val="0084204E"/>
    <w:rsid w:val="008423A0"/>
    <w:rsid w:val="008428EC"/>
    <w:rsid w:val="00843159"/>
    <w:rsid w:val="008432CB"/>
    <w:rsid w:val="00843451"/>
    <w:rsid w:val="00843895"/>
    <w:rsid w:val="00844305"/>
    <w:rsid w:val="008443F5"/>
    <w:rsid w:val="00844C43"/>
    <w:rsid w:val="00845077"/>
    <w:rsid w:val="008458FE"/>
    <w:rsid w:val="00845C9E"/>
    <w:rsid w:val="00845E04"/>
    <w:rsid w:val="008466F0"/>
    <w:rsid w:val="00846FE0"/>
    <w:rsid w:val="00847AB0"/>
    <w:rsid w:val="0085067A"/>
    <w:rsid w:val="008507EB"/>
    <w:rsid w:val="0085142B"/>
    <w:rsid w:val="00851FA7"/>
    <w:rsid w:val="00852BE3"/>
    <w:rsid w:val="00852C5A"/>
    <w:rsid w:val="00852F5B"/>
    <w:rsid w:val="00853483"/>
    <w:rsid w:val="0085364F"/>
    <w:rsid w:val="0085423A"/>
    <w:rsid w:val="0085452F"/>
    <w:rsid w:val="00855272"/>
    <w:rsid w:val="00855695"/>
    <w:rsid w:val="00855974"/>
    <w:rsid w:val="00855F37"/>
    <w:rsid w:val="0085629B"/>
    <w:rsid w:val="00856A2C"/>
    <w:rsid w:val="00856ADC"/>
    <w:rsid w:val="00857181"/>
    <w:rsid w:val="008571BA"/>
    <w:rsid w:val="008571D4"/>
    <w:rsid w:val="008603D3"/>
    <w:rsid w:val="008606FD"/>
    <w:rsid w:val="008613EF"/>
    <w:rsid w:val="00861607"/>
    <w:rsid w:val="00861B9A"/>
    <w:rsid w:val="00862196"/>
    <w:rsid w:val="0086219E"/>
    <w:rsid w:val="0086255F"/>
    <w:rsid w:val="00862DCF"/>
    <w:rsid w:val="00862E50"/>
    <w:rsid w:val="0086371F"/>
    <w:rsid w:val="00863767"/>
    <w:rsid w:val="008638A7"/>
    <w:rsid w:val="00863B22"/>
    <w:rsid w:val="0086407F"/>
    <w:rsid w:val="00864468"/>
    <w:rsid w:val="008644B7"/>
    <w:rsid w:val="008645AF"/>
    <w:rsid w:val="008647F9"/>
    <w:rsid w:val="00864E95"/>
    <w:rsid w:val="008650F8"/>
    <w:rsid w:val="00865184"/>
    <w:rsid w:val="00865C94"/>
    <w:rsid w:val="00865FBF"/>
    <w:rsid w:val="00866416"/>
    <w:rsid w:val="008671BD"/>
    <w:rsid w:val="00867A0F"/>
    <w:rsid w:val="00867E75"/>
    <w:rsid w:val="00870206"/>
    <w:rsid w:val="00870394"/>
    <w:rsid w:val="00870D61"/>
    <w:rsid w:val="00870F61"/>
    <w:rsid w:val="00871931"/>
    <w:rsid w:val="00871D31"/>
    <w:rsid w:val="00872665"/>
    <w:rsid w:val="00872742"/>
    <w:rsid w:val="00872BA7"/>
    <w:rsid w:val="00872D48"/>
    <w:rsid w:val="00872DA4"/>
    <w:rsid w:val="008736C5"/>
    <w:rsid w:val="0087426E"/>
    <w:rsid w:val="0087437D"/>
    <w:rsid w:val="008747AE"/>
    <w:rsid w:val="00875203"/>
    <w:rsid w:val="00875F6E"/>
    <w:rsid w:val="00876132"/>
    <w:rsid w:val="0087632B"/>
    <w:rsid w:val="00876C64"/>
    <w:rsid w:val="00877275"/>
    <w:rsid w:val="008776C0"/>
    <w:rsid w:val="00877F62"/>
    <w:rsid w:val="008805A1"/>
    <w:rsid w:val="00880B7D"/>
    <w:rsid w:val="00880F8D"/>
    <w:rsid w:val="00881A26"/>
    <w:rsid w:val="00881B56"/>
    <w:rsid w:val="00881CA0"/>
    <w:rsid w:val="00881F0F"/>
    <w:rsid w:val="0088356A"/>
    <w:rsid w:val="008836FB"/>
    <w:rsid w:val="008839FE"/>
    <w:rsid w:val="00884F69"/>
    <w:rsid w:val="00885110"/>
    <w:rsid w:val="0088566C"/>
    <w:rsid w:val="00886C14"/>
    <w:rsid w:val="00886F9C"/>
    <w:rsid w:val="008870DF"/>
    <w:rsid w:val="00887335"/>
    <w:rsid w:val="008879E9"/>
    <w:rsid w:val="00887AA1"/>
    <w:rsid w:val="00887C90"/>
    <w:rsid w:val="00890113"/>
    <w:rsid w:val="00890195"/>
    <w:rsid w:val="00890845"/>
    <w:rsid w:val="008908CF"/>
    <w:rsid w:val="00890923"/>
    <w:rsid w:val="00890C9A"/>
    <w:rsid w:val="00890CC6"/>
    <w:rsid w:val="00890E3C"/>
    <w:rsid w:val="008919DB"/>
    <w:rsid w:val="00891A9E"/>
    <w:rsid w:val="00891B71"/>
    <w:rsid w:val="00892610"/>
    <w:rsid w:val="008926FB"/>
    <w:rsid w:val="008927A0"/>
    <w:rsid w:val="00892B01"/>
    <w:rsid w:val="00892C64"/>
    <w:rsid w:val="0089333E"/>
    <w:rsid w:val="008934A9"/>
    <w:rsid w:val="00893AC6"/>
    <w:rsid w:val="00894280"/>
    <w:rsid w:val="0089430E"/>
    <w:rsid w:val="008948C7"/>
    <w:rsid w:val="00894D47"/>
    <w:rsid w:val="008960B4"/>
    <w:rsid w:val="00896458"/>
    <w:rsid w:val="00896601"/>
    <w:rsid w:val="008966D4"/>
    <w:rsid w:val="00896798"/>
    <w:rsid w:val="0089737D"/>
    <w:rsid w:val="008976A4"/>
    <w:rsid w:val="00897773"/>
    <w:rsid w:val="008A048B"/>
    <w:rsid w:val="008A0C8F"/>
    <w:rsid w:val="008A1015"/>
    <w:rsid w:val="008A11E1"/>
    <w:rsid w:val="008A134C"/>
    <w:rsid w:val="008A1B63"/>
    <w:rsid w:val="008A2447"/>
    <w:rsid w:val="008A347C"/>
    <w:rsid w:val="008A3645"/>
    <w:rsid w:val="008A40B2"/>
    <w:rsid w:val="008A4316"/>
    <w:rsid w:val="008A437F"/>
    <w:rsid w:val="008A49F4"/>
    <w:rsid w:val="008A5C8C"/>
    <w:rsid w:val="008A5E27"/>
    <w:rsid w:val="008A6548"/>
    <w:rsid w:val="008A6833"/>
    <w:rsid w:val="008A690C"/>
    <w:rsid w:val="008A6C89"/>
    <w:rsid w:val="008B0335"/>
    <w:rsid w:val="008B0CE7"/>
    <w:rsid w:val="008B0E4B"/>
    <w:rsid w:val="008B0F0C"/>
    <w:rsid w:val="008B2137"/>
    <w:rsid w:val="008B2522"/>
    <w:rsid w:val="008B2C36"/>
    <w:rsid w:val="008B3177"/>
    <w:rsid w:val="008B3690"/>
    <w:rsid w:val="008B3C2C"/>
    <w:rsid w:val="008B3CF0"/>
    <w:rsid w:val="008B3D0C"/>
    <w:rsid w:val="008B44D3"/>
    <w:rsid w:val="008B509D"/>
    <w:rsid w:val="008B5186"/>
    <w:rsid w:val="008B51DB"/>
    <w:rsid w:val="008B52C3"/>
    <w:rsid w:val="008B55F8"/>
    <w:rsid w:val="008B6082"/>
    <w:rsid w:val="008B620D"/>
    <w:rsid w:val="008B6670"/>
    <w:rsid w:val="008B681D"/>
    <w:rsid w:val="008B693A"/>
    <w:rsid w:val="008B76AE"/>
    <w:rsid w:val="008B7F96"/>
    <w:rsid w:val="008C00DB"/>
    <w:rsid w:val="008C0DC2"/>
    <w:rsid w:val="008C19AB"/>
    <w:rsid w:val="008C19D1"/>
    <w:rsid w:val="008C2511"/>
    <w:rsid w:val="008C2684"/>
    <w:rsid w:val="008C27C6"/>
    <w:rsid w:val="008C2EDC"/>
    <w:rsid w:val="008C335A"/>
    <w:rsid w:val="008C33EC"/>
    <w:rsid w:val="008C3F68"/>
    <w:rsid w:val="008C427F"/>
    <w:rsid w:val="008C48A1"/>
    <w:rsid w:val="008C4BD6"/>
    <w:rsid w:val="008C525A"/>
    <w:rsid w:val="008C527C"/>
    <w:rsid w:val="008C5646"/>
    <w:rsid w:val="008C5ACE"/>
    <w:rsid w:val="008C5DA0"/>
    <w:rsid w:val="008C6272"/>
    <w:rsid w:val="008C6556"/>
    <w:rsid w:val="008C65EB"/>
    <w:rsid w:val="008C677D"/>
    <w:rsid w:val="008C6C80"/>
    <w:rsid w:val="008C6F0C"/>
    <w:rsid w:val="008C70F7"/>
    <w:rsid w:val="008C72AA"/>
    <w:rsid w:val="008C7547"/>
    <w:rsid w:val="008C776C"/>
    <w:rsid w:val="008C7EE3"/>
    <w:rsid w:val="008D0E78"/>
    <w:rsid w:val="008D0E81"/>
    <w:rsid w:val="008D1705"/>
    <w:rsid w:val="008D1823"/>
    <w:rsid w:val="008D1CF3"/>
    <w:rsid w:val="008D1EBA"/>
    <w:rsid w:val="008D2FB7"/>
    <w:rsid w:val="008D338C"/>
    <w:rsid w:val="008D390F"/>
    <w:rsid w:val="008D481E"/>
    <w:rsid w:val="008D486A"/>
    <w:rsid w:val="008D52DE"/>
    <w:rsid w:val="008D552A"/>
    <w:rsid w:val="008D6A1D"/>
    <w:rsid w:val="008D6E8C"/>
    <w:rsid w:val="008D742A"/>
    <w:rsid w:val="008D78A2"/>
    <w:rsid w:val="008D7E23"/>
    <w:rsid w:val="008E019F"/>
    <w:rsid w:val="008E049F"/>
    <w:rsid w:val="008E12EE"/>
    <w:rsid w:val="008E1554"/>
    <w:rsid w:val="008E1A75"/>
    <w:rsid w:val="008E1B6D"/>
    <w:rsid w:val="008E1EE1"/>
    <w:rsid w:val="008E216C"/>
    <w:rsid w:val="008E251A"/>
    <w:rsid w:val="008E2521"/>
    <w:rsid w:val="008E26A0"/>
    <w:rsid w:val="008E27C2"/>
    <w:rsid w:val="008E2DA9"/>
    <w:rsid w:val="008E3106"/>
    <w:rsid w:val="008E31DD"/>
    <w:rsid w:val="008E31DE"/>
    <w:rsid w:val="008E3490"/>
    <w:rsid w:val="008E355F"/>
    <w:rsid w:val="008E4727"/>
    <w:rsid w:val="008E495B"/>
    <w:rsid w:val="008E5310"/>
    <w:rsid w:val="008E5C1F"/>
    <w:rsid w:val="008E634D"/>
    <w:rsid w:val="008E6D2F"/>
    <w:rsid w:val="008E7428"/>
    <w:rsid w:val="008E776B"/>
    <w:rsid w:val="008E7842"/>
    <w:rsid w:val="008F0894"/>
    <w:rsid w:val="008F08EA"/>
    <w:rsid w:val="008F0C64"/>
    <w:rsid w:val="008F0EBC"/>
    <w:rsid w:val="008F1069"/>
    <w:rsid w:val="008F165E"/>
    <w:rsid w:val="008F194C"/>
    <w:rsid w:val="008F194D"/>
    <w:rsid w:val="008F19A0"/>
    <w:rsid w:val="008F19B4"/>
    <w:rsid w:val="008F1BB8"/>
    <w:rsid w:val="008F2096"/>
    <w:rsid w:val="008F2362"/>
    <w:rsid w:val="008F2451"/>
    <w:rsid w:val="008F2F73"/>
    <w:rsid w:val="008F3357"/>
    <w:rsid w:val="008F3806"/>
    <w:rsid w:val="008F3FF3"/>
    <w:rsid w:val="008F4431"/>
    <w:rsid w:val="008F45C4"/>
    <w:rsid w:val="008F4712"/>
    <w:rsid w:val="008F486A"/>
    <w:rsid w:val="008F5291"/>
    <w:rsid w:val="008F5508"/>
    <w:rsid w:val="008F5693"/>
    <w:rsid w:val="008F5E11"/>
    <w:rsid w:val="008F5F49"/>
    <w:rsid w:val="008F6043"/>
    <w:rsid w:val="008F6495"/>
    <w:rsid w:val="008F665F"/>
    <w:rsid w:val="008F68B9"/>
    <w:rsid w:val="008F6FAB"/>
    <w:rsid w:val="008F7176"/>
    <w:rsid w:val="008F7B3D"/>
    <w:rsid w:val="008F7B8A"/>
    <w:rsid w:val="008F7F77"/>
    <w:rsid w:val="00900031"/>
    <w:rsid w:val="009011B2"/>
    <w:rsid w:val="00901C95"/>
    <w:rsid w:val="00901CCD"/>
    <w:rsid w:val="00901ED0"/>
    <w:rsid w:val="00902418"/>
    <w:rsid w:val="00902441"/>
    <w:rsid w:val="00902512"/>
    <w:rsid w:val="00902870"/>
    <w:rsid w:val="00902C1B"/>
    <w:rsid w:val="00902CA5"/>
    <w:rsid w:val="00902E76"/>
    <w:rsid w:val="0090403D"/>
    <w:rsid w:val="00904182"/>
    <w:rsid w:val="009041E1"/>
    <w:rsid w:val="009046BA"/>
    <w:rsid w:val="0090492C"/>
    <w:rsid w:val="00904D59"/>
    <w:rsid w:val="00905FEF"/>
    <w:rsid w:val="00906AF7"/>
    <w:rsid w:val="00906F14"/>
    <w:rsid w:val="009078F9"/>
    <w:rsid w:val="00907B1B"/>
    <w:rsid w:val="00907C61"/>
    <w:rsid w:val="00907D58"/>
    <w:rsid w:val="00910320"/>
    <w:rsid w:val="0091089B"/>
    <w:rsid w:val="00910BED"/>
    <w:rsid w:val="00910E9A"/>
    <w:rsid w:val="00910F27"/>
    <w:rsid w:val="0091101E"/>
    <w:rsid w:val="0091140F"/>
    <w:rsid w:val="00911D16"/>
    <w:rsid w:val="00912142"/>
    <w:rsid w:val="0091291E"/>
    <w:rsid w:val="00912D5B"/>
    <w:rsid w:val="00912DA1"/>
    <w:rsid w:val="009132ED"/>
    <w:rsid w:val="00913747"/>
    <w:rsid w:val="00913A83"/>
    <w:rsid w:val="00913CF3"/>
    <w:rsid w:val="00913E1F"/>
    <w:rsid w:val="009141F1"/>
    <w:rsid w:val="0091495C"/>
    <w:rsid w:val="00914CAB"/>
    <w:rsid w:val="00914E41"/>
    <w:rsid w:val="00914F84"/>
    <w:rsid w:val="0091550C"/>
    <w:rsid w:val="00915A79"/>
    <w:rsid w:val="00915AE4"/>
    <w:rsid w:val="00915C10"/>
    <w:rsid w:val="00916406"/>
    <w:rsid w:val="00916D52"/>
    <w:rsid w:val="00917315"/>
    <w:rsid w:val="00917B6A"/>
    <w:rsid w:val="00920360"/>
    <w:rsid w:val="009205D3"/>
    <w:rsid w:val="009206D3"/>
    <w:rsid w:val="009211C1"/>
    <w:rsid w:val="00921B4A"/>
    <w:rsid w:val="0092262A"/>
    <w:rsid w:val="00922A16"/>
    <w:rsid w:val="00922ADB"/>
    <w:rsid w:val="00922ED3"/>
    <w:rsid w:val="00923C81"/>
    <w:rsid w:val="00924623"/>
    <w:rsid w:val="00924E59"/>
    <w:rsid w:val="00925FB8"/>
    <w:rsid w:val="00926656"/>
    <w:rsid w:val="00926CC0"/>
    <w:rsid w:val="00927CDF"/>
    <w:rsid w:val="00927E57"/>
    <w:rsid w:val="00930051"/>
    <w:rsid w:val="00930339"/>
    <w:rsid w:val="00930493"/>
    <w:rsid w:val="0093110D"/>
    <w:rsid w:val="00931150"/>
    <w:rsid w:val="0093143C"/>
    <w:rsid w:val="0093185E"/>
    <w:rsid w:val="00931B33"/>
    <w:rsid w:val="00931BBC"/>
    <w:rsid w:val="00931EF2"/>
    <w:rsid w:val="00933126"/>
    <w:rsid w:val="00933E3C"/>
    <w:rsid w:val="00935288"/>
    <w:rsid w:val="0093570E"/>
    <w:rsid w:val="009357ED"/>
    <w:rsid w:val="00935EC6"/>
    <w:rsid w:val="009367DF"/>
    <w:rsid w:val="0093722B"/>
    <w:rsid w:val="009372C1"/>
    <w:rsid w:val="00937AA9"/>
    <w:rsid w:val="00937AB1"/>
    <w:rsid w:val="00940112"/>
    <w:rsid w:val="00940309"/>
    <w:rsid w:val="0094042F"/>
    <w:rsid w:val="009404A8"/>
    <w:rsid w:val="00940679"/>
    <w:rsid w:val="0094068D"/>
    <w:rsid w:val="00940D03"/>
    <w:rsid w:val="00941466"/>
    <w:rsid w:val="009419B9"/>
    <w:rsid w:val="00941CAD"/>
    <w:rsid w:val="00942FFE"/>
    <w:rsid w:val="0094380A"/>
    <w:rsid w:val="00943D64"/>
    <w:rsid w:val="00943EB8"/>
    <w:rsid w:val="009443D8"/>
    <w:rsid w:val="0094440F"/>
    <w:rsid w:val="0094449B"/>
    <w:rsid w:val="00944AB3"/>
    <w:rsid w:val="009454ED"/>
    <w:rsid w:val="0094558D"/>
    <w:rsid w:val="009455A1"/>
    <w:rsid w:val="009465FF"/>
    <w:rsid w:val="00946B36"/>
    <w:rsid w:val="00946FCE"/>
    <w:rsid w:val="0094720D"/>
    <w:rsid w:val="0094781E"/>
    <w:rsid w:val="00947920"/>
    <w:rsid w:val="00950888"/>
    <w:rsid w:val="00950A01"/>
    <w:rsid w:val="00950A76"/>
    <w:rsid w:val="00950D20"/>
    <w:rsid w:val="00950E3D"/>
    <w:rsid w:val="0095193F"/>
    <w:rsid w:val="00951E9C"/>
    <w:rsid w:val="0095235F"/>
    <w:rsid w:val="0095291D"/>
    <w:rsid w:val="00952D37"/>
    <w:rsid w:val="00953501"/>
    <w:rsid w:val="009536A0"/>
    <w:rsid w:val="00953A52"/>
    <w:rsid w:val="00954544"/>
    <w:rsid w:val="00954A3F"/>
    <w:rsid w:val="00955102"/>
    <w:rsid w:val="0095594B"/>
    <w:rsid w:val="00956168"/>
    <w:rsid w:val="0095626D"/>
    <w:rsid w:val="00956810"/>
    <w:rsid w:val="00956E06"/>
    <w:rsid w:val="00956F0F"/>
    <w:rsid w:val="00957325"/>
    <w:rsid w:val="009579C9"/>
    <w:rsid w:val="00957D37"/>
    <w:rsid w:val="009617F8"/>
    <w:rsid w:val="00961B52"/>
    <w:rsid w:val="00961C44"/>
    <w:rsid w:val="00961D9F"/>
    <w:rsid w:val="009620A8"/>
    <w:rsid w:val="00962597"/>
    <w:rsid w:val="009626D4"/>
    <w:rsid w:val="009626F1"/>
    <w:rsid w:val="00962835"/>
    <w:rsid w:val="0096284E"/>
    <w:rsid w:val="00962B9E"/>
    <w:rsid w:val="00962C26"/>
    <w:rsid w:val="00963219"/>
    <w:rsid w:val="0096398E"/>
    <w:rsid w:val="00963AA1"/>
    <w:rsid w:val="00964373"/>
    <w:rsid w:val="009646B2"/>
    <w:rsid w:val="00965861"/>
    <w:rsid w:val="00965BED"/>
    <w:rsid w:val="0096665D"/>
    <w:rsid w:val="00966EC9"/>
    <w:rsid w:val="009673B1"/>
    <w:rsid w:val="00967407"/>
    <w:rsid w:val="0096759F"/>
    <w:rsid w:val="00967A16"/>
    <w:rsid w:val="00967EB1"/>
    <w:rsid w:val="009701BE"/>
    <w:rsid w:val="0097118F"/>
    <w:rsid w:val="009722CC"/>
    <w:rsid w:val="00972CBE"/>
    <w:rsid w:val="009731A1"/>
    <w:rsid w:val="0097343E"/>
    <w:rsid w:val="00973513"/>
    <w:rsid w:val="00973806"/>
    <w:rsid w:val="00974307"/>
    <w:rsid w:val="00974666"/>
    <w:rsid w:val="009747C3"/>
    <w:rsid w:val="009748EE"/>
    <w:rsid w:val="00974908"/>
    <w:rsid w:val="009749F9"/>
    <w:rsid w:val="009750B4"/>
    <w:rsid w:val="009756FE"/>
    <w:rsid w:val="00976020"/>
    <w:rsid w:val="0097619D"/>
    <w:rsid w:val="0097635E"/>
    <w:rsid w:val="009765C7"/>
    <w:rsid w:val="009769EA"/>
    <w:rsid w:val="009769EE"/>
    <w:rsid w:val="00976A1D"/>
    <w:rsid w:val="00976AC0"/>
    <w:rsid w:val="00976D95"/>
    <w:rsid w:val="009775E4"/>
    <w:rsid w:val="0097768C"/>
    <w:rsid w:val="00977C68"/>
    <w:rsid w:val="00980402"/>
    <w:rsid w:val="009812A6"/>
    <w:rsid w:val="00981515"/>
    <w:rsid w:val="00981C37"/>
    <w:rsid w:val="00982046"/>
    <w:rsid w:val="00983058"/>
    <w:rsid w:val="00983093"/>
    <w:rsid w:val="00983136"/>
    <w:rsid w:val="00983702"/>
    <w:rsid w:val="00983FD7"/>
    <w:rsid w:val="00984906"/>
    <w:rsid w:val="00985350"/>
    <w:rsid w:val="009853CC"/>
    <w:rsid w:val="00985599"/>
    <w:rsid w:val="009856B0"/>
    <w:rsid w:val="00985735"/>
    <w:rsid w:val="00985C40"/>
    <w:rsid w:val="00985DCB"/>
    <w:rsid w:val="00985FFA"/>
    <w:rsid w:val="0098604D"/>
    <w:rsid w:val="009862A4"/>
    <w:rsid w:val="00986447"/>
    <w:rsid w:val="009865DB"/>
    <w:rsid w:val="00986A20"/>
    <w:rsid w:val="00986B2E"/>
    <w:rsid w:val="00987011"/>
    <w:rsid w:val="00987AC8"/>
    <w:rsid w:val="009904A7"/>
    <w:rsid w:val="00991237"/>
    <w:rsid w:val="009914A5"/>
    <w:rsid w:val="009914EE"/>
    <w:rsid w:val="00991FAC"/>
    <w:rsid w:val="00991FF7"/>
    <w:rsid w:val="009931EE"/>
    <w:rsid w:val="009932BF"/>
    <w:rsid w:val="00993697"/>
    <w:rsid w:val="00993A63"/>
    <w:rsid w:val="00993D41"/>
    <w:rsid w:val="00993E50"/>
    <w:rsid w:val="00994037"/>
    <w:rsid w:val="009940F2"/>
    <w:rsid w:val="009955D5"/>
    <w:rsid w:val="009957A0"/>
    <w:rsid w:val="00995842"/>
    <w:rsid w:val="00995C44"/>
    <w:rsid w:val="00996732"/>
    <w:rsid w:val="0099685F"/>
    <w:rsid w:val="00996BD8"/>
    <w:rsid w:val="00996E56"/>
    <w:rsid w:val="009971C5"/>
    <w:rsid w:val="009976A0"/>
    <w:rsid w:val="00997759"/>
    <w:rsid w:val="00997B80"/>
    <w:rsid w:val="00997F87"/>
    <w:rsid w:val="009A0097"/>
    <w:rsid w:val="009A0371"/>
    <w:rsid w:val="009A0774"/>
    <w:rsid w:val="009A0D83"/>
    <w:rsid w:val="009A17B1"/>
    <w:rsid w:val="009A1819"/>
    <w:rsid w:val="009A1B61"/>
    <w:rsid w:val="009A2296"/>
    <w:rsid w:val="009A278E"/>
    <w:rsid w:val="009A387C"/>
    <w:rsid w:val="009A38BA"/>
    <w:rsid w:val="009A39C3"/>
    <w:rsid w:val="009A44D6"/>
    <w:rsid w:val="009A46F1"/>
    <w:rsid w:val="009A496C"/>
    <w:rsid w:val="009A4CED"/>
    <w:rsid w:val="009A5386"/>
    <w:rsid w:val="009A54B5"/>
    <w:rsid w:val="009A5976"/>
    <w:rsid w:val="009A62B1"/>
    <w:rsid w:val="009A6486"/>
    <w:rsid w:val="009A6A4F"/>
    <w:rsid w:val="009A6DE0"/>
    <w:rsid w:val="009A775E"/>
    <w:rsid w:val="009A7C1D"/>
    <w:rsid w:val="009B0091"/>
    <w:rsid w:val="009B0103"/>
    <w:rsid w:val="009B0600"/>
    <w:rsid w:val="009B067A"/>
    <w:rsid w:val="009B132A"/>
    <w:rsid w:val="009B1B86"/>
    <w:rsid w:val="009B1BD0"/>
    <w:rsid w:val="009B1F71"/>
    <w:rsid w:val="009B204D"/>
    <w:rsid w:val="009B20C5"/>
    <w:rsid w:val="009B2458"/>
    <w:rsid w:val="009B2545"/>
    <w:rsid w:val="009B2715"/>
    <w:rsid w:val="009B2E78"/>
    <w:rsid w:val="009B317B"/>
    <w:rsid w:val="009B3D63"/>
    <w:rsid w:val="009B3F9E"/>
    <w:rsid w:val="009B497E"/>
    <w:rsid w:val="009B4B95"/>
    <w:rsid w:val="009B5316"/>
    <w:rsid w:val="009B545B"/>
    <w:rsid w:val="009B5631"/>
    <w:rsid w:val="009B56B5"/>
    <w:rsid w:val="009B5A66"/>
    <w:rsid w:val="009B5B8D"/>
    <w:rsid w:val="009B69D7"/>
    <w:rsid w:val="009B6C2A"/>
    <w:rsid w:val="009B6E52"/>
    <w:rsid w:val="009B7666"/>
    <w:rsid w:val="009B76BF"/>
    <w:rsid w:val="009B7773"/>
    <w:rsid w:val="009C02CB"/>
    <w:rsid w:val="009C04F0"/>
    <w:rsid w:val="009C088E"/>
    <w:rsid w:val="009C0E59"/>
    <w:rsid w:val="009C1597"/>
    <w:rsid w:val="009C16D0"/>
    <w:rsid w:val="009C1974"/>
    <w:rsid w:val="009C202E"/>
    <w:rsid w:val="009C25A5"/>
    <w:rsid w:val="009C2603"/>
    <w:rsid w:val="009C309E"/>
    <w:rsid w:val="009C3104"/>
    <w:rsid w:val="009C3109"/>
    <w:rsid w:val="009C33F2"/>
    <w:rsid w:val="009C3470"/>
    <w:rsid w:val="009C37FA"/>
    <w:rsid w:val="009C49AB"/>
    <w:rsid w:val="009C4D65"/>
    <w:rsid w:val="009C560E"/>
    <w:rsid w:val="009C597D"/>
    <w:rsid w:val="009C623C"/>
    <w:rsid w:val="009C6371"/>
    <w:rsid w:val="009C6BC5"/>
    <w:rsid w:val="009C6E9F"/>
    <w:rsid w:val="009C6FE4"/>
    <w:rsid w:val="009C7092"/>
    <w:rsid w:val="009C7124"/>
    <w:rsid w:val="009C73C1"/>
    <w:rsid w:val="009C77DA"/>
    <w:rsid w:val="009C7861"/>
    <w:rsid w:val="009C7DCE"/>
    <w:rsid w:val="009D003F"/>
    <w:rsid w:val="009D01C7"/>
    <w:rsid w:val="009D045F"/>
    <w:rsid w:val="009D05C6"/>
    <w:rsid w:val="009D08C5"/>
    <w:rsid w:val="009D1644"/>
    <w:rsid w:val="009D1AAB"/>
    <w:rsid w:val="009D1B02"/>
    <w:rsid w:val="009D1CC0"/>
    <w:rsid w:val="009D21A5"/>
    <w:rsid w:val="009D22FF"/>
    <w:rsid w:val="009D2406"/>
    <w:rsid w:val="009D2A13"/>
    <w:rsid w:val="009D3A23"/>
    <w:rsid w:val="009D3BEB"/>
    <w:rsid w:val="009D3BED"/>
    <w:rsid w:val="009D4090"/>
    <w:rsid w:val="009D40D0"/>
    <w:rsid w:val="009D49E7"/>
    <w:rsid w:val="009D4A0A"/>
    <w:rsid w:val="009D4BAA"/>
    <w:rsid w:val="009D4C0D"/>
    <w:rsid w:val="009D4FBB"/>
    <w:rsid w:val="009D55BA"/>
    <w:rsid w:val="009D583B"/>
    <w:rsid w:val="009D602A"/>
    <w:rsid w:val="009D6354"/>
    <w:rsid w:val="009D6D7F"/>
    <w:rsid w:val="009D6E72"/>
    <w:rsid w:val="009D718D"/>
    <w:rsid w:val="009D75BD"/>
    <w:rsid w:val="009D7668"/>
    <w:rsid w:val="009E0599"/>
    <w:rsid w:val="009E0683"/>
    <w:rsid w:val="009E0B4C"/>
    <w:rsid w:val="009E2049"/>
    <w:rsid w:val="009E286F"/>
    <w:rsid w:val="009E2C07"/>
    <w:rsid w:val="009E3075"/>
    <w:rsid w:val="009E3A60"/>
    <w:rsid w:val="009E40F6"/>
    <w:rsid w:val="009E41D9"/>
    <w:rsid w:val="009E44C7"/>
    <w:rsid w:val="009E466F"/>
    <w:rsid w:val="009E51BD"/>
    <w:rsid w:val="009E5331"/>
    <w:rsid w:val="009E5498"/>
    <w:rsid w:val="009E562D"/>
    <w:rsid w:val="009E5690"/>
    <w:rsid w:val="009E58FC"/>
    <w:rsid w:val="009E5AA2"/>
    <w:rsid w:val="009E5D05"/>
    <w:rsid w:val="009E65AC"/>
    <w:rsid w:val="009E698C"/>
    <w:rsid w:val="009E6BB4"/>
    <w:rsid w:val="009E6E73"/>
    <w:rsid w:val="009E7C06"/>
    <w:rsid w:val="009F0330"/>
    <w:rsid w:val="009F0556"/>
    <w:rsid w:val="009F099C"/>
    <w:rsid w:val="009F0A85"/>
    <w:rsid w:val="009F117B"/>
    <w:rsid w:val="009F1418"/>
    <w:rsid w:val="009F165D"/>
    <w:rsid w:val="009F19D4"/>
    <w:rsid w:val="009F1E33"/>
    <w:rsid w:val="009F255F"/>
    <w:rsid w:val="009F2EBB"/>
    <w:rsid w:val="009F30A5"/>
    <w:rsid w:val="009F32B6"/>
    <w:rsid w:val="009F396E"/>
    <w:rsid w:val="009F49A0"/>
    <w:rsid w:val="009F4DB4"/>
    <w:rsid w:val="009F50F7"/>
    <w:rsid w:val="009F5172"/>
    <w:rsid w:val="009F591D"/>
    <w:rsid w:val="009F6B0E"/>
    <w:rsid w:val="009F735D"/>
    <w:rsid w:val="009F7633"/>
    <w:rsid w:val="009F7913"/>
    <w:rsid w:val="009F7F59"/>
    <w:rsid w:val="00A000C4"/>
    <w:rsid w:val="00A005C6"/>
    <w:rsid w:val="00A0202E"/>
    <w:rsid w:val="00A02284"/>
    <w:rsid w:val="00A02B81"/>
    <w:rsid w:val="00A02D7E"/>
    <w:rsid w:val="00A0353A"/>
    <w:rsid w:val="00A04129"/>
    <w:rsid w:val="00A04D54"/>
    <w:rsid w:val="00A04E6F"/>
    <w:rsid w:val="00A04EB0"/>
    <w:rsid w:val="00A05165"/>
    <w:rsid w:val="00A05B2F"/>
    <w:rsid w:val="00A063A3"/>
    <w:rsid w:val="00A06414"/>
    <w:rsid w:val="00A0647B"/>
    <w:rsid w:val="00A06C12"/>
    <w:rsid w:val="00A0706B"/>
    <w:rsid w:val="00A075E2"/>
    <w:rsid w:val="00A10917"/>
    <w:rsid w:val="00A11217"/>
    <w:rsid w:val="00A117CD"/>
    <w:rsid w:val="00A1197A"/>
    <w:rsid w:val="00A11989"/>
    <w:rsid w:val="00A11AC3"/>
    <w:rsid w:val="00A1216C"/>
    <w:rsid w:val="00A13052"/>
    <w:rsid w:val="00A13074"/>
    <w:rsid w:val="00A1363C"/>
    <w:rsid w:val="00A136D2"/>
    <w:rsid w:val="00A13877"/>
    <w:rsid w:val="00A13A4E"/>
    <w:rsid w:val="00A13E11"/>
    <w:rsid w:val="00A140C5"/>
    <w:rsid w:val="00A1411D"/>
    <w:rsid w:val="00A1442F"/>
    <w:rsid w:val="00A1449E"/>
    <w:rsid w:val="00A144AA"/>
    <w:rsid w:val="00A14A21"/>
    <w:rsid w:val="00A14ECB"/>
    <w:rsid w:val="00A150A5"/>
    <w:rsid w:val="00A15D97"/>
    <w:rsid w:val="00A15F1E"/>
    <w:rsid w:val="00A16708"/>
    <w:rsid w:val="00A17EE4"/>
    <w:rsid w:val="00A17FCB"/>
    <w:rsid w:val="00A202B7"/>
    <w:rsid w:val="00A205F2"/>
    <w:rsid w:val="00A20900"/>
    <w:rsid w:val="00A20977"/>
    <w:rsid w:val="00A21473"/>
    <w:rsid w:val="00A216D2"/>
    <w:rsid w:val="00A21E05"/>
    <w:rsid w:val="00A21F3D"/>
    <w:rsid w:val="00A224CB"/>
    <w:rsid w:val="00A2301E"/>
    <w:rsid w:val="00A236C5"/>
    <w:rsid w:val="00A237A4"/>
    <w:rsid w:val="00A24593"/>
    <w:rsid w:val="00A2461D"/>
    <w:rsid w:val="00A2462A"/>
    <w:rsid w:val="00A24E26"/>
    <w:rsid w:val="00A24E89"/>
    <w:rsid w:val="00A25281"/>
    <w:rsid w:val="00A253B8"/>
    <w:rsid w:val="00A2541F"/>
    <w:rsid w:val="00A2567D"/>
    <w:rsid w:val="00A25AD6"/>
    <w:rsid w:val="00A25B7F"/>
    <w:rsid w:val="00A25C3F"/>
    <w:rsid w:val="00A25CCB"/>
    <w:rsid w:val="00A25D29"/>
    <w:rsid w:val="00A269B0"/>
    <w:rsid w:val="00A270D1"/>
    <w:rsid w:val="00A2774F"/>
    <w:rsid w:val="00A27AA4"/>
    <w:rsid w:val="00A30495"/>
    <w:rsid w:val="00A30D77"/>
    <w:rsid w:val="00A30E47"/>
    <w:rsid w:val="00A3179D"/>
    <w:rsid w:val="00A31A68"/>
    <w:rsid w:val="00A31DF6"/>
    <w:rsid w:val="00A323D2"/>
    <w:rsid w:val="00A32845"/>
    <w:rsid w:val="00A32B0B"/>
    <w:rsid w:val="00A32B2E"/>
    <w:rsid w:val="00A32B55"/>
    <w:rsid w:val="00A32C1B"/>
    <w:rsid w:val="00A32F80"/>
    <w:rsid w:val="00A342F0"/>
    <w:rsid w:val="00A34574"/>
    <w:rsid w:val="00A348A4"/>
    <w:rsid w:val="00A34C1D"/>
    <w:rsid w:val="00A34CB6"/>
    <w:rsid w:val="00A35521"/>
    <w:rsid w:val="00A358A2"/>
    <w:rsid w:val="00A35E1B"/>
    <w:rsid w:val="00A36155"/>
    <w:rsid w:val="00A366F6"/>
    <w:rsid w:val="00A371A9"/>
    <w:rsid w:val="00A374BF"/>
    <w:rsid w:val="00A378C4"/>
    <w:rsid w:val="00A37D18"/>
    <w:rsid w:val="00A40D42"/>
    <w:rsid w:val="00A40DE0"/>
    <w:rsid w:val="00A414E5"/>
    <w:rsid w:val="00A41BF5"/>
    <w:rsid w:val="00A42184"/>
    <w:rsid w:val="00A425B0"/>
    <w:rsid w:val="00A42604"/>
    <w:rsid w:val="00A433DF"/>
    <w:rsid w:val="00A433F8"/>
    <w:rsid w:val="00A43925"/>
    <w:rsid w:val="00A439A0"/>
    <w:rsid w:val="00A43C8D"/>
    <w:rsid w:val="00A43D73"/>
    <w:rsid w:val="00A446B8"/>
    <w:rsid w:val="00A44E59"/>
    <w:rsid w:val="00A44EC7"/>
    <w:rsid w:val="00A44FE2"/>
    <w:rsid w:val="00A45364"/>
    <w:rsid w:val="00A467E4"/>
    <w:rsid w:val="00A468CC"/>
    <w:rsid w:val="00A46CAD"/>
    <w:rsid w:val="00A46CC4"/>
    <w:rsid w:val="00A46E10"/>
    <w:rsid w:val="00A46E61"/>
    <w:rsid w:val="00A46EE2"/>
    <w:rsid w:val="00A47698"/>
    <w:rsid w:val="00A478F2"/>
    <w:rsid w:val="00A50654"/>
    <w:rsid w:val="00A5093F"/>
    <w:rsid w:val="00A50ADC"/>
    <w:rsid w:val="00A50B36"/>
    <w:rsid w:val="00A51056"/>
    <w:rsid w:val="00A5121E"/>
    <w:rsid w:val="00A5153E"/>
    <w:rsid w:val="00A52139"/>
    <w:rsid w:val="00A5218F"/>
    <w:rsid w:val="00A522C5"/>
    <w:rsid w:val="00A5279A"/>
    <w:rsid w:val="00A527FA"/>
    <w:rsid w:val="00A539B7"/>
    <w:rsid w:val="00A53FF4"/>
    <w:rsid w:val="00A54002"/>
    <w:rsid w:val="00A549D3"/>
    <w:rsid w:val="00A5545D"/>
    <w:rsid w:val="00A554CD"/>
    <w:rsid w:val="00A5588B"/>
    <w:rsid w:val="00A55D2B"/>
    <w:rsid w:val="00A56435"/>
    <w:rsid w:val="00A5698E"/>
    <w:rsid w:val="00A56D2E"/>
    <w:rsid w:val="00A572FB"/>
    <w:rsid w:val="00A577BB"/>
    <w:rsid w:val="00A57AD6"/>
    <w:rsid w:val="00A57EF4"/>
    <w:rsid w:val="00A60112"/>
    <w:rsid w:val="00A601A3"/>
    <w:rsid w:val="00A60553"/>
    <w:rsid w:val="00A60714"/>
    <w:rsid w:val="00A60790"/>
    <w:rsid w:val="00A60AB3"/>
    <w:rsid w:val="00A60DD5"/>
    <w:rsid w:val="00A61C0B"/>
    <w:rsid w:val="00A61DC1"/>
    <w:rsid w:val="00A6291E"/>
    <w:rsid w:val="00A62D9E"/>
    <w:rsid w:val="00A62EB1"/>
    <w:rsid w:val="00A62EF6"/>
    <w:rsid w:val="00A62FAB"/>
    <w:rsid w:val="00A635E9"/>
    <w:rsid w:val="00A6381E"/>
    <w:rsid w:val="00A63D67"/>
    <w:rsid w:val="00A63EC1"/>
    <w:rsid w:val="00A63F8F"/>
    <w:rsid w:val="00A647D1"/>
    <w:rsid w:val="00A64F0F"/>
    <w:rsid w:val="00A651FD"/>
    <w:rsid w:val="00A65267"/>
    <w:rsid w:val="00A65503"/>
    <w:rsid w:val="00A656D5"/>
    <w:rsid w:val="00A658BD"/>
    <w:rsid w:val="00A66240"/>
    <w:rsid w:val="00A668D4"/>
    <w:rsid w:val="00A66917"/>
    <w:rsid w:val="00A66A8C"/>
    <w:rsid w:val="00A66E44"/>
    <w:rsid w:val="00A672FA"/>
    <w:rsid w:val="00A673DD"/>
    <w:rsid w:val="00A673EF"/>
    <w:rsid w:val="00A67522"/>
    <w:rsid w:val="00A67939"/>
    <w:rsid w:val="00A67E4A"/>
    <w:rsid w:val="00A67E7A"/>
    <w:rsid w:val="00A7079F"/>
    <w:rsid w:val="00A7123D"/>
    <w:rsid w:val="00A7131E"/>
    <w:rsid w:val="00A71AB5"/>
    <w:rsid w:val="00A720EC"/>
    <w:rsid w:val="00A7232F"/>
    <w:rsid w:val="00A72F9E"/>
    <w:rsid w:val="00A73636"/>
    <w:rsid w:val="00A73A1C"/>
    <w:rsid w:val="00A73F4B"/>
    <w:rsid w:val="00A7443B"/>
    <w:rsid w:val="00A74BFE"/>
    <w:rsid w:val="00A74C75"/>
    <w:rsid w:val="00A75A7E"/>
    <w:rsid w:val="00A75BC2"/>
    <w:rsid w:val="00A7671B"/>
    <w:rsid w:val="00A768C3"/>
    <w:rsid w:val="00A76B9C"/>
    <w:rsid w:val="00A76BDC"/>
    <w:rsid w:val="00A7774D"/>
    <w:rsid w:val="00A77964"/>
    <w:rsid w:val="00A77F0E"/>
    <w:rsid w:val="00A80149"/>
    <w:rsid w:val="00A80541"/>
    <w:rsid w:val="00A8063F"/>
    <w:rsid w:val="00A80BE9"/>
    <w:rsid w:val="00A80F48"/>
    <w:rsid w:val="00A815DB"/>
    <w:rsid w:val="00A81814"/>
    <w:rsid w:val="00A81A96"/>
    <w:rsid w:val="00A81BC1"/>
    <w:rsid w:val="00A81D15"/>
    <w:rsid w:val="00A824A5"/>
    <w:rsid w:val="00A82B79"/>
    <w:rsid w:val="00A82C78"/>
    <w:rsid w:val="00A833BD"/>
    <w:rsid w:val="00A837B9"/>
    <w:rsid w:val="00A83F18"/>
    <w:rsid w:val="00A84792"/>
    <w:rsid w:val="00A849AB"/>
    <w:rsid w:val="00A84B2F"/>
    <w:rsid w:val="00A84E3D"/>
    <w:rsid w:val="00A850C7"/>
    <w:rsid w:val="00A86044"/>
    <w:rsid w:val="00A866C1"/>
    <w:rsid w:val="00A86CFD"/>
    <w:rsid w:val="00A86D4A"/>
    <w:rsid w:val="00A87025"/>
    <w:rsid w:val="00A871B2"/>
    <w:rsid w:val="00A872FA"/>
    <w:rsid w:val="00A873A1"/>
    <w:rsid w:val="00A87995"/>
    <w:rsid w:val="00A9092B"/>
    <w:rsid w:val="00A91A62"/>
    <w:rsid w:val="00A92094"/>
    <w:rsid w:val="00A92A12"/>
    <w:rsid w:val="00A92F28"/>
    <w:rsid w:val="00A931BA"/>
    <w:rsid w:val="00A93A95"/>
    <w:rsid w:val="00A94FFC"/>
    <w:rsid w:val="00A952B9"/>
    <w:rsid w:val="00A95305"/>
    <w:rsid w:val="00A96008"/>
    <w:rsid w:val="00A960BE"/>
    <w:rsid w:val="00A960DD"/>
    <w:rsid w:val="00A96761"/>
    <w:rsid w:val="00A96CE0"/>
    <w:rsid w:val="00A971BD"/>
    <w:rsid w:val="00AA04D5"/>
    <w:rsid w:val="00AA093C"/>
    <w:rsid w:val="00AA0C36"/>
    <w:rsid w:val="00AA0D65"/>
    <w:rsid w:val="00AA0FFB"/>
    <w:rsid w:val="00AA1265"/>
    <w:rsid w:val="00AA1D5F"/>
    <w:rsid w:val="00AA1E2A"/>
    <w:rsid w:val="00AA1E3C"/>
    <w:rsid w:val="00AA20DC"/>
    <w:rsid w:val="00AA21D4"/>
    <w:rsid w:val="00AA2E33"/>
    <w:rsid w:val="00AA2EFD"/>
    <w:rsid w:val="00AA30EB"/>
    <w:rsid w:val="00AA34A8"/>
    <w:rsid w:val="00AA3C17"/>
    <w:rsid w:val="00AA3C6F"/>
    <w:rsid w:val="00AA3E97"/>
    <w:rsid w:val="00AA3F9A"/>
    <w:rsid w:val="00AA3FF0"/>
    <w:rsid w:val="00AA4271"/>
    <w:rsid w:val="00AA4608"/>
    <w:rsid w:val="00AA4659"/>
    <w:rsid w:val="00AA4E57"/>
    <w:rsid w:val="00AA4F0B"/>
    <w:rsid w:val="00AA5180"/>
    <w:rsid w:val="00AA5363"/>
    <w:rsid w:val="00AA588B"/>
    <w:rsid w:val="00AA612F"/>
    <w:rsid w:val="00AA64D8"/>
    <w:rsid w:val="00AA6691"/>
    <w:rsid w:val="00AA74B5"/>
    <w:rsid w:val="00AA7683"/>
    <w:rsid w:val="00AA7C63"/>
    <w:rsid w:val="00AA7DFC"/>
    <w:rsid w:val="00AA7FDE"/>
    <w:rsid w:val="00AB03A7"/>
    <w:rsid w:val="00AB097D"/>
    <w:rsid w:val="00AB0AA1"/>
    <w:rsid w:val="00AB0CD6"/>
    <w:rsid w:val="00AB102C"/>
    <w:rsid w:val="00AB1783"/>
    <w:rsid w:val="00AB22B5"/>
    <w:rsid w:val="00AB275F"/>
    <w:rsid w:val="00AB3179"/>
    <w:rsid w:val="00AB31F9"/>
    <w:rsid w:val="00AB32DD"/>
    <w:rsid w:val="00AB368B"/>
    <w:rsid w:val="00AB3980"/>
    <w:rsid w:val="00AB3DCD"/>
    <w:rsid w:val="00AB410B"/>
    <w:rsid w:val="00AB43FC"/>
    <w:rsid w:val="00AB4836"/>
    <w:rsid w:val="00AB4F9E"/>
    <w:rsid w:val="00AB587A"/>
    <w:rsid w:val="00AB589B"/>
    <w:rsid w:val="00AB5BEA"/>
    <w:rsid w:val="00AB5EEC"/>
    <w:rsid w:val="00AB6158"/>
    <w:rsid w:val="00AB76C2"/>
    <w:rsid w:val="00AB7DE6"/>
    <w:rsid w:val="00AC05A7"/>
    <w:rsid w:val="00AC08D6"/>
    <w:rsid w:val="00AC0AAE"/>
    <w:rsid w:val="00AC11EB"/>
    <w:rsid w:val="00AC120C"/>
    <w:rsid w:val="00AC31BC"/>
    <w:rsid w:val="00AC3729"/>
    <w:rsid w:val="00AC41F3"/>
    <w:rsid w:val="00AC455F"/>
    <w:rsid w:val="00AC4719"/>
    <w:rsid w:val="00AC5549"/>
    <w:rsid w:val="00AC5A28"/>
    <w:rsid w:val="00AC5C70"/>
    <w:rsid w:val="00AC5EC2"/>
    <w:rsid w:val="00AC6946"/>
    <w:rsid w:val="00AC6A9E"/>
    <w:rsid w:val="00AC6EE7"/>
    <w:rsid w:val="00AC7072"/>
    <w:rsid w:val="00AC722A"/>
    <w:rsid w:val="00AC778E"/>
    <w:rsid w:val="00AC78EE"/>
    <w:rsid w:val="00AC7B71"/>
    <w:rsid w:val="00AD001C"/>
    <w:rsid w:val="00AD04A2"/>
    <w:rsid w:val="00AD04CD"/>
    <w:rsid w:val="00AD0549"/>
    <w:rsid w:val="00AD0638"/>
    <w:rsid w:val="00AD0FD4"/>
    <w:rsid w:val="00AD1050"/>
    <w:rsid w:val="00AD10CA"/>
    <w:rsid w:val="00AD116D"/>
    <w:rsid w:val="00AD165C"/>
    <w:rsid w:val="00AD191C"/>
    <w:rsid w:val="00AD2A12"/>
    <w:rsid w:val="00AD2F82"/>
    <w:rsid w:val="00AD3103"/>
    <w:rsid w:val="00AD35BA"/>
    <w:rsid w:val="00AD3DC6"/>
    <w:rsid w:val="00AD46DD"/>
    <w:rsid w:val="00AD483F"/>
    <w:rsid w:val="00AD5270"/>
    <w:rsid w:val="00AD53D7"/>
    <w:rsid w:val="00AD658B"/>
    <w:rsid w:val="00AD68B0"/>
    <w:rsid w:val="00AD6A9D"/>
    <w:rsid w:val="00AD6DDE"/>
    <w:rsid w:val="00AD6FEB"/>
    <w:rsid w:val="00AD71E7"/>
    <w:rsid w:val="00AD7582"/>
    <w:rsid w:val="00AD76AA"/>
    <w:rsid w:val="00AD7858"/>
    <w:rsid w:val="00AD7CC2"/>
    <w:rsid w:val="00AD7D31"/>
    <w:rsid w:val="00AE0314"/>
    <w:rsid w:val="00AE0751"/>
    <w:rsid w:val="00AE0AEC"/>
    <w:rsid w:val="00AE1990"/>
    <w:rsid w:val="00AE19DB"/>
    <w:rsid w:val="00AE1F97"/>
    <w:rsid w:val="00AE2836"/>
    <w:rsid w:val="00AE31A1"/>
    <w:rsid w:val="00AE33E5"/>
    <w:rsid w:val="00AE3AF7"/>
    <w:rsid w:val="00AE3D88"/>
    <w:rsid w:val="00AE3EE8"/>
    <w:rsid w:val="00AE40F9"/>
    <w:rsid w:val="00AE4462"/>
    <w:rsid w:val="00AE47E0"/>
    <w:rsid w:val="00AE4D64"/>
    <w:rsid w:val="00AE54C3"/>
    <w:rsid w:val="00AE562C"/>
    <w:rsid w:val="00AE5634"/>
    <w:rsid w:val="00AE5A78"/>
    <w:rsid w:val="00AE6303"/>
    <w:rsid w:val="00AE6343"/>
    <w:rsid w:val="00AE6624"/>
    <w:rsid w:val="00AE6D3F"/>
    <w:rsid w:val="00AE7880"/>
    <w:rsid w:val="00AE7EF6"/>
    <w:rsid w:val="00AF073E"/>
    <w:rsid w:val="00AF08A8"/>
    <w:rsid w:val="00AF10B9"/>
    <w:rsid w:val="00AF11BB"/>
    <w:rsid w:val="00AF13E7"/>
    <w:rsid w:val="00AF1542"/>
    <w:rsid w:val="00AF157E"/>
    <w:rsid w:val="00AF1BD1"/>
    <w:rsid w:val="00AF1F00"/>
    <w:rsid w:val="00AF23A9"/>
    <w:rsid w:val="00AF28D4"/>
    <w:rsid w:val="00AF3683"/>
    <w:rsid w:val="00AF39A2"/>
    <w:rsid w:val="00AF39FF"/>
    <w:rsid w:val="00AF3C5A"/>
    <w:rsid w:val="00AF444B"/>
    <w:rsid w:val="00AF4698"/>
    <w:rsid w:val="00AF49B9"/>
    <w:rsid w:val="00AF57B9"/>
    <w:rsid w:val="00AF5A45"/>
    <w:rsid w:val="00AF5B14"/>
    <w:rsid w:val="00AF5D29"/>
    <w:rsid w:val="00AF5DF8"/>
    <w:rsid w:val="00AF6C42"/>
    <w:rsid w:val="00AF7267"/>
    <w:rsid w:val="00AF72DF"/>
    <w:rsid w:val="00AF7C2A"/>
    <w:rsid w:val="00AF7DF9"/>
    <w:rsid w:val="00AF7F5B"/>
    <w:rsid w:val="00AF7FC1"/>
    <w:rsid w:val="00B00282"/>
    <w:rsid w:val="00B00F4B"/>
    <w:rsid w:val="00B00FAD"/>
    <w:rsid w:val="00B010C6"/>
    <w:rsid w:val="00B01231"/>
    <w:rsid w:val="00B01249"/>
    <w:rsid w:val="00B016A5"/>
    <w:rsid w:val="00B01B57"/>
    <w:rsid w:val="00B01B84"/>
    <w:rsid w:val="00B01DDA"/>
    <w:rsid w:val="00B02292"/>
    <w:rsid w:val="00B025CB"/>
    <w:rsid w:val="00B02D15"/>
    <w:rsid w:val="00B03280"/>
    <w:rsid w:val="00B032FA"/>
    <w:rsid w:val="00B03864"/>
    <w:rsid w:val="00B03872"/>
    <w:rsid w:val="00B03B05"/>
    <w:rsid w:val="00B03E6E"/>
    <w:rsid w:val="00B0411C"/>
    <w:rsid w:val="00B042CF"/>
    <w:rsid w:val="00B04FE3"/>
    <w:rsid w:val="00B051EE"/>
    <w:rsid w:val="00B0525E"/>
    <w:rsid w:val="00B056BD"/>
    <w:rsid w:val="00B05735"/>
    <w:rsid w:val="00B0583E"/>
    <w:rsid w:val="00B06361"/>
    <w:rsid w:val="00B069F5"/>
    <w:rsid w:val="00B06AE1"/>
    <w:rsid w:val="00B06DD4"/>
    <w:rsid w:val="00B06FC1"/>
    <w:rsid w:val="00B07009"/>
    <w:rsid w:val="00B070B3"/>
    <w:rsid w:val="00B073E7"/>
    <w:rsid w:val="00B0745E"/>
    <w:rsid w:val="00B103B0"/>
    <w:rsid w:val="00B10DED"/>
    <w:rsid w:val="00B11491"/>
    <w:rsid w:val="00B126C2"/>
    <w:rsid w:val="00B12754"/>
    <w:rsid w:val="00B12FB7"/>
    <w:rsid w:val="00B1301F"/>
    <w:rsid w:val="00B132D8"/>
    <w:rsid w:val="00B13319"/>
    <w:rsid w:val="00B13428"/>
    <w:rsid w:val="00B13794"/>
    <w:rsid w:val="00B1415B"/>
    <w:rsid w:val="00B146A2"/>
    <w:rsid w:val="00B14C06"/>
    <w:rsid w:val="00B1585E"/>
    <w:rsid w:val="00B159C5"/>
    <w:rsid w:val="00B16241"/>
    <w:rsid w:val="00B16467"/>
    <w:rsid w:val="00B165E7"/>
    <w:rsid w:val="00B16745"/>
    <w:rsid w:val="00B16FDB"/>
    <w:rsid w:val="00B17451"/>
    <w:rsid w:val="00B1755C"/>
    <w:rsid w:val="00B176E0"/>
    <w:rsid w:val="00B17A26"/>
    <w:rsid w:val="00B17A47"/>
    <w:rsid w:val="00B17CD2"/>
    <w:rsid w:val="00B17EB5"/>
    <w:rsid w:val="00B202A7"/>
    <w:rsid w:val="00B202FE"/>
    <w:rsid w:val="00B213AF"/>
    <w:rsid w:val="00B21C15"/>
    <w:rsid w:val="00B22258"/>
    <w:rsid w:val="00B226B1"/>
    <w:rsid w:val="00B22C10"/>
    <w:rsid w:val="00B22ED9"/>
    <w:rsid w:val="00B2390D"/>
    <w:rsid w:val="00B23C44"/>
    <w:rsid w:val="00B23D4D"/>
    <w:rsid w:val="00B24857"/>
    <w:rsid w:val="00B2519B"/>
    <w:rsid w:val="00B258EA"/>
    <w:rsid w:val="00B25BFC"/>
    <w:rsid w:val="00B262D7"/>
    <w:rsid w:val="00B26A09"/>
    <w:rsid w:val="00B270EB"/>
    <w:rsid w:val="00B275BF"/>
    <w:rsid w:val="00B27E19"/>
    <w:rsid w:val="00B30279"/>
    <w:rsid w:val="00B305ED"/>
    <w:rsid w:val="00B3073E"/>
    <w:rsid w:val="00B30A0B"/>
    <w:rsid w:val="00B30F6E"/>
    <w:rsid w:val="00B3104E"/>
    <w:rsid w:val="00B31194"/>
    <w:rsid w:val="00B32309"/>
    <w:rsid w:val="00B32D42"/>
    <w:rsid w:val="00B33F96"/>
    <w:rsid w:val="00B34418"/>
    <w:rsid w:val="00B3450F"/>
    <w:rsid w:val="00B34527"/>
    <w:rsid w:val="00B3472A"/>
    <w:rsid w:val="00B34745"/>
    <w:rsid w:val="00B34903"/>
    <w:rsid w:val="00B34BE3"/>
    <w:rsid w:val="00B34C15"/>
    <w:rsid w:val="00B351BC"/>
    <w:rsid w:val="00B355E2"/>
    <w:rsid w:val="00B3570F"/>
    <w:rsid w:val="00B3588A"/>
    <w:rsid w:val="00B35DBC"/>
    <w:rsid w:val="00B3605F"/>
    <w:rsid w:val="00B360BC"/>
    <w:rsid w:val="00B364C9"/>
    <w:rsid w:val="00B36688"/>
    <w:rsid w:val="00B36857"/>
    <w:rsid w:val="00B36C26"/>
    <w:rsid w:val="00B36FF8"/>
    <w:rsid w:val="00B3728F"/>
    <w:rsid w:val="00B37353"/>
    <w:rsid w:val="00B374A7"/>
    <w:rsid w:val="00B41340"/>
    <w:rsid w:val="00B41428"/>
    <w:rsid w:val="00B4178D"/>
    <w:rsid w:val="00B420B2"/>
    <w:rsid w:val="00B4216D"/>
    <w:rsid w:val="00B425CB"/>
    <w:rsid w:val="00B4292D"/>
    <w:rsid w:val="00B430DC"/>
    <w:rsid w:val="00B436AD"/>
    <w:rsid w:val="00B4379F"/>
    <w:rsid w:val="00B437C1"/>
    <w:rsid w:val="00B43C59"/>
    <w:rsid w:val="00B44261"/>
    <w:rsid w:val="00B44EAC"/>
    <w:rsid w:val="00B45104"/>
    <w:rsid w:val="00B453C6"/>
    <w:rsid w:val="00B45EE7"/>
    <w:rsid w:val="00B45F7D"/>
    <w:rsid w:val="00B4674C"/>
    <w:rsid w:val="00B4697F"/>
    <w:rsid w:val="00B46D51"/>
    <w:rsid w:val="00B46D63"/>
    <w:rsid w:val="00B46E3C"/>
    <w:rsid w:val="00B474EB"/>
    <w:rsid w:val="00B500D1"/>
    <w:rsid w:val="00B500E0"/>
    <w:rsid w:val="00B506AB"/>
    <w:rsid w:val="00B508E4"/>
    <w:rsid w:val="00B50FF5"/>
    <w:rsid w:val="00B51087"/>
    <w:rsid w:val="00B52330"/>
    <w:rsid w:val="00B52A0D"/>
    <w:rsid w:val="00B53089"/>
    <w:rsid w:val="00B530B1"/>
    <w:rsid w:val="00B5368E"/>
    <w:rsid w:val="00B53B44"/>
    <w:rsid w:val="00B53FFE"/>
    <w:rsid w:val="00B54BF6"/>
    <w:rsid w:val="00B54BF8"/>
    <w:rsid w:val="00B54E97"/>
    <w:rsid w:val="00B54EC9"/>
    <w:rsid w:val="00B5520D"/>
    <w:rsid w:val="00B5527F"/>
    <w:rsid w:val="00B5558B"/>
    <w:rsid w:val="00B55D7F"/>
    <w:rsid w:val="00B561CC"/>
    <w:rsid w:val="00B56275"/>
    <w:rsid w:val="00B56375"/>
    <w:rsid w:val="00B56609"/>
    <w:rsid w:val="00B578FC"/>
    <w:rsid w:val="00B57D82"/>
    <w:rsid w:val="00B6000A"/>
    <w:rsid w:val="00B6041E"/>
    <w:rsid w:val="00B60938"/>
    <w:rsid w:val="00B60AAB"/>
    <w:rsid w:val="00B60D90"/>
    <w:rsid w:val="00B60EE4"/>
    <w:rsid w:val="00B613A8"/>
    <w:rsid w:val="00B6194D"/>
    <w:rsid w:val="00B627ED"/>
    <w:rsid w:val="00B631BD"/>
    <w:rsid w:val="00B633CE"/>
    <w:rsid w:val="00B640CF"/>
    <w:rsid w:val="00B64B4D"/>
    <w:rsid w:val="00B64C4B"/>
    <w:rsid w:val="00B64E1F"/>
    <w:rsid w:val="00B65044"/>
    <w:rsid w:val="00B65196"/>
    <w:rsid w:val="00B6526B"/>
    <w:rsid w:val="00B65886"/>
    <w:rsid w:val="00B65BAD"/>
    <w:rsid w:val="00B65C96"/>
    <w:rsid w:val="00B65E1A"/>
    <w:rsid w:val="00B65F09"/>
    <w:rsid w:val="00B66913"/>
    <w:rsid w:val="00B66F69"/>
    <w:rsid w:val="00B67011"/>
    <w:rsid w:val="00B679A2"/>
    <w:rsid w:val="00B67F02"/>
    <w:rsid w:val="00B700C6"/>
    <w:rsid w:val="00B70163"/>
    <w:rsid w:val="00B70B95"/>
    <w:rsid w:val="00B70D02"/>
    <w:rsid w:val="00B70E26"/>
    <w:rsid w:val="00B7144A"/>
    <w:rsid w:val="00B718A2"/>
    <w:rsid w:val="00B719E5"/>
    <w:rsid w:val="00B71C39"/>
    <w:rsid w:val="00B71D7F"/>
    <w:rsid w:val="00B71E35"/>
    <w:rsid w:val="00B7257B"/>
    <w:rsid w:val="00B728C9"/>
    <w:rsid w:val="00B7294D"/>
    <w:rsid w:val="00B729AD"/>
    <w:rsid w:val="00B7321E"/>
    <w:rsid w:val="00B7369E"/>
    <w:rsid w:val="00B73CA0"/>
    <w:rsid w:val="00B73DD9"/>
    <w:rsid w:val="00B741E1"/>
    <w:rsid w:val="00B746E7"/>
    <w:rsid w:val="00B7564F"/>
    <w:rsid w:val="00B75A2E"/>
    <w:rsid w:val="00B75C8D"/>
    <w:rsid w:val="00B761C7"/>
    <w:rsid w:val="00B762CD"/>
    <w:rsid w:val="00B7673C"/>
    <w:rsid w:val="00B76816"/>
    <w:rsid w:val="00B76D99"/>
    <w:rsid w:val="00B777E3"/>
    <w:rsid w:val="00B77831"/>
    <w:rsid w:val="00B800C4"/>
    <w:rsid w:val="00B8034F"/>
    <w:rsid w:val="00B803B6"/>
    <w:rsid w:val="00B81608"/>
    <w:rsid w:val="00B81EED"/>
    <w:rsid w:val="00B8284D"/>
    <w:rsid w:val="00B82EE3"/>
    <w:rsid w:val="00B830D2"/>
    <w:rsid w:val="00B83651"/>
    <w:rsid w:val="00B83A09"/>
    <w:rsid w:val="00B83A7A"/>
    <w:rsid w:val="00B83C8D"/>
    <w:rsid w:val="00B83F3E"/>
    <w:rsid w:val="00B83FE7"/>
    <w:rsid w:val="00B84B50"/>
    <w:rsid w:val="00B84CDD"/>
    <w:rsid w:val="00B84DC5"/>
    <w:rsid w:val="00B84F64"/>
    <w:rsid w:val="00B854D2"/>
    <w:rsid w:val="00B854D4"/>
    <w:rsid w:val="00B859C2"/>
    <w:rsid w:val="00B85B75"/>
    <w:rsid w:val="00B85EA1"/>
    <w:rsid w:val="00B86166"/>
    <w:rsid w:val="00B8656D"/>
    <w:rsid w:val="00B86FD7"/>
    <w:rsid w:val="00B87822"/>
    <w:rsid w:val="00B901AA"/>
    <w:rsid w:val="00B906A9"/>
    <w:rsid w:val="00B90D09"/>
    <w:rsid w:val="00B90D44"/>
    <w:rsid w:val="00B90D56"/>
    <w:rsid w:val="00B912F7"/>
    <w:rsid w:val="00B916DB"/>
    <w:rsid w:val="00B921E8"/>
    <w:rsid w:val="00B922FC"/>
    <w:rsid w:val="00B9234F"/>
    <w:rsid w:val="00B92686"/>
    <w:rsid w:val="00B927D3"/>
    <w:rsid w:val="00B92C93"/>
    <w:rsid w:val="00B935E3"/>
    <w:rsid w:val="00B93946"/>
    <w:rsid w:val="00B939D8"/>
    <w:rsid w:val="00B9408A"/>
    <w:rsid w:val="00B9469F"/>
    <w:rsid w:val="00B954D2"/>
    <w:rsid w:val="00B95DDE"/>
    <w:rsid w:val="00B95EB3"/>
    <w:rsid w:val="00B961A1"/>
    <w:rsid w:val="00B96A42"/>
    <w:rsid w:val="00B9752C"/>
    <w:rsid w:val="00B97B96"/>
    <w:rsid w:val="00BA0061"/>
    <w:rsid w:val="00BA0E69"/>
    <w:rsid w:val="00BA10A2"/>
    <w:rsid w:val="00BA1A7E"/>
    <w:rsid w:val="00BA1B87"/>
    <w:rsid w:val="00BA21C0"/>
    <w:rsid w:val="00BA2674"/>
    <w:rsid w:val="00BA26CB"/>
    <w:rsid w:val="00BA2909"/>
    <w:rsid w:val="00BA3021"/>
    <w:rsid w:val="00BA3966"/>
    <w:rsid w:val="00BA3EF2"/>
    <w:rsid w:val="00BA3FBC"/>
    <w:rsid w:val="00BA4567"/>
    <w:rsid w:val="00BA4BD0"/>
    <w:rsid w:val="00BA54AD"/>
    <w:rsid w:val="00BA56C5"/>
    <w:rsid w:val="00BA5C93"/>
    <w:rsid w:val="00BA64B7"/>
    <w:rsid w:val="00BA651A"/>
    <w:rsid w:val="00BA68CB"/>
    <w:rsid w:val="00BA75EA"/>
    <w:rsid w:val="00BA7749"/>
    <w:rsid w:val="00BA7B0C"/>
    <w:rsid w:val="00BB0855"/>
    <w:rsid w:val="00BB09EF"/>
    <w:rsid w:val="00BB0CF9"/>
    <w:rsid w:val="00BB0E20"/>
    <w:rsid w:val="00BB17E3"/>
    <w:rsid w:val="00BB1A44"/>
    <w:rsid w:val="00BB1E93"/>
    <w:rsid w:val="00BB266C"/>
    <w:rsid w:val="00BB2934"/>
    <w:rsid w:val="00BB332D"/>
    <w:rsid w:val="00BB3960"/>
    <w:rsid w:val="00BB3972"/>
    <w:rsid w:val="00BB3DC9"/>
    <w:rsid w:val="00BB3EAD"/>
    <w:rsid w:val="00BB404C"/>
    <w:rsid w:val="00BB4496"/>
    <w:rsid w:val="00BB485D"/>
    <w:rsid w:val="00BB4C36"/>
    <w:rsid w:val="00BB4CCC"/>
    <w:rsid w:val="00BB582F"/>
    <w:rsid w:val="00BB58C9"/>
    <w:rsid w:val="00BB58E6"/>
    <w:rsid w:val="00BB5A70"/>
    <w:rsid w:val="00BB5B04"/>
    <w:rsid w:val="00BB5C5F"/>
    <w:rsid w:val="00BB61DD"/>
    <w:rsid w:val="00BB7124"/>
    <w:rsid w:val="00BB76DF"/>
    <w:rsid w:val="00BB7D7B"/>
    <w:rsid w:val="00BB7E33"/>
    <w:rsid w:val="00BC0576"/>
    <w:rsid w:val="00BC0927"/>
    <w:rsid w:val="00BC0CE1"/>
    <w:rsid w:val="00BC0E84"/>
    <w:rsid w:val="00BC10BE"/>
    <w:rsid w:val="00BC11B7"/>
    <w:rsid w:val="00BC1B09"/>
    <w:rsid w:val="00BC1BC4"/>
    <w:rsid w:val="00BC1DF3"/>
    <w:rsid w:val="00BC22BB"/>
    <w:rsid w:val="00BC268C"/>
    <w:rsid w:val="00BC2716"/>
    <w:rsid w:val="00BC28E4"/>
    <w:rsid w:val="00BC299E"/>
    <w:rsid w:val="00BC2E8F"/>
    <w:rsid w:val="00BC3346"/>
    <w:rsid w:val="00BC38EB"/>
    <w:rsid w:val="00BC392E"/>
    <w:rsid w:val="00BC3B6E"/>
    <w:rsid w:val="00BC3B97"/>
    <w:rsid w:val="00BC3E92"/>
    <w:rsid w:val="00BC4045"/>
    <w:rsid w:val="00BC413D"/>
    <w:rsid w:val="00BC462A"/>
    <w:rsid w:val="00BC4F18"/>
    <w:rsid w:val="00BC5ABD"/>
    <w:rsid w:val="00BC5AC6"/>
    <w:rsid w:val="00BC5C62"/>
    <w:rsid w:val="00BC6006"/>
    <w:rsid w:val="00BC64E9"/>
    <w:rsid w:val="00BC6925"/>
    <w:rsid w:val="00BC6C18"/>
    <w:rsid w:val="00BC760D"/>
    <w:rsid w:val="00BC77ED"/>
    <w:rsid w:val="00BC7B8B"/>
    <w:rsid w:val="00BD0075"/>
    <w:rsid w:val="00BD1137"/>
    <w:rsid w:val="00BD129C"/>
    <w:rsid w:val="00BD160B"/>
    <w:rsid w:val="00BD163E"/>
    <w:rsid w:val="00BD2296"/>
    <w:rsid w:val="00BD2EA5"/>
    <w:rsid w:val="00BD366A"/>
    <w:rsid w:val="00BD47A9"/>
    <w:rsid w:val="00BD4A6D"/>
    <w:rsid w:val="00BD4FAD"/>
    <w:rsid w:val="00BD5171"/>
    <w:rsid w:val="00BD59D7"/>
    <w:rsid w:val="00BD610D"/>
    <w:rsid w:val="00BD6386"/>
    <w:rsid w:val="00BD63DB"/>
    <w:rsid w:val="00BD6BA6"/>
    <w:rsid w:val="00BD71C5"/>
    <w:rsid w:val="00BD749B"/>
    <w:rsid w:val="00BD76AF"/>
    <w:rsid w:val="00BD78D5"/>
    <w:rsid w:val="00BE0011"/>
    <w:rsid w:val="00BE0C5B"/>
    <w:rsid w:val="00BE1341"/>
    <w:rsid w:val="00BE15A0"/>
    <w:rsid w:val="00BE17D8"/>
    <w:rsid w:val="00BE18B5"/>
    <w:rsid w:val="00BE1BED"/>
    <w:rsid w:val="00BE1C05"/>
    <w:rsid w:val="00BE26FD"/>
    <w:rsid w:val="00BE287C"/>
    <w:rsid w:val="00BE2A75"/>
    <w:rsid w:val="00BE3006"/>
    <w:rsid w:val="00BE38AA"/>
    <w:rsid w:val="00BE3B9A"/>
    <w:rsid w:val="00BE47D4"/>
    <w:rsid w:val="00BE52CA"/>
    <w:rsid w:val="00BE5A11"/>
    <w:rsid w:val="00BE627B"/>
    <w:rsid w:val="00BE6812"/>
    <w:rsid w:val="00BE6B45"/>
    <w:rsid w:val="00BE6F2A"/>
    <w:rsid w:val="00BE7480"/>
    <w:rsid w:val="00BE7682"/>
    <w:rsid w:val="00BF001A"/>
    <w:rsid w:val="00BF0055"/>
    <w:rsid w:val="00BF059B"/>
    <w:rsid w:val="00BF072F"/>
    <w:rsid w:val="00BF0753"/>
    <w:rsid w:val="00BF14A8"/>
    <w:rsid w:val="00BF19B0"/>
    <w:rsid w:val="00BF1DCB"/>
    <w:rsid w:val="00BF2481"/>
    <w:rsid w:val="00BF28E3"/>
    <w:rsid w:val="00BF2CD7"/>
    <w:rsid w:val="00BF2EBF"/>
    <w:rsid w:val="00BF2FA9"/>
    <w:rsid w:val="00BF31B5"/>
    <w:rsid w:val="00BF33FC"/>
    <w:rsid w:val="00BF39A6"/>
    <w:rsid w:val="00BF4054"/>
    <w:rsid w:val="00BF4F86"/>
    <w:rsid w:val="00BF50E7"/>
    <w:rsid w:val="00BF530D"/>
    <w:rsid w:val="00BF552D"/>
    <w:rsid w:val="00BF57A2"/>
    <w:rsid w:val="00BF5BEB"/>
    <w:rsid w:val="00BF6425"/>
    <w:rsid w:val="00BF65EA"/>
    <w:rsid w:val="00BF79BA"/>
    <w:rsid w:val="00BF7FFD"/>
    <w:rsid w:val="00C000D8"/>
    <w:rsid w:val="00C0034F"/>
    <w:rsid w:val="00C00641"/>
    <w:rsid w:val="00C016E2"/>
    <w:rsid w:val="00C01F8E"/>
    <w:rsid w:val="00C03537"/>
    <w:rsid w:val="00C03653"/>
    <w:rsid w:val="00C03C12"/>
    <w:rsid w:val="00C03EEC"/>
    <w:rsid w:val="00C04138"/>
    <w:rsid w:val="00C046DD"/>
    <w:rsid w:val="00C0474A"/>
    <w:rsid w:val="00C047F2"/>
    <w:rsid w:val="00C05129"/>
    <w:rsid w:val="00C0571E"/>
    <w:rsid w:val="00C05A08"/>
    <w:rsid w:val="00C05B27"/>
    <w:rsid w:val="00C05C0C"/>
    <w:rsid w:val="00C06885"/>
    <w:rsid w:val="00C068F0"/>
    <w:rsid w:val="00C06C96"/>
    <w:rsid w:val="00C06F6B"/>
    <w:rsid w:val="00C06F8D"/>
    <w:rsid w:val="00C071FA"/>
    <w:rsid w:val="00C07365"/>
    <w:rsid w:val="00C0748E"/>
    <w:rsid w:val="00C0799D"/>
    <w:rsid w:val="00C07ACC"/>
    <w:rsid w:val="00C07BDD"/>
    <w:rsid w:val="00C10172"/>
    <w:rsid w:val="00C10228"/>
    <w:rsid w:val="00C104A1"/>
    <w:rsid w:val="00C105A3"/>
    <w:rsid w:val="00C108F9"/>
    <w:rsid w:val="00C10AC7"/>
    <w:rsid w:val="00C10DB6"/>
    <w:rsid w:val="00C1121D"/>
    <w:rsid w:val="00C11595"/>
    <w:rsid w:val="00C11A4E"/>
    <w:rsid w:val="00C11F6F"/>
    <w:rsid w:val="00C121D0"/>
    <w:rsid w:val="00C1231E"/>
    <w:rsid w:val="00C12504"/>
    <w:rsid w:val="00C12627"/>
    <w:rsid w:val="00C12756"/>
    <w:rsid w:val="00C1283C"/>
    <w:rsid w:val="00C12D36"/>
    <w:rsid w:val="00C130BE"/>
    <w:rsid w:val="00C137E2"/>
    <w:rsid w:val="00C13A3F"/>
    <w:rsid w:val="00C13B05"/>
    <w:rsid w:val="00C13D56"/>
    <w:rsid w:val="00C13EC0"/>
    <w:rsid w:val="00C14950"/>
    <w:rsid w:val="00C149AE"/>
    <w:rsid w:val="00C14DB7"/>
    <w:rsid w:val="00C14F9D"/>
    <w:rsid w:val="00C15062"/>
    <w:rsid w:val="00C158CE"/>
    <w:rsid w:val="00C15A76"/>
    <w:rsid w:val="00C15ACE"/>
    <w:rsid w:val="00C16062"/>
    <w:rsid w:val="00C161A9"/>
    <w:rsid w:val="00C165B7"/>
    <w:rsid w:val="00C166DB"/>
    <w:rsid w:val="00C16CD6"/>
    <w:rsid w:val="00C1719F"/>
    <w:rsid w:val="00C1754A"/>
    <w:rsid w:val="00C17DE2"/>
    <w:rsid w:val="00C2015E"/>
    <w:rsid w:val="00C202B5"/>
    <w:rsid w:val="00C20E73"/>
    <w:rsid w:val="00C2125C"/>
    <w:rsid w:val="00C21497"/>
    <w:rsid w:val="00C21C48"/>
    <w:rsid w:val="00C2214F"/>
    <w:rsid w:val="00C22357"/>
    <w:rsid w:val="00C23014"/>
    <w:rsid w:val="00C230EA"/>
    <w:rsid w:val="00C23420"/>
    <w:rsid w:val="00C2353C"/>
    <w:rsid w:val="00C23B4B"/>
    <w:rsid w:val="00C2413A"/>
    <w:rsid w:val="00C24669"/>
    <w:rsid w:val="00C24679"/>
    <w:rsid w:val="00C24696"/>
    <w:rsid w:val="00C249F1"/>
    <w:rsid w:val="00C24F2A"/>
    <w:rsid w:val="00C251B0"/>
    <w:rsid w:val="00C25418"/>
    <w:rsid w:val="00C2550C"/>
    <w:rsid w:val="00C258C3"/>
    <w:rsid w:val="00C25C9C"/>
    <w:rsid w:val="00C25EA2"/>
    <w:rsid w:val="00C2638C"/>
    <w:rsid w:val="00C263E4"/>
    <w:rsid w:val="00C26D7B"/>
    <w:rsid w:val="00C26DE0"/>
    <w:rsid w:val="00C26E4F"/>
    <w:rsid w:val="00C26FEC"/>
    <w:rsid w:val="00C27032"/>
    <w:rsid w:val="00C30736"/>
    <w:rsid w:val="00C3181C"/>
    <w:rsid w:val="00C322B5"/>
    <w:rsid w:val="00C323FA"/>
    <w:rsid w:val="00C32983"/>
    <w:rsid w:val="00C32A88"/>
    <w:rsid w:val="00C330AA"/>
    <w:rsid w:val="00C3372E"/>
    <w:rsid w:val="00C33854"/>
    <w:rsid w:val="00C33DA0"/>
    <w:rsid w:val="00C34402"/>
    <w:rsid w:val="00C3490B"/>
    <w:rsid w:val="00C34DB6"/>
    <w:rsid w:val="00C35363"/>
    <w:rsid w:val="00C35893"/>
    <w:rsid w:val="00C359EA"/>
    <w:rsid w:val="00C35C4A"/>
    <w:rsid w:val="00C36162"/>
    <w:rsid w:val="00C3693F"/>
    <w:rsid w:val="00C36ABD"/>
    <w:rsid w:val="00C36DD6"/>
    <w:rsid w:val="00C36EC7"/>
    <w:rsid w:val="00C3700C"/>
    <w:rsid w:val="00C3711E"/>
    <w:rsid w:val="00C37B9D"/>
    <w:rsid w:val="00C40DBD"/>
    <w:rsid w:val="00C40FDB"/>
    <w:rsid w:val="00C4145C"/>
    <w:rsid w:val="00C414A7"/>
    <w:rsid w:val="00C4155B"/>
    <w:rsid w:val="00C41756"/>
    <w:rsid w:val="00C41B22"/>
    <w:rsid w:val="00C423A2"/>
    <w:rsid w:val="00C4276B"/>
    <w:rsid w:val="00C427FD"/>
    <w:rsid w:val="00C42AD0"/>
    <w:rsid w:val="00C42CAF"/>
    <w:rsid w:val="00C4348A"/>
    <w:rsid w:val="00C43898"/>
    <w:rsid w:val="00C43F27"/>
    <w:rsid w:val="00C44BD1"/>
    <w:rsid w:val="00C45283"/>
    <w:rsid w:val="00C45603"/>
    <w:rsid w:val="00C4568F"/>
    <w:rsid w:val="00C46735"/>
    <w:rsid w:val="00C46B5F"/>
    <w:rsid w:val="00C4706A"/>
    <w:rsid w:val="00C47161"/>
    <w:rsid w:val="00C471A5"/>
    <w:rsid w:val="00C4738F"/>
    <w:rsid w:val="00C47CEB"/>
    <w:rsid w:val="00C47E93"/>
    <w:rsid w:val="00C47EFB"/>
    <w:rsid w:val="00C47F74"/>
    <w:rsid w:val="00C50A81"/>
    <w:rsid w:val="00C51406"/>
    <w:rsid w:val="00C51A3B"/>
    <w:rsid w:val="00C51AF2"/>
    <w:rsid w:val="00C51CC3"/>
    <w:rsid w:val="00C521BB"/>
    <w:rsid w:val="00C52253"/>
    <w:rsid w:val="00C5263A"/>
    <w:rsid w:val="00C5272C"/>
    <w:rsid w:val="00C52A74"/>
    <w:rsid w:val="00C52BE8"/>
    <w:rsid w:val="00C52E05"/>
    <w:rsid w:val="00C5303F"/>
    <w:rsid w:val="00C531AE"/>
    <w:rsid w:val="00C53A4D"/>
    <w:rsid w:val="00C53FF2"/>
    <w:rsid w:val="00C5416E"/>
    <w:rsid w:val="00C542A6"/>
    <w:rsid w:val="00C54378"/>
    <w:rsid w:val="00C54924"/>
    <w:rsid w:val="00C549A4"/>
    <w:rsid w:val="00C549DF"/>
    <w:rsid w:val="00C54AC5"/>
    <w:rsid w:val="00C54E60"/>
    <w:rsid w:val="00C54EF1"/>
    <w:rsid w:val="00C55149"/>
    <w:rsid w:val="00C55489"/>
    <w:rsid w:val="00C55DD1"/>
    <w:rsid w:val="00C56765"/>
    <w:rsid w:val="00C57360"/>
    <w:rsid w:val="00C57F5C"/>
    <w:rsid w:val="00C606BD"/>
    <w:rsid w:val="00C6074A"/>
    <w:rsid w:val="00C607FD"/>
    <w:rsid w:val="00C611BD"/>
    <w:rsid w:val="00C612E7"/>
    <w:rsid w:val="00C612EF"/>
    <w:rsid w:val="00C6186C"/>
    <w:rsid w:val="00C61B52"/>
    <w:rsid w:val="00C61E56"/>
    <w:rsid w:val="00C6215A"/>
    <w:rsid w:val="00C6248B"/>
    <w:rsid w:val="00C6391A"/>
    <w:rsid w:val="00C63E07"/>
    <w:rsid w:val="00C63EFD"/>
    <w:rsid w:val="00C64027"/>
    <w:rsid w:val="00C642C6"/>
    <w:rsid w:val="00C644BD"/>
    <w:rsid w:val="00C646F9"/>
    <w:rsid w:val="00C64BBA"/>
    <w:rsid w:val="00C651FC"/>
    <w:rsid w:val="00C663DC"/>
    <w:rsid w:val="00C670AE"/>
    <w:rsid w:val="00C673C6"/>
    <w:rsid w:val="00C6742B"/>
    <w:rsid w:val="00C67B01"/>
    <w:rsid w:val="00C7041F"/>
    <w:rsid w:val="00C705F0"/>
    <w:rsid w:val="00C7078E"/>
    <w:rsid w:val="00C70CA7"/>
    <w:rsid w:val="00C710BB"/>
    <w:rsid w:val="00C718B9"/>
    <w:rsid w:val="00C71C8D"/>
    <w:rsid w:val="00C71F0E"/>
    <w:rsid w:val="00C7261E"/>
    <w:rsid w:val="00C7279B"/>
    <w:rsid w:val="00C727C1"/>
    <w:rsid w:val="00C728AD"/>
    <w:rsid w:val="00C72DE3"/>
    <w:rsid w:val="00C73040"/>
    <w:rsid w:val="00C73569"/>
    <w:rsid w:val="00C735BC"/>
    <w:rsid w:val="00C738D2"/>
    <w:rsid w:val="00C73959"/>
    <w:rsid w:val="00C73AE7"/>
    <w:rsid w:val="00C73B9C"/>
    <w:rsid w:val="00C74210"/>
    <w:rsid w:val="00C752D6"/>
    <w:rsid w:val="00C75480"/>
    <w:rsid w:val="00C754E8"/>
    <w:rsid w:val="00C75729"/>
    <w:rsid w:val="00C75820"/>
    <w:rsid w:val="00C75A99"/>
    <w:rsid w:val="00C764DF"/>
    <w:rsid w:val="00C765A3"/>
    <w:rsid w:val="00C76B11"/>
    <w:rsid w:val="00C76C3A"/>
    <w:rsid w:val="00C76E1D"/>
    <w:rsid w:val="00C77441"/>
    <w:rsid w:val="00C77943"/>
    <w:rsid w:val="00C779CD"/>
    <w:rsid w:val="00C77D5E"/>
    <w:rsid w:val="00C77DA4"/>
    <w:rsid w:val="00C77E42"/>
    <w:rsid w:val="00C80384"/>
    <w:rsid w:val="00C806BC"/>
    <w:rsid w:val="00C8099D"/>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AE1"/>
    <w:rsid w:val="00C86DF1"/>
    <w:rsid w:val="00C86FB6"/>
    <w:rsid w:val="00C873C6"/>
    <w:rsid w:val="00C87AF4"/>
    <w:rsid w:val="00C87E4B"/>
    <w:rsid w:val="00C87E75"/>
    <w:rsid w:val="00C90005"/>
    <w:rsid w:val="00C9074A"/>
    <w:rsid w:val="00C90803"/>
    <w:rsid w:val="00C90C09"/>
    <w:rsid w:val="00C91173"/>
    <w:rsid w:val="00C91474"/>
    <w:rsid w:val="00C914BA"/>
    <w:rsid w:val="00C91A2F"/>
    <w:rsid w:val="00C922B7"/>
    <w:rsid w:val="00C9274C"/>
    <w:rsid w:val="00C92AFF"/>
    <w:rsid w:val="00C92E84"/>
    <w:rsid w:val="00C930C8"/>
    <w:rsid w:val="00C9319D"/>
    <w:rsid w:val="00C93843"/>
    <w:rsid w:val="00C9395B"/>
    <w:rsid w:val="00C93F2A"/>
    <w:rsid w:val="00C945AA"/>
    <w:rsid w:val="00C95281"/>
    <w:rsid w:val="00C95A24"/>
    <w:rsid w:val="00C96308"/>
    <w:rsid w:val="00C967CD"/>
    <w:rsid w:val="00C96A9C"/>
    <w:rsid w:val="00C96E7A"/>
    <w:rsid w:val="00C96E7D"/>
    <w:rsid w:val="00C96FBB"/>
    <w:rsid w:val="00C9725B"/>
    <w:rsid w:val="00C9767B"/>
    <w:rsid w:val="00C97A85"/>
    <w:rsid w:val="00C97B58"/>
    <w:rsid w:val="00CA0215"/>
    <w:rsid w:val="00CA09A3"/>
    <w:rsid w:val="00CA0BAC"/>
    <w:rsid w:val="00CA0EF5"/>
    <w:rsid w:val="00CA10C3"/>
    <w:rsid w:val="00CA1824"/>
    <w:rsid w:val="00CA183A"/>
    <w:rsid w:val="00CA1DCA"/>
    <w:rsid w:val="00CA23BA"/>
    <w:rsid w:val="00CA2560"/>
    <w:rsid w:val="00CA2834"/>
    <w:rsid w:val="00CA3585"/>
    <w:rsid w:val="00CA360E"/>
    <w:rsid w:val="00CA3C14"/>
    <w:rsid w:val="00CA4A23"/>
    <w:rsid w:val="00CA5097"/>
    <w:rsid w:val="00CA609F"/>
    <w:rsid w:val="00CA625C"/>
    <w:rsid w:val="00CA64DD"/>
    <w:rsid w:val="00CA699F"/>
    <w:rsid w:val="00CA6C73"/>
    <w:rsid w:val="00CA725C"/>
    <w:rsid w:val="00CA739E"/>
    <w:rsid w:val="00CA7738"/>
    <w:rsid w:val="00CA7BF0"/>
    <w:rsid w:val="00CB0596"/>
    <w:rsid w:val="00CB0802"/>
    <w:rsid w:val="00CB0879"/>
    <w:rsid w:val="00CB0C55"/>
    <w:rsid w:val="00CB0CFC"/>
    <w:rsid w:val="00CB0D57"/>
    <w:rsid w:val="00CB0FAD"/>
    <w:rsid w:val="00CB1142"/>
    <w:rsid w:val="00CB1D82"/>
    <w:rsid w:val="00CB216A"/>
    <w:rsid w:val="00CB2694"/>
    <w:rsid w:val="00CB2F67"/>
    <w:rsid w:val="00CB374A"/>
    <w:rsid w:val="00CB3CBB"/>
    <w:rsid w:val="00CB44EB"/>
    <w:rsid w:val="00CB44F5"/>
    <w:rsid w:val="00CB49B5"/>
    <w:rsid w:val="00CB4B5D"/>
    <w:rsid w:val="00CB50B5"/>
    <w:rsid w:val="00CB5293"/>
    <w:rsid w:val="00CB531D"/>
    <w:rsid w:val="00CB5EFA"/>
    <w:rsid w:val="00CB63A1"/>
    <w:rsid w:val="00CB7286"/>
    <w:rsid w:val="00CB72BC"/>
    <w:rsid w:val="00CB73AF"/>
    <w:rsid w:val="00CB7E4F"/>
    <w:rsid w:val="00CC03B4"/>
    <w:rsid w:val="00CC12B2"/>
    <w:rsid w:val="00CC20EA"/>
    <w:rsid w:val="00CC228B"/>
    <w:rsid w:val="00CC313E"/>
    <w:rsid w:val="00CC32E1"/>
    <w:rsid w:val="00CC37A5"/>
    <w:rsid w:val="00CC3E0A"/>
    <w:rsid w:val="00CC4700"/>
    <w:rsid w:val="00CC4873"/>
    <w:rsid w:val="00CC5151"/>
    <w:rsid w:val="00CC5B62"/>
    <w:rsid w:val="00CC5F3D"/>
    <w:rsid w:val="00CC61C2"/>
    <w:rsid w:val="00CC6898"/>
    <w:rsid w:val="00CC68E2"/>
    <w:rsid w:val="00CC6AD9"/>
    <w:rsid w:val="00CC6E56"/>
    <w:rsid w:val="00CC7127"/>
    <w:rsid w:val="00CD021C"/>
    <w:rsid w:val="00CD12A4"/>
    <w:rsid w:val="00CD1321"/>
    <w:rsid w:val="00CD1BC5"/>
    <w:rsid w:val="00CD1E88"/>
    <w:rsid w:val="00CD1F16"/>
    <w:rsid w:val="00CD2133"/>
    <w:rsid w:val="00CD2C29"/>
    <w:rsid w:val="00CD3228"/>
    <w:rsid w:val="00CD324D"/>
    <w:rsid w:val="00CD390E"/>
    <w:rsid w:val="00CD3D57"/>
    <w:rsid w:val="00CD4398"/>
    <w:rsid w:val="00CD4485"/>
    <w:rsid w:val="00CD46EB"/>
    <w:rsid w:val="00CD48AF"/>
    <w:rsid w:val="00CD4922"/>
    <w:rsid w:val="00CD4BDB"/>
    <w:rsid w:val="00CD4D8D"/>
    <w:rsid w:val="00CD5741"/>
    <w:rsid w:val="00CD5EF8"/>
    <w:rsid w:val="00CD6079"/>
    <w:rsid w:val="00CD6546"/>
    <w:rsid w:val="00CD6809"/>
    <w:rsid w:val="00CD79A0"/>
    <w:rsid w:val="00CD7DF6"/>
    <w:rsid w:val="00CE0378"/>
    <w:rsid w:val="00CE04B7"/>
    <w:rsid w:val="00CE0FEB"/>
    <w:rsid w:val="00CE1318"/>
    <w:rsid w:val="00CE13CB"/>
    <w:rsid w:val="00CE23BC"/>
    <w:rsid w:val="00CE2A29"/>
    <w:rsid w:val="00CE2AA6"/>
    <w:rsid w:val="00CE3319"/>
    <w:rsid w:val="00CE3438"/>
    <w:rsid w:val="00CE369D"/>
    <w:rsid w:val="00CE3D14"/>
    <w:rsid w:val="00CE3ECB"/>
    <w:rsid w:val="00CE5961"/>
    <w:rsid w:val="00CE5DD0"/>
    <w:rsid w:val="00CE6A21"/>
    <w:rsid w:val="00CE72C2"/>
    <w:rsid w:val="00CE773F"/>
    <w:rsid w:val="00CE7CBB"/>
    <w:rsid w:val="00CE7E24"/>
    <w:rsid w:val="00CF023C"/>
    <w:rsid w:val="00CF0948"/>
    <w:rsid w:val="00CF16B6"/>
    <w:rsid w:val="00CF1835"/>
    <w:rsid w:val="00CF1BA0"/>
    <w:rsid w:val="00CF249F"/>
    <w:rsid w:val="00CF2517"/>
    <w:rsid w:val="00CF2639"/>
    <w:rsid w:val="00CF27ED"/>
    <w:rsid w:val="00CF2D73"/>
    <w:rsid w:val="00CF403B"/>
    <w:rsid w:val="00CF4212"/>
    <w:rsid w:val="00CF448F"/>
    <w:rsid w:val="00CF60FE"/>
    <w:rsid w:val="00CF6A22"/>
    <w:rsid w:val="00CF6C17"/>
    <w:rsid w:val="00CF715D"/>
    <w:rsid w:val="00CF7296"/>
    <w:rsid w:val="00CF7809"/>
    <w:rsid w:val="00D0009C"/>
    <w:rsid w:val="00D0125C"/>
    <w:rsid w:val="00D0135C"/>
    <w:rsid w:val="00D01550"/>
    <w:rsid w:val="00D015DD"/>
    <w:rsid w:val="00D015EE"/>
    <w:rsid w:val="00D017AF"/>
    <w:rsid w:val="00D02040"/>
    <w:rsid w:val="00D02810"/>
    <w:rsid w:val="00D02DBA"/>
    <w:rsid w:val="00D038E1"/>
    <w:rsid w:val="00D03E4C"/>
    <w:rsid w:val="00D04603"/>
    <w:rsid w:val="00D04B5B"/>
    <w:rsid w:val="00D0524D"/>
    <w:rsid w:val="00D061C3"/>
    <w:rsid w:val="00D076AB"/>
    <w:rsid w:val="00D07816"/>
    <w:rsid w:val="00D078D1"/>
    <w:rsid w:val="00D07975"/>
    <w:rsid w:val="00D07A0A"/>
    <w:rsid w:val="00D07AE8"/>
    <w:rsid w:val="00D1062B"/>
    <w:rsid w:val="00D10E95"/>
    <w:rsid w:val="00D11515"/>
    <w:rsid w:val="00D11558"/>
    <w:rsid w:val="00D117FA"/>
    <w:rsid w:val="00D11DE9"/>
    <w:rsid w:val="00D11E58"/>
    <w:rsid w:val="00D12048"/>
    <w:rsid w:val="00D122DD"/>
    <w:rsid w:val="00D134AB"/>
    <w:rsid w:val="00D13510"/>
    <w:rsid w:val="00D139E9"/>
    <w:rsid w:val="00D13AC9"/>
    <w:rsid w:val="00D13D54"/>
    <w:rsid w:val="00D1435B"/>
    <w:rsid w:val="00D14770"/>
    <w:rsid w:val="00D14DD6"/>
    <w:rsid w:val="00D150C9"/>
    <w:rsid w:val="00D151B3"/>
    <w:rsid w:val="00D1546F"/>
    <w:rsid w:val="00D15718"/>
    <w:rsid w:val="00D15C18"/>
    <w:rsid w:val="00D15CE2"/>
    <w:rsid w:val="00D15D73"/>
    <w:rsid w:val="00D15DE2"/>
    <w:rsid w:val="00D167F6"/>
    <w:rsid w:val="00D168B4"/>
    <w:rsid w:val="00D16A48"/>
    <w:rsid w:val="00D17E20"/>
    <w:rsid w:val="00D206E6"/>
    <w:rsid w:val="00D20805"/>
    <w:rsid w:val="00D20E16"/>
    <w:rsid w:val="00D20E6C"/>
    <w:rsid w:val="00D210D4"/>
    <w:rsid w:val="00D218B7"/>
    <w:rsid w:val="00D21B7A"/>
    <w:rsid w:val="00D21BED"/>
    <w:rsid w:val="00D22D00"/>
    <w:rsid w:val="00D23388"/>
    <w:rsid w:val="00D23AFA"/>
    <w:rsid w:val="00D23EFD"/>
    <w:rsid w:val="00D24651"/>
    <w:rsid w:val="00D24FEC"/>
    <w:rsid w:val="00D2500B"/>
    <w:rsid w:val="00D2605B"/>
    <w:rsid w:val="00D260B0"/>
    <w:rsid w:val="00D26140"/>
    <w:rsid w:val="00D26454"/>
    <w:rsid w:val="00D272D7"/>
    <w:rsid w:val="00D27A12"/>
    <w:rsid w:val="00D30255"/>
    <w:rsid w:val="00D30808"/>
    <w:rsid w:val="00D30A83"/>
    <w:rsid w:val="00D31027"/>
    <w:rsid w:val="00D31041"/>
    <w:rsid w:val="00D31EC6"/>
    <w:rsid w:val="00D31F69"/>
    <w:rsid w:val="00D31FB9"/>
    <w:rsid w:val="00D3207B"/>
    <w:rsid w:val="00D32447"/>
    <w:rsid w:val="00D32841"/>
    <w:rsid w:val="00D32A2B"/>
    <w:rsid w:val="00D32BA8"/>
    <w:rsid w:val="00D32CC5"/>
    <w:rsid w:val="00D33629"/>
    <w:rsid w:val="00D33B1D"/>
    <w:rsid w:val="00D34360"/>
    <w:rsid w:val="00D34B1B"/>
    <w:rsid w:val="00D34F7D"/>
    <w:rsid w:val="00D358FF"/>
    <w:rsid w:val="00D35AF5"/>
    <w:rsid w:val="00D35EAD"/>
    <w:rsid w:val="00D35ED7"/>
    <w:rsid w:val="00D35F00"/>
    <w:rsid w:val="00D36BF9"/>
    <w:rsid w:val="00D36C38"/>
    <w:rsid w:val="00D36C54"/>
    <w:rsid w:val="00D372EC"/>
    <w:rsid w:val="00D37354"/>
    <w:rsid w:val="00D3741A"/>
    <w:rsid w:val="00D37503"/>
    <w:rsid w:val="00D37FAF"/>
    <w:rsid w:val="00D4010B"/>
    <w:rsid w:val="00D40A6B"/>
    <w:rsid w:val="00D40C0F"/>
    <w:rsid w:val="00D40D28"/>
    <w:rsid w:val="00D40DB8"/>
    <w:rsid w:val="00D40DE4"/>
    <w:rsid w:val="00D40FDE"/>
    <w:rsid w:val="00D413D4"/>
    <w:rsid w:val="00D41474"/>
    <w:rsid w:val="00D4159A"/>
    <w:rsid w:val="00D415F2"/>
    <w:rsid w:val="00D4225C"/>
    <w:rsid w:val="00D42372"/>
    <w:rsid w:val="00D4275C"/>
    <w:rsid w:val="00D428F3"/>
    <w:rsid w:val="00D43009"/>
    <w:rsid w:val="00D4374B"/>
    <w:rsid w:val="00D43E71"/>
    <w:rsid w:val="00D43F15"/>
    <w:rsid w:val="00D44496"/>
    <w:rsid w:val="00D448AC"/>
    <w:rsid w:val="00D44C64"/>
    <w:rsid w:val="00D44FCB"/>
    <w:rsid w:val="00D451A0"/>
    <w:rsid w:val="00D453E4"/>
    <w:rsid w:val="00D4577E"/>
    <w:rsid w:val="00D457AE"/>
    <w:rsid w:val="00D45D10"/>
    <w:rsid w:val="00D45ECA"/>
    <w:rsid w:val="00D46138"/>
    <w:rsid w:val="00D463B6"/>
    <w:rsid w:val="00D4678A"/>
    <w:rsid w:val="00D46AAB"/>
    <w:rsid w:val="00D46F40"/>
    <w:rsid w:val="00D4726C"/>
    <w:rsid w:val="00D47D3B"/>
    <w:rsid w:val="00D50308"/>
    <w:rsid w:val="00D50312"/>
    <w:rsid w:val="00D506D1"/>
    <w:rsid w:val="00D513CF"/>
    <w:rsid w:val="00D519CD"/>
    <w:rsid w:val="00D51C83"/>
    <w:rsid w:val="00D51FFC"/>
    <w:rsid w:val="00D521CC"/>
    <w:rsid w:val="00D521DF"/>
    <w:rsid w:val="00D52A9A"/>
    <w:rsid w:val="00D53206"/>
    <w:rsid w:val="00D532F8"/>
    <w:rsid w:val="00D53536"/>
    <w:rsid w:val="00D53A9C"/>
    <w:rsid w:val="00D53AEB"/>
    <w:rsid w:val="00D543BE"/>
    <w:rsid w:val="00D54950"/>
    <w:rsid w:val="00D54D9E"/>
    <w:rsid w:val="00D55223"/>
    <w:rsid w:val="00D552AC"/>
    <w:rsid w:val="00D55BA6"/>
    <w:rsid w:val="00D55D7F"/>
    <w:rsid w:val="00D55E12"/>
    <w:rsid w:val="00D5609A"/>
    <w:rsid w:val="00D56511"/>
    <w:rsid w:val="00D5657D"/>
    <w:rsid w:val="00D56A91"/>
    <w:rsid w:val="00D56C07"/>
    <w:rsid w:val="00D56F0B"/>
    <w:rsid w:val="00D572E2"/>
    <w:rsid w:val="00D573DB"/>
    <w:rsid w:val="00D57985"/>
    <w:rsid w:val="00D5798F"/>
    <w:rsid w:val="00D602CC"/>
    <w:rsid w:val="00D602E5"/>
    <w:rsid w:val="00D608D4"/>
    <w:rsid w:val="00D60B0B"/>
    <w:rsid w:val="00D61B91"/>
    <w:rsid w:val="00D61FC3"/>
    <w:rsid w:val="00D624F3"/>
    <w:rsid w:val="00D6301E"/>
    <w:rsid w:val="00D632DC"/>
    <w:rsid w:val="00D64002"/>
    <w:rsid w:val="00D640E4"/>
    <w:rsid w:val="00D641BF"/>
    <w:rsid w:val="00D6461A"/>
    <w:rsid w:val="00D647BD"/>
    <w:rsid w:val="00D64EA4"/>
    <w:rsid w:val="00D657B8"/>
    <w:rsid w:val="00D658B1"/>
    <w:rsid w:val="00D66749"/>
    <w:rsid w:val="00D668AA"/>
    <w:rsid w:val="00D669A1"/>
    <w:rsid w:val="00D66F85"/>
    <w:rsid w:val="00D6730B"/>
    <w:rsid w:val="00D67374"/>
    <w:rsid w:val="00D67742"/>
    <w:rsid w:val="00D67899"/>
    <w:rsid w:val="00D6796A"/>
    <w:rsid w:val="00D67B0B"/>
    <w:rsid w:val="00D67E26"/>
    <w:rsid w:val="00D67EDF"/>
    <w:rsid w:val="00D7070E"/>
    <w:rsid w:val="00D70983"/>
    <w:rsid w:val="00D70CCD"/>
    <w:rsid w:val="00D70D36"/>
    <w:rsid w:val="00D7157A"/>
    <w:rsid w:val="00D72307"/>
    <w:rsid w:val="00D7275B"/>
    <w:rsid w:val="00D72B7B"/>
    <w:rsid w:val="00D73107"/>
    <w:rsid w:val="00D73253"/>
    <w:rsid w:val="00D73958"/>
    <w:rsid w:val="00D73BAA"/>
    <w:rsid w:val="00D7437C"/>
    <w:rsid w:val="00D74A26"/>
    <w:rsid w:val="00D74A57"/>
    <w:rsid w:val="00D74C34"/>
    <w:rsid w:val="00D75E7F"/>
    <w:rsid w:val="00D76D1C"/>
    <w:rsid w:val="00D76F17"/>
    <w:rsid w:val="00D77316"/>
    <w:rsid w:val="00D802CD"/>
    <w:rsid w:val="00D80416"/>
    <w:rsid w:val="00D80588"/>
    <w:rsid w:val="00D80E37"/>
    <w:rsid w:val="00D812C9"/>
    <w:rsid w:val="00D81414"/>
    <w:rsid w:val="00D81453"/>
    <w:rsid w:val="00D81B08"/>
    <w:rsid w:val="00D82167"/>
    <w:rsid w:val="00D82250"/>
    <w:rsid w:val="00D82B11"/>
    <w:rsid w:val="00D83157"/>
    <w:rsid w:val="00D83235"/>
    <w:rsid w:val="00D83422"/>
    <w:rsid w:val="00D83683"/>
    <w:rsid w:val="00D83922"/>
    <w:rsid w:val="00D83B5D"/>
    <w:rsid w:val="00D84A65"/>
    <w:rsid w:val="00D856AB"/>
    <w:rsid w:val="00D86114"/>
    <w:rsid w:val="00D8638E"/>
    <w:rsid w:val="00D87209"/>
    <w:rsid w:val="00D8793E"/>
    <w:rsid w:val="00D87C68"/>
    <w:rsid w:val="00D903B4"/>
    <w:rsid w:val="00D9043B"/>
    <w:rsid w:val="00D90826"/>
    <w:rsid w:val="00D90C42"/>
    <w:rsid w:val="00D915B2"/>
    <w:rsid w:val="00D91D2B"/>
    <w:rsid w:val="00D91EC7"/>
    <w:rsid w:val="00D92227"/>
    <w:rsid w:val="00D922DA"/>
    <w:rsid w:val="00D93421"/>
    <w:rsid w:val="00D9354C"/>
    <w:rsid w:val="00D938C9"/>
    <w:rsid w:val="00D94866"/>
    <w:rsid w:val="00D94B33"/>
    <w:rsid w:val="00D94B58"/>
    <w:rsid w:val="00D94BAE"/>
    <w:rsid w:val="00D9534E"/>
    <w:rsid w:val="00D955BF"/>
    <w:rsid w:val="00D965E2"/>
    <w:rsid w:val="00D96CD3"/>
    <w:rsid w:val="00D97673"/>
    <w:rsid w:val="00D9779D"/>
    <w:rsid w:val="00D97D20"/>
    <w:rsid w:val="00D97F2D"/>
    <w:rsid w:val="00D97FDF"/>
    <w:rsid w:val="00DA00B5"/>
    <w:rsid w:val="00DA03C1"/>
    <w:rsid w:val="00DA055C"/>
    <w:rsid w:val="00DA0E7E"/>
    <w:rsid w:val="00DA143E"/>
    <w:rsid w:val="00DA16DD"/>
    <w:rsid w:val="00DA18C3"/>
    <w:rsid w:val="00DA1B85"/>
    <w:rsid w:val="00DA1C4D"/>
    <w:rsid w:val="00DA2E81"/>
    <w:rsid w:val="00DA2E89"/>
    <w:rsid w:val="00DA2FD1"/>
    <w:rsid w:val="00DA3833"/>
    <w:rsid w:val="00DA3BB0"/>
    <w:rsid w:val="00DA43AA"/>
    <w:rsid w:val="00DA46DF"/>
    <w:rsid w:val="00DA48E8"/>
    <w:rsid w:val="00DA4B58"/>
    <w:rsid w:val="00DA4F23"/>
    <w:rsid w:val="00DA57B2"/>
    <w:rsid w:val="00DA5BA9"/>
    <w:rsid w:val="00DA5D4E"/>
    <w:rsid w:val="00DA5FF1"/>
    <w:rsid w:val="00DA62B8"/>
    <w:rsid w:val="00DA6A2A"/>
    <w:rsid w:val="00DA70CA"/>
    <w:rsid w:val="00DA730C"/>
    <w:rsid w:val="00DA7B16"/>
    <w:rsid w:val="00DA7C53"/>
    <w:rsid w:val="00DB0995"/>
    <w:rsid w:val="00DB18FA"/>
    <w:rsid w:val="00DB1EC9"/>
    <w:rsid w:val="00DB29F9"/>
    <w:rsid w:val="00DB2CD1"/>
    <w:rsid w:val="00DB2E99"/>
    <w:rsid w:val="00DB334A"/>
    <w:rsid w:val="00DB3709"/>
    <w:rsid w:val="00DB374B"/>
    <w:rsid w:val="00DB38FA"/>
    <w:rsid w:val="00DB3A3E"/>
    <w:rsid w:val="00DB3E04"/>
    <w:rsid w:val="00DB4A97"/>
    <w:rsid w:val="00DB4EB3"/>
    <w:rsid w:val="00DB520F"/>
    <w:rsid w:val="00DB53E9"/>
    <w:rsid w:val="00DB58B8"/>
    <w:rsid w:val="00DB5A1B"/>
    <w:rsid w:val="00DB5ABB"/>
    <w:rsid w:val="00DB5D51"/>
    <w:rsid w:val="00DB604A"/>
    <w:rsid w:val="00DB6114"/>
    <w:rsid w:val="00DB62CE"/>
    <w:rsid w:val="00DB7287"/>
    <w:rsid w:val="00DB739C"/>
    <w:rsid w:val="00DB752E"/>
    <w:rsid w:val="00DB7749"/>
    <w:rsid w:val="00DB7D22"/>
    <w:rsid w:val="00DB7F61"/>
    <w:rsid w:val="00DC023A"/>
    <w:rsid w:val="00DC02F7"/>
    <w:rsid w:val="00DC05C1"/>
    <w:rsid w:val="00DC098D"/>
    <w:rsid w:val="00DC0AF7"/>
    <w:rsid w:val="00DC0C85"/>
    <w:rsid w:val="00DC0D1B"/>
    <w:rsid w:val="00DC0DCB"/>
    <w:rsid w:val="00DC1280"/>
    <w:rsid w:val="00DC12EC"/>
    <w:rsid w:val="00DC16A7"/>
    <w:rsid w:val="00DC1BE4"/>
    <w:rsid w:val="00DC2173"/>
    <w:rsid w:val="00DC2E4B"/>
    <w:rsid w:val="00DC2FC9"/>
    <w:rsid w:val="00DC3A48"/>
    <w:rsid w:val="00DC3BA0"/>
    <w:rsid w:val="00DC473A"/>
    <w:rsid w:val="00DC487D"/>
    <w:rsid w:val="00DC543B"/>
    <w:rsid w:val="00DC65FA"/>
    <w:rsid w:val="00DC6A43"/>
    <w:rsid w:val="00DC6E35"/>
    <w:rsid w:val="00DC6F6A"/>
    <w:rsid w:val="00DC73D0"/>
    <w:rsid w:val="00DC772A"/>
    <w:rsid w:val="00DC7D9D"/>
    <w:rsid w:val="00DC7EE1"/>
    <w:rsid w:val="00DD06EA"/>
    <w:rsid w:val="00DD0EE8"/>
    <w:rsid w:val="00DD1C24"/>
    <w:rsid w:val="00DD1E86"/>
    <w:rsid w:val="00DD2702"/>
    <w:rsid w:val="00DD2826"/>
    <w:rsid w:val="00DD2E2E"/>
    <w:rsid w:val="00DD2EBE"/>
    <w:rsid w:val="00DD358F"/>
    <w:rsid w:val="00DD3648"/>
    <w:rsid w:val="00DD472A"/>
    <w:rsid w:val="00DD4831"/>
    <w:rsid w:val="00DD4959"/>
    <w:rsid w:val="00DD4DDE"/>
    <w:rsid w:val="00DD4FF9"/>
    <w:rsid w:val="00DD5425"/>
    <w:rsid w:val="00DD5C93"/>
    <w:rsid w:val="00DD606D"/>
    <w:rsid w:val="00DD664C"/>
    <w:rsid w:val="00DD6917"/>
    <w:rsid w:val="00DD6A07"/>
    <w:rsid w:val="00DD71F7"/>
    <w:rsid w:val="00DD7219"/>
    <w:rsid w:val="00DD7BBC"/>
    <w:rsid w:val="00DD7C45"/>
    <w:rsid w:val="00DD7F4F"/>
    <w:rsid w:val="00DE026A"/>
    <w:rsid w:val="00DE06DB"/>
    <w:rsid w:val="00DE08BC"/>
    <w:rsid w:val="00DE0AB5"/>
    <w:rsid w:val="00DE0C76"/>
    <w:rsid w:val="00DE0D93"/>
    <w:rsid w:val="00DE0DB8"/>
    <w:rsid w:val="00DE1239"/>
    <w:rsid w:val="00DE1C81"/>
    <w:rsid w:val="00DE21D3"/>
    <w:rsid w:val="00DE2332"/>
    <w:rsid w:val="00DE355F"/>
    <w:rsid w:val="00DE368A"/>
    <w:rsid w:val="00DE378F"/>
    <w:rsid w:val="00DE399D"/>
    <w:rsid w:val="00DE3A5F"/>
    <w:rsid w:val="00DE3AC1"/>
    <w:rsid w:val="00DE41FF"/>
    <w:rsid w:val="00DE49A4"/>
    <w:rsid w:val="00DE4C50"/>
    <w:rsid w:val="00DE503F"/>
    <w:rsid w:val="00DE5466"/>
    <w:rsid w:val="00DE5525"/>
    <w:rsid w:val="00DE5A11"/>
    <w:rsid w:val="00DE5A77"/>
    <w:rsid w:val="00DE5DDD"/>
    <w:rsid w:val="00DE66BE"/>
    <w:rsid w:val="00DE7029"/>
    <w:rsid w:val="00DE761A"/>
    <w:rsid w:val="00DE77A3"/>
    <w:rsid w:val="00DE7948"/>
    <w:rsid w:val="00DF029E"/>
    <w:rsid w:val="00DF0DED"/>
    <w:rsid w:val="00DF11B5"/>
    <w:rsid w:val="00DF126B"/>
    <w:rsid w:val="00DF1BCC"/>
    <w:rsid w:val="00DF1C8A"/>
    <w:rsid w:val="00DF268B"/>
    <w:rsid w:val="00DF2B11"/>
    <w:rsid w:val="00DF3132"/>
    <w:rsid w:val="00DF31A3"/>
    <w:rsid w:val="00DF4B29"/>
    <w:rsid w:val="00DF65E2"/>
    <w:rsid w:val="00DF6B9E"/>
    <w:rsid w:val="00DF6CA2"/>
    <w:rsid w:val="00DF7533"/>
    <w:rsid w:val="00DF7AB2"/>
    <w:rsid w:val="00DF7D45"/>
    <w:rsid w:val="00E0026F"/>
    <w:rsid w:val="00E007E5"/>
    <w:rsid w:val="00E01538"/>
    <w:rsid w:val="00E01585"/>
    <w:rsid w:val="00E026D3"/>
    <w:rsid w:val="00E02896"/>
    <w:rsid w:val="00E029BA"/>
    <w:rsid w:val="00E02B05"/>
    <w:rsid w:val="00E032EE"/>
    <w:rsid w:val="00E03B83"/>
    <w:rsid w:val="00E03FC0"/>
    <w:rsid w:val="00E052EA"/>
    <w:rsid w:val="00E05714"/>
    <w:rsid w:val="00E058CD"/>
    <w:rsid w:val="00E0596F"/>
    <w:rsid w:val="00E05BFA"/>
    <w:rsid w:val="00E062CD"/>
    <w:rsid w:val="00E0643C"/>
    <w:rsid w:val="00E06A7B"/>
    <w:rsid w:val="00E06B49"/>
    <w:rsid w:val="00E076A5"/>
    <w:rsid w:val="00E078E8"/>
    <w:rsid w:val="00E100CA"/>
    <w:rsid w:val="00E102E8"/>
    <w:rsid w:val="00E105CA"/>
    <w:rsid w:val="00E10CAB"/>
    <w:rsid w:val="00E114E5"/>
    <w:rsid w:val="00E115F8"/>
    <w:rsid w:val="00E12982"/>
    <w:rsid w:val="00E12FEA"/>
    <w:rsid w:val="00E13996"/>
    <w:rsid w:val="00E13ACD"/>
    <w:rsid w:val="00E140FF"/>
    <w:rsid w:val="00E1433A"/>
    <w:rsid w:val="00E15424"/>
    <w:rsid w:val="00E155D5"/>
    <w:rsid w:val="00E158FE"/>
    <w:rsid w:val="00E15994"/>
    <w:rsid w:val="00E15ED1"/>
    <w:rsid w:val="00E161E9"/>
    <w:rsid w:val="00E1691F"/>
    <w:rsid w:val="00E171E7"/>
    <w:rsid w:val="00E17661"/>
    <w:rsid w:val="00E17698"/>
    <w:rsid w:val="00E17902"/>
    <w:rsid w:val="00E201F6"/>
    <w:rsid w:val="00E204F7"/>
    <w:rsid w:val="00E207E3"/>
    <w:rsid w:val="00E21DF2"/>
    <w:rsid w:val="00E21FDB"/>
    <w:rsid w:val="00E223D9"/>
    <w:rsid w:val="00E22470"/>
    <w:rsid w:val="00E228D9"/>
    <w:rsid w:val="00E2309F"/>
    <w:rsid w:val="00E23395"/>
    <w:rsid w:val="00E235A9"/>
    <w:rsid w:val="00E236DA"/>
    <w:rsid w:val="00E239A6"/>
    <w:rsid w:val="00E23B51"/>
    <w:rsid w:val="00E24408"/>
    <w:rsid w:val="00E24802"/>
    <w:rsid w:val="00E24C3C"/>
    <w:rsid w:val="00E25202"/>
    <w:rsid w:val="00E25BFE"/>
    <w:rsid w:val="00E2721B"/>
    <w:rsid w:val="00E2728A"/>
    <w:rsid w:val="00E27DD8"/>
    <w:rsid w:val="00E3037C"/>
    <w:rsid w:val="00E3086E"/>
    <w:rsid w:val="00E30BF7"/>
    <w:rsid w:val="00E30C04"/>
    <w:rsid w:val="00E31932"/>
    <w:rsid w:val="00E31D39"/>
    <w:rsid w:val="00E31EF1"/>
    <w:rsid w:val="00E33011"/>
    <w:rsid w:val="00E336E5"/>
    <w:rsid w:val="00E3375A"/>
    <w:rsid w:val="00E33DCE"/>
    <w:rsid w:val="00E3403A"/>
    <w:rsid w:val="00E3519C"/>
    <w:rsid w:val="00E35858"/>
    <w:rsid w:val="00E35C01"/>
    <w:rsid w:val="00E35DDD"/>
    <w:rsid w:val="00E35EE1"/>
    <w:rsid w:val="00E362F0"/>
    <w:rsid w:val="00E36405"/>
    <w:rsid w:val="00E36F4E"/>
    <w:rsid w:val="00E374D5"/>
    <w:rsid w:val="00E37564"/>
    <w:rsid w:val="00E376AE"/>
    <w:rsid w:val="00E40105"/>
    <w:rsid w:val="00E4066A"/>
    <w:rsid w:val="00E40683"/>
    <w:rsid w:val="00E409E6"/>
    <w:rsid w:val="00E41282"/>
    <w:rsid w:val="00E41DC0"/>
    <w:rsid w:val="00E4211F"/>
    <w:rsid w:val="00E424A0"/>
    <w:rsid w:val="00E4283E"/>
    <w:rsid w:val="00E4316D"/>
    <w:rsid w:val="00E4354E"/>
    <w:rsid w:val="00E43928"/>
    <w:rsid w:val="00E43AD8"/>
    <w:rsid w:val="00E43E88"/>
    <w:rsid w:val="00E446E5"/>
    <w:rsid w:val="00E44ABF"/>
    <w:rsid w:val="00E44C34"/>
    <w:rsid w:val="00E454AD"/>
    <w:rsid w:val="00E455F0"/>
    <w:rsid w:val="00E459A4"/>
    <w:rsid w:val="00E459E9"/>
    <w:rsid w:val="00E45EC4"/>
    <w:rsid w:val="00E45FB8"/>
    <w:rsid w:val="00E46B63"/>
    <w:rsid w:val="00E47226"/>
    <w:rsid w:val="00E476B8"/>
    <w:rsid w:val="00E476DB"/>
    <w:rsid w:val="00E47C5F"/>
    <w:rsid w:val="00E507CB"/>
    <w:rsid w:val="00E507FF"/>
    <w:rsid w:val="00E5081C"/>
    <w:rsid w:val="00E508BF"/>
    <w:rsid w:val="00E5091B"/>
    <w:rsid w:val="00E50A63"/>
    <w:rsid w:val="00E50E59"/>
    <w:rsid w:val="00E520BA"/>
    <w:rsid w:val="00E52484"/>
    <w:rsid w:val="00E528EA"/>
    <w:rsid w:val="00E529B1"/>
    <w:rsid w:val="00E52CC5"/>
    <w:rsid w:val="00E535A8"/>
    <w:rsid w:val="00E53671"/>
    <w:rsid w:val="00E55298"/>
    <w:rsid w:val="00E5620C"/>
    <w:rsid w:val="00E56319"/>
    <w:rsid w:val="00E57859"/>
    <w:rsid w:val="00E57977"/>
    <w:rsid w:val="00E57E1A"/>
    <w:rsid w:val="00E57F98"/>
    <w:rsid w:val="00E6060B"/>
    <w:rsid w:val="00E61142"/>
    <w:rsid w:val="00E61587"/>
    <w:rsid w:val="00E6169A"/>
    <w:rsid w:val="00E61BB0"/>
    <w:rsid w:val="00E61EC8"/>
    <w:rsid w:val="00E624A0"/>
    <w:rsid w:val="00E633F1"/>
    <w:rsid w:val="00E636F5"/>
    <w:rsid w:val="00E636FD"/>
    <w:rsid w:val="00E6378B"/>
    <w:rsid w:val="00E642E8"/>
    <w:rsid w:val="00E64617"/>
    <w:rsid w:val="00E653DA"/>
    <w:rsid w:val="00E6542B"/>
    <w:rsid w:val="00E6548E"/>
    <w:rsid w:val="00E65D92"/>
    <w:rsid w:val="00E663CF"/>
    <w:rsid w:val="00E66418"/>
    <w:rsid w:val="00E669D9"/>
    <w:rsid w:val="00E66D16"/>
    <w:rsid w:val="00E674F1"/>
    <w:rsid w:val="00E6763F"/>
    <w:rsid w:val="00E67B2B"/>
    <w:rsid w:val="00E70037"/>
    <w:rsid w:val="00E70976"/>
    <w:rsid w:val="00E70A84"/>
    <w:rsid w:val="00E71356"/>
    <w:rsid w:val="00E7161D"/>
    <w:rsid w:val="00E716B2"/>
    <w:rsid w:val="00E72897"/>
    <w:rsid w:val="00E72BEB"/>
    <w:rsid w:val="00E72E41"/>
    <w:rsid w:val="00E73712"/>
    <w:rsid w:val="00E73AA5"/>
    <w:rsid w:val="00E73EAE"/>
    <w:rsid w:val="00E74254"/>
    <w:rsid w:val="00E74724"/>
    <w:rsid w:val="00E7562E"/>
    <w:rsid w:val="00E75926"/>
    <w:rsid w:val="00E7629E"/>
    <w:rsid w:val="00E763A2"/>
    <w:rsid w:val="00E768D4"/>
    <w:rsid w:val="00E7696C"/>
    <w:rsid w:val="00E76DD1"/>
    <w:rsid w:val="00E7708D"/>
    <w:rsid w:val="00E77C3B"/>
    <w:rsid w:val="00E77CFC"/>
    <w:rsid w:val="00E77E05"/>
    <w:rsid w:val="00E80450"/>
    <w:rsid w:val="00E804FD"/>
    <w:rsid w:val="00E80540"/>
    <w:rsid w:val="00E805B8"/>
    <w:rsid w:val="00E80793"/>
    <w:rsid w:val="00E80AE7"/>
    <w:rsid w:val="00E80B36"/>
    <w:rsid w:val="00E80CC3"/>
    <w:rsid w:val="00E81025"/>
    <w:rsid w:val="00E8108A"/>
    <w:rsid w:val="00E810C1"/>
    <w:rsid w:val="00E81283"/>
    <w:rsid w:val="00E8129B"/>
    <w:rsid w:val="00E8130A"/>
    <w:rsid w:val="00E81915"/>
    <w:rsid w:val="00E81A0C"/>
    <w:rsid w:val="00E81B3F"/>
    <w:rsid w:val="00E8265E"/>
    <w:rsid w:val="00E82E8A"/>
    <w:rsid w:val="00E83357"/>
    <w:rsid w:val="00E83405"/>
    <w:rsid w:val="00E838D1"/>
    <w:rsid w:val="00E845F2"/>
    <w:rsid w:val="00E847EA"/>
    <w:rsid w:val="00E84D86"/>
    <w:rsid w:val="00E851A8"/>
    <w:rsid w:val="00E85255"/>
    <w:rsid w:val="00E85646"/>
    <w:rsid w:val="00E8576F"/>
    <w:rsid w:val="00E85916"/>
    <w:rsid w:val="00E86AC3"/>
    <w:rsid w:val="00E87076"/>
    <w:rsid w:val="00E8708D"/>
    <w:rsid w:val="00E87129"/>
    <w:rsid w:val="00E874A6"/>
    <w:rsid w:val="00E9026D"/>
    <w:rsid w:val="00E90644"/>
    <w:rsid w:val="00E906D0"/>
    <w:rsid w:val="00E916FE"/>
    <w:rsid w:val="00E91EF9"/>
    <w:rsid w:val="00E921BF"/>
    <w:rsid w:val="00E92294"/>
    <w:rsid w:val="00E93529"/>
    <w:rsid w:val="00E9386C"/>
    <w:rsid w:val="00E938D5"/>
    <w:rsid w:val="00E93DC1"/>
    <w:rsid w:val="00E9424F"/>
    <w:rsid w:val="00E947C4"/>
    <w:rsid w:val="00E948E7"/>
    <w:rsid w:val="00E94DDD"/>
    <w:rsid w:val="00E950A9"/>
    <w:rsid w:val="00E96458"/>
    <w:rsid w:val="00E964E6"/>
    <w:rsid w:val="00E96B61"/>
    <w:rsid w:val="00E96F6A"/>
    <w:rsid w:val="00E977C6"/>
    <w:rsid w:val="00E97CD2"/>
    <w:rsid w:val="00E97E3B"/>
    <w:rsid w:val="00EA02AB"/>
    <w:rsid w:val="00EA0E5D"/>
    <w:rsid w:val="00EA1C73"/>
    <w:rsid w:val="00EA1D8B"/>
    <w:rsid w:val="00EA24A7"/>
    <w:rsid w:val="00EA2794"/>
    <w:rsid w:val="00EA2AB0"/>
    <w:rsid w:val="00EA2C54"/>
    <w:rsid w:val="00EA2E48"/>
    <w:rsid w:val="00EA2FE8"/>
    <w:rsid w:val="00EA3100"/>
    <w:rsid w:val="00EA383B"/>
    <w:rsid w:val="00EA38C7"/>
    <w:rsid w:val="00EA3D57"/>
    <w:rsid w:val="00EA412C"/>
    <w:rsid w:val="00EA4281"/>
    <w:rsid w:val="00EA451B"/>
    <w:rsid w:val="00EA46E3"/>
    <w:rsid w:val="00EA4C0A"/>
    <w:rsid w:val="00EA4D2E"/>
    <w:rsid w:val="00EA4E95"/>
    <w:rsid w:val="00EA5469"/>
    <w:rsid w:val="00EA6198"/>
    <w:rsid w:val="00EA6699"/>
    <w:rsid w:val="00EA709E"/>
    <w:rsid w:val="00EA70C5"/>
    <w:rsid w:val="00EB03A7"/>
    <w:rsid w:val="00EB064F"/>
    <w:rsid w:val="00EB06A7"/>
    <w:rsid w:val="00EB089A"/>
    <w:rsid w:val="00EB1DE2"/>
    <w:rsid w:val="00EB1DEF"/>
    <w:rsid w:val="00EB26D9"/>
    <w:rsid w:val="00EB286F"/>
    <w:rsid w:val="00EB37A2"/>
    <w:rsid w:val="00EB3B68"/>
    <w:rsid w:val="00EB411A"/>
    <w:rsid w:val="00EB55B9"/>
    <w:rsid w:val="00EB59B9"/>
    <w:rsid w:val="00EB5C9E"/>
    <w:rsid w:val="00EB6592"/>
    <w:rsid w:val="00EB6DF5"/>
    <w:rsid w:val="00EB748E"/>
    <w:rsid w:val="00EB7827"/>
    <w:rsid w:val="00EC0117"/>
    <w:rsid w:val="00EC012C"/>
    <w:rsid w:val="00EC097A"/>
    <w:rsid w:val="00EC0A30"/>
    <w:rsid w:val="00EC191D"/>
    <w:rsid w:val="00EC2A37"/>
    <w:rsid w:val="00EC3410"/>
    <w:rsid w:val="00EC398C"/>
    <w:rsid w:val="00EC39DA"/>
    <w:rsid w:val="00EC3BCE"/>
    <w:rsid w:val="00EC3E02"/>
    <w:rsid w:val="00EC3E9C"/>
    <w:rsid w:val="00EC3FD3"/>
    <w:rsid w:val="00EC4263"/>
    <w:rsid w:val="00EC489D"/>
    <w:rsid w:val="00EC4E33"/>
    <w:rsid w:val="00EC5485"/>
    <w:rsid w:val="00EC5AF4"/>
    <w:rsid w:val="00EC5B04"/>
    <w:rsid w:val="00EC5CAB"/>
    <w:rsid w:val="00EC643A"/>
    <w:rsid w:val="00EC67AA"/>
    <w:rsid w:val="00EC7030"/>
    <w:rsid w:val="00EC7207"/>
    <w:rsid w:val="00EC73FF"/>
    <w:rsid w:val="00EC7C35"/>
    <w:rsid w:val="00ED01C9"/>
    <w:rsid w:val="00ED0560"/>
    <w:rsid w:val="00ED0AE2"/>
    <w:rsid w:val="00ED0C5F"/>
    <w:rsid w:val="00ED122C"/>
    <w:rsid w:val="00ED1526"/>
    <w:rsid w:val="00ED1723"/>
    <w:rsid w:val="00ED1C29"/>
    <w:rsid w:val="00ED1F7B"/>
    <w:rsid w:val="00ED2096"/>
    <w:rsid w:val="00ED20F3"/>
    <w:rsid w:val="00ED2447"/>
    <w:rsid w:val="00ED2C72"/>
    <w:rsid w:val="00ED306B"/>
    <w:rsid w:val="00ED31F5"/>
    <w:rsid w:val="00ED3719"/>
    <w:rsid w:val="00ED3A0A"/>
    <w:rsid w:val="00ED3D65"/>
    <w:rsid w:val="00ED3EE1"/>
    <w:rsid w:val="00ED3F20"/>
    <w:rsid w:val="00ED42ED"/>
    <w:rsid w:val="00ED4D52"/>
    <w:rsid w:val="00ED501C"/>
    <w:rsid w:val="00ED592C"/>
    <w:rsid w:val="00ED5DF5"/>
    <w:rsid w:val="00ED5F9B"/>
    <w:rsid w:val="00ED606E"/>
    <w:rsid w:val="00ED628E"/>
    <w:rsid w:val="00ED65AF"/>
    <w:rsid w:val="00ED6723"/>
    <w:rsid w:val="00ED6F38"/>
    <w:rsid w:val="00ED7570"/>
    <w:rsid w:val="00ED7742"/>
    <w:rsid w:val="00ED7CA0"/>
    <w:rsid w:val="00EE1249"/>
    <w:rsid w:val="00EE1A64"/>
    <w:rsid w:val="00EE1D4B"/>
    <w:rsid w:val="00EE2B88"/>
    <w:rsid w:val="00EE2FAA"/>
    <w:rsid w:val="00EE3137"/>
    <w:rsid w:val="00EE34C5"/>
    <w:rsid w:val="00EE3FDC"/>
    <w:rsid w:val="00EE4651"/>
    <w:rsid w:val="00EE4807"/>
    <w:rsid w:val="00EE48EB"/>
    <w:rsid w:val="00EE498F"/>
    <w:rsid w:val="00EE4AD3"/>
    <w:rsid w:val="00EE4D77"/>
    <w:rsid w:val="00EE4FBD"/>
    <w:rsid w:val="00EE581B"/>
    <w:rsid w:val="00EE58AE"/>
    <w:rsid w:val="00EE58B3"/>
    <w:rsid w:val="00EE6586"/>
    <w:rsid w:val="00EE6F28"/>
    <w:rsid w:val="00EE72A7"/>
    <w:rsid w:val="00EE73CB"/>
    <w:rsid w:val="00EE77A8"/>
    <w:rsid w:val="00EE77F5"/>
    <w:rsid w:val="00EE7871"/>
    <w:rsid w:val="00EE7B7B"/>
    <w:rsid w:val="00EF006A"/>
    <w:rsid w:val="00EF057B"/>
    <w:rsid w:val="00EF0ECA"/>
    <w:rsid w:val="00EF127A"/>
    <w:rsid w:val="00EF134C"/>
    <w:rsid w:val="00EF21D9"/>
    <w:rsid w:val="00EF2770"/>
    <w:rsid w:val="00EF28E4"/>
    <w:rsid w:val="00EF2ABF"/>
    <w:rsid w:val="00EF347E"/>
    <w:rsid w:val="00EF372A"/>
    <w:rsid w:val="00EF39D4"/>
    <w:rsid w:val="00EF3EC6"/>
    <w:rsid w:val="00EF3F8F"/>
    <w:rsid w:val="00EF4134"/>
    <w:rsid w:val="00EF4296"/>
    <w:rsid w:val="00EF489B"/>
    <w:rsid w:val="00EF55D0"/>
    <w:rsid w:val="00EF581D"/>
    <w:rsid w:val="00EF5BAA"/>
    <w:rsid w:val="00EF6275"/>
    <w:rsid w:val="00EF630B"/>
    <w:rsid w:val="00EF6525"/>
    <w:rsid w:val="00EF65F4"/>
    <w:rsid w:val="00EF6C84"/>
    <w:rsid w:val="00EF6E9C"/>
    <w:rsid w:val="00EF73C5"/>
    <w:rsid w:val="00EF7EFA"/>
    <w:rsid w:val="00EF7F3A"/>
    <w:rsid w:val="00EF7FD6"/>
    <w:rsid w:val="00F00E11"/>
    <w:rsid w:val="00F01094"/>
    <w:rsid w:val="00F010FA"/>
    <w:rsid w:val="00F01114"/>
    <w:rsid w:val="00F018D7"/>
    <w:rsid w:val="00F01D04"/>
    <w:rsid w:val="00F02921"/>
    <w:rsid w:val="00F03202"/>
    <w:rsid w:val="00F036EC"/>
    <w:rsid w:val="00F0482E"/>
    <w:rsid w:val="00F0573B"/>
    <w:rsid w:val="00F05CE9"/>
    <w:rsid w:val="00F063FA"/>
    <w:rsid w:val="00F06414"/>
    <w:rsid w:val="00F06545"/>
    <w:rsid w:val="00F06810"/>
    <w:rsid w:val="00F06823"/>
    <w:rsid w:val="00F06F0F"/>
    <w:rsid w:val="00F06FE5"/>
    <w:rsid w:val="00F1055C"/>
    <w:rsid w:val="00F10F99"/>
    <w:rsid w:val="00F1170E"/>
    <w:rsid w:val="00F119EB"/>
    <w:rsid w:val="00F12A0D"/>
    <w:rsid w:val="00F12C9B"/>
    <w:rsid w:val="00F12CA2"/>
    <w:rsid w:val="00F12D45"/>
    <w:rsid w:val="00F13834"/>
    <w:rsid w:val="00F1395B"/>
    <w:rsid w:val="00F13CB9"/>
    <w:rsid w:val="00F13F7C"/>
    <w:rsid w:val="00F142A3"/>
    <w:rsid w:val="00F142C6"/>
    <w:rsid w:val="00F1436F"/>
    <w:rsid w:val="00F14431"/>
    <w:rsid w:val="00F147B8"/>
    <w:rsid w:val="00F14B6A"/>
    <w:rsid w:val="00F14D21"/>
    <w:rsid w:val="00F14DDC"/>
    <w:rsid w:val="00F15112"/>
    <w:rsid w:val="00F15212"/>
    <w:rsid w:val="00F158A9"/>
    <w:rsid w:val="00F159ED"/>
    <w:rsid w:val="00F15F93"/>
    <w:rsid w:val="00F164BF"/>
    <w:rsid w:val="00F166F4"/>
    <w:rsid w:val="00F172FF"/>
    <w:rsid w:val="00F17B51"/>
    <w:rsid w:val="00F200D4"/>
    <w:rsid w:val="00F20987"/>
    <w:rsid w:val="00F20A6C"/>
    <w:rsid w:val="00F21008"/>
    <w:rsid w:val="00F214E2"/>
    <w:rsid w:val="00F21533"/>
    <w:rsid w:val="00F21E1A"/>
    <w:rsid w:val="00F21F31"/>
    <w:rsid w:val="00F220D8"/>
    <w:rsid w:val="00F22644"/>
    <w:rsid w:val="00F226DE"/>
    <w:rsid w:val="00F2289E"/>
    <w:rsid w:val="00F232F8"/>
    <w:rsid w:val="00F23D49"/>
    <w:rsid w:val="00F2431B"/>
    <w:rsid w:val="00F245A3"/>
    <w:rsid w:val="00F247E9"/>
    <w:rsid w:val="00F24FEC"/>
    <w:rsid w:val="00F2546D"/>
    <w:rsid w:val="00F25E01"/>
    <w:rsid w:val="00F26803"/>
    <w:rsid w:val="00F26C97"/>
    <w:rsid w:val="00F26E4E"/>
    <w:rsid w:val="00F26F3A"/>
    <w:rsid w:val="00F27371"/>
    <w:rsid w:val="00F27C94"/>
    <w:rsid w:val="00F30150"/>
    <w:rsid w:val="00F30338"/>
    <w:rsid w:val="00F307CA"/>
    <w:rsid w:val="00F3100C"/>
    <w:rsid w:val="00F3163C"/>
    <w:rsid w:val="00F31A10"/>
    <w:rsid w:val="00F3239C"/>
    <w:rsid w:val="00F3258D"/>
    <w:rsid w:val="00F32B0F"/>
    <w:rsid w:val="00F32D2C"/>
    <w:rsid w:val="00F32F78"/>
    <w:rsid w:val="00F3335A"/>
    <w:rsid w:val="00F34070"/>
    <w:rsid w:val="00F344FE"/>
    <w:rsid w:val="00F3465B"/>
    <w:rsid w:val="00F358EA"/>
    <w:rsid w:val="00F3650D"/>
    <w:rsid w:val="00F36B52"/>
    <w:rsid w:val="00F36DC7"/>
    <w:rsid w:val="00F36F3A"/>
    <w:rsid w:val="00F3701B"/>
    <w:rsid w:val="00F370B1"/>
    <w:rsid w:val="00F378FF"/>
    <w:rsid w:val="00F37ADB"/>
    <w:rsid w:val="00F4004A"/>
    <w:rsid w:val="00F400D2"/>
    <w:rsid w:val="00F4042B"/>
    <w:rsid w:val="00F4058C"/>
    <w:rsid w:val="00F40803"/>
    <w:rsid w:val="00F40D17"/>
    <w:rsid w:val="00F40F3F"/>
    <w:rsid w:val="00F410E9"/>
    <w:rsid w:val="00F41F6F"/>
    <w:rsid w:val="00F42139"/>
    <w:rsid w:val="00F426B7"/>
    <w:rsid w:val="00F427AA"/>
    <w:rsid w:val="00F4281F"/>
    <w:rsid w:val="00F42A4A"/>
    <w:rsid w:val="00F42AA7"/>
    <w:rsid w:val="00F42FF3"/>
    <w:rsid w:val="00F4341B"/>
    <w:rsid w:val="00F43604"/>
    <w:rsid w:val="00F43801"/>
    <w:rsid w:val="00F43D1D"/>
    <w:rsid w:val="00F43D21"/>
    <w:rsid w:val="00F43D8F"/>
    <w:rsid w:val="00F43ECD"/>
    <w:rsid w:val="00F44D28"/>
    <w:rsid w:val="00F45702"/>
    <w:rsid w:val="00F45AEF"/>
    <w:rsid w:val="00F46D83"/>
    <w:rsid w:val="00F46E8B"/>
    <w:rsid w:val="00F47D2F"/>
    <w:rsid w:val="00F47EFA"/>
    <w:rsid w:val="00F505B2"/>
    <w:rsid w:val="00F50825"/>
    <w:rsid w:val="00F50B85"/>
    <w:rsid w:val="00F517DB"/>
    <w:rsid w:val="00F520AA"/>
    <w:rsid w:val="00F5216D"/>
    <w:rsid w:val="00F52A12"/>
    <w:rsid w:val="00F53799"/>
    <w:rsid w:val="00F53A7E"/>
    <w:rsid w:val="00F53ADE"/>
    <w:rsid w:val="00F53F7B"/>
    <w:rsid w:val="00F53FB5"/>
    <w:rsid w:val="00F544E7"/>
    <w:rsid w:val="00F54609"/>
    <w:rsid w:val="00F547D6"/>
    <w:rsid w:val="00F5481E"/>
    <w:rsid w:val="00F54B26"/>
    <w:rsid w:val="00F54BCE"/>
    <w:rsid w:val="00F559BE"/>
    <w:rsid w:val="00F55F9F"/>
    <w:rsid w:val="00F56066"/>
    <w:rsid w:val="00F5779E"/>
    <w:rsid w:val="00F6019C"/>
    <w:rsid w:val="00F60874"/>
    <w:rsid w:val="00F60D84"/>
    <w:rsid w:val="00F61251"/>
    <w:rsid w:val="00F6159C"/>
    <w:rsid w:val="00F61887"/>
    <w:rsid w:val="00F6199B"/>
    <w:rsid w:val="00F626FC"/>
    <w:rsid w:val="00F62A77"/>
    <w:rsid w:val="00F6357B"/>
    <w:rsid w:val="00F63619"/>
    <w:rsid w:val="00F64768"/>
    <w:rsid w:val="00F64C89"/>
    <w:rsid w:val="00F64D2C"/>
    <w:rsid w:val="00F655E0"/>
    <w:rsid w:val="00F65930"/>
    <w:rsid w:val="00F65B6C"/>
    <w:rsid w:val="00F6745D"/>
    <w:rsid w:val="00F67509"/>
    <w:rsid w:val="00F676A2"/>
    <w:rsid w:val="00F676A4"/>
    <w:rsid w:val="00F67746"/>
    <w:rsid w:val="00F6792E"/>
    <w:rsid w:val="00F701F9"/>
    <w:rsid w:val="00F70707"/>
    <w:rsid w:val="00F707C6"/>
    <w:rsid w:val="00F70B21"/>
    <w:rsid w:val="00F71156"/>
    <w:rsid w:val="00F71564"/>
    <w:rsid w:val="00F71782"/>
    <w:rsid w:val="00F71A77"/>
    <w:rsid w:val="00F71A7B"/>
    <w:rsid w:val="00F71A93"/>
    <w:rsid w:val="00F71C5C"/>
    <w:rsid w:val="00F72991"/>
    <w:rsid w:val="00F729BB"/>
    <w:rsid w:val="00F72F07"/>
    <w:rsid w:val="00F72FAE"/>
    <w:rsid w:val="00F737AD"/>
    <w:rsid w:val="00F73F43"/>
    <w:rsid w:val="00F740B8"/>
    <w:rsid w:val="00F747F1"/>
    <w:rsid w:val="00F74C3A"/>
    <w:rsid w:val="00F75853"/>
    <w:rsid w:val="00F75A9F"/>
    <w:rsid w:val="00F7634B"/>
    <w:rsid w:val="00F76DDD"/>
    <w:rsid w:val="00F771D6"/>
    <w:rsid w:val="00F77D11"/>
    <w:rsid w:val="00F77E8B"/>
    <w:rsid w:val="00F77ED2"/>
    <w:rsid w:val="00F80A28"/>
    <w:rsid w:val="00F80AA3"/>
    <w:rsid w:val="00F81848"/>
    <w:rsid w:val="00F818DC"/>
    <w:rsid w:val="00F81B41"/>
    <w:rsid w:val="00F8203F"/>
    <w:rsid w:val="00F82276"/>
    <w:rsid w:val="00F82340"/>
    <w:rsid w:val="00F82CA5"/>
    <w:rsid w:val="00F83ABA"/>
    <w:rsid w:val="00F83CE5"/>
    <w:rsid w:val="00F840EB"/>
    <w:rsid w:val="00F84660"/>
    <w:rsid w:val="00F848E0"/>
    <w:rsid w:val="00F84E9A"/>
    <w:rsid w:val="00F85E69"/>
    <w:rsid w:val="00F86017"/>
    <w:rsid w:val="00F861E7"/>
    <w:rsid w:val="00F86FCD"/>
    <w:rsid w:val="00F873AA"/>
    <w:rsid w:val="00F87F69"/>
    <w:rsid w:val="00F903D4"/>
    <w:rsid w:val="00F9058A"/>
    <w:rsid w:val="00F9072E"/>
    <w:rsid w:val="00F9079C"/>
    <w:rsid w:val="00F90966"/>
    <w:rsid w:val="00F90D32"/>
    <w:rsid w:val="00F913A5"/>
    <w:rsid w:val="00F923C8"/>
    <w:rsid w:val="00F924CC"/>
    <w:rsid w:val="00F92AFA"/>
    <w:rsid w:val="00F93A86"/>
    <w:rsid w:val="00F93DBB"/>
    <w:rsid w:val="00F93FF7"/>
    <w:rsid w:val="00F94814"/>
    <w:rsid w:val="00F94CBD"/>
    <w:rsid w:val="00F94FC6"/>
    <w:rsid w:val="00F957DF"/>
    <w:rsid w:val="00F968C2"/>
    <w:rsid w:val="00F96C9D"/>
    <w:rsid w:val="00F96CA9"/>
    <w:rsid w:val="00F96D0A"/>
    <w:rsid w:val="00F96D9E"/>
    <w:rsid w:val="00F96E1C"/>
    <w:rsid w:val="00F96E43"/>
    <w:rsid w:val="00F97642"/>
    <w:rsid w:val="00F97717"/>
    <w:rsid w:val="00F97CF2"/>
    <w:rsid w:val="00FA03BC"/>
    <w:rsid w:val="00FA046F"/>
    <w:rsid w:val="00FA062C"/>
    <w:rsid w:val="00FA118D"/>
    <w:rsid w:val="00FA124F"/>
    <w:rsid w:val="00FA125F"/>
    <w:rsid w:val="00FA146A"/>
    <w:rsid w:val="00FA1950"/>
    <w:rsid w:val="00FA1DF2"/>
    <w:rsid w:val="00FA2F78"/>
    <w:rsid w:val="00FA30FD"/>
    <w:rsid w:val="00FA3D8B"/>
    <w:rsid w:val="00FA3DF6"/>
    <w:rsid w:val="00FA4370"/>
    <w:rsid w:val="00FA48FB"/>
    <w:rsid w:val="00FA4BC8"/>
    <w:rsid w:val="00FA5148"/>
    <w:rsid w:val="00FA5394"/>
    <w:rsid w:val="00FA55FC"/>
    <w:rsid w:val="00FA5CEA"/>
    <w:rsid w:val="00FA5F80"/>
    <w:rsid w:val="00FA6278"/>
    <w:rsid w:val="00FA6535"/>
    <w:rsid w:val="00FA6871"/>
    <w:rsid w:val="00FA68B8"/>
    <w:rsid w:val="00FA7079"/>
    <w:rsid w:val="00FA796A"/>
    <w:rsid w:val="00FA7FA3"/>
    <w:rsid w:val="00FB0122"/>
    <w:rsid w:val="00FB04D7"/>
    <w:rsid w:val="00FB067A"/>
    <w:rsid w:val="00FB0D46"/>
    <w:rsid w:val="00FB0DB2"/>
    <w:rsid w:val="00FB1451"/>
    <w:rsid w:val="00FB158F"/>
    <w:rsid w:val="00FB2085"/>
    <w:rsid w:val="00FB2439"/>
    <w:rsid w:val="00FB27A6"/>
    <w:rsid w:val="00FB2970"/>
    <w:rsid w:val="00FB5035"/>
    <w:rsid w:val="00FB58DD"/>
    <w:rsid w:val="00FB5C82"/>
    <w:rsid w:val="00FB6622"/>
    <w:rsid w:val="00FB71AD"/>
    <w:rsid w:val="00FB76AB"/>
    <w:rsid w:val="00FB7D57"/>
    <w:rsid w:val="00FC01BD"/>
    <w:rsid w:val="00FC02D9"/>
    <w:rsid w:val="00FC0458"/>
    <w:rsid w:val="00FC04E0"/>
    <w:rsid w:val="00FC05B4"/>
    <w:rsid w:val="00FC0FE9"/>
    <w:rsid w:val="00FC17EC"/>
    <w:rsid w:val="00FC195B"/>
    <w:rsid w:val="00FC1DE4"/>
    <w:rsid w:val="00FC1E89"/>
    <w:rsid w:val="00FC1F80"/>
    <w:rsid w:val="00FC2C90"/>
    <w:rsid w:val="00FC3338"/>
    <w:rsid w:val="00FC340A"/>
    <w:rsid w:val="00FC39DC"/>
    <w:rsid w:val="00FC3A9B"/>
    <w:rsid w:val="00FC4552"/>
    <w:rsid w:val="00FC461E"/>
    <w:rsid w:val="00FC59B8"/>
    <w:rsid w:val="00FC5C92"/>
    <w:rsid w:val="00FC6375"/>
    <w:rsid w:val="00FC6AE8"/>
    <w:rsid w:val="00FD0A94"/>
    <w:rsid w:val="00FD102D"/>
    <w:rsid w:val="00FD1198"/>
    <w:rsid w:val="00FD16F4"/>
    <w:rsid w:val="00FD1890"/>
    <w:rsid w:val="00FD1A8C"/>
    <w:rsid w:val="00FD1F50"/>
    <w:rsid w:val="00FD2651"/>
    <w:rsid w:val="00FD36BC"/>
    <w:rsid w:val="00FD3A8F"/>
    <w:rsid w:val="00FD3E91"/>
    <w:rsid w:val="00FD4535"/>
    <w:rsid w:val="00FD4879"/>
    <w:rsid w:val="00FD49F6"/>
    <w:rsid w:val="00FD4F78"/>
    <w:rsid w:val="00FD52DD"/>
    <w:rsid w:val="00FD56EE"/>
    <w:rsid w:val="00FD6155"/>
    <w:rsid w:val="00FD616E"/>
    <w:rsid w:val="00FD6216"/>
    <w:rsid w:val="00FD644F"/>
    <w:rsid w:val="00FD6FE0"/>
    <w:rsid w:val="00FD7475"/>
    <w:rsid w:val="00FD7B96"/>
    <w:rsid w:val="00FD7D1F"/>
    <w:rsid w:val="00FD7DAF"/>
    <w:rsid w:val="00FD7E0E"/>
    <w:rsid w:val="00FD7FC7"/>
    <w:rsid w:val="00FE08E6"/>
    <w:rsid w:val="00FE0C26"/>
    <w:rsid w:val="00FE19F5"/>
    <w:rsid w:val="00FE1B6D"/>
    <w:rsid w:val="00FE1BC7"/>
    <w:rsid w:val="00FE1C92"/>
    <w:rsid w:val="00FE281F"/>
    <w:rsid w:val="00FE2FA4"/>
    <w:rsid w:val="00FE3991"/>
    <w:rsid w:val="00FE3ACE"/>
    <w:rsid w:val="00FE3B5D"/>
    <w:rsid w:val="00FE4820"/>
    <w:rsid w:val="00FE4886"/>
    <w:rsid w:val="00FE4AAB"/>
    <w:rsid w:val="00FE5075"/>
    <w:rsid w:val="00FE5A09"/>
    <w:rsid w:val="00FE5C3C"/>
    <w:rsid w:val="00FE65FE"/>
    <w:rsid w:val="00FE69D4"/>
    <w:rsid w:val="00FE746E"/>
    <w:rsid w:val="00FF0236"/>
    <w:rsid w:val="00FF0968"/>
    <w:rsid w:val="00FF09F6"/>
    <w:rsid w:val="00FF18D7"/>
    <w:rsid w:val="00FF1998"/>
    <w:rsid w:val="00FF1D7C"/>
    <w:rsid w:val="00FF25E1"/>
    <w:rsid w:val="00FF30CB"/>
    <w:rsid w:val="00FF3551"/>
    <w:rsid w:val="00FF3A31"/>
    <w:rsid w:val="00FF3D3D"/>
    <w:rsid w:val="00FF4253"/>
    <w:rsid w:val="00FF4957"/>
    <w:rsid w:val="00FF5596"/>
    <w:rsid w:val="00FF5A7E"/>
    <w:rsid w:val="00FF5F15"/>
    <w:rsid w:val="00FF7F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7FB8A7D0-3E3D-4AEA-8547-9A5F0935F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1" w:qFormat="1"/>
    <w:lsdException w:name="heading 2" w:uiPriority="1" w:qFormat="1"/>
    <w:lsdException w:name="heading 3" w:uiPriority="1"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uiPriority w:val="1"/>
    <w:qFormat/>
    <w:rsid w:val="00073DB2"/>
    <w:pPr>
      <w:keepNext/>
      <w:numPr>
        <w:numId w:val="19"/>
      </w:numPr>
      <w:pBdr>
        <w:top w:val="single" w:sz="8" w:space="1" w:color="000080"/>
      </w:pBdr>
      <w:spacing w:before="240" w:line="22" w:lineRule="atLeast"/>
      <w:jc w:val="left"/>
      <w:outlineLvl w:val="0"/>
    </w:pPr>
    <w:rPr>
      <w:rFonts w:ascii="Arial Bold" w:eastAsia="Times New Roman" w:hAnsi="Arial Bold" w:cs="Arial"/>
      <w:b/>
      <w:bCs/>
      <w:caps/>
      <w:color w:val="000080"/>
      <w:kern w:val="32"/>
      <w:sz w:val="28"/>
      <w:szCs w:val="28"/>
      <w:lang w:val="en-GB" w:eastAsia="en-GB"/>
    </w:rPr>
  </w:style>
  <w:style w:type="paragraph" w:styleId="Heading2">
    <w:name w:val="heading 2"/>
    <w:basedOn w:val="Normal"/>
    <w:next w:val="Normal"/>
    <w:link w:val="Heading2Char"/>
    <w:uiPriority w:val="1"/>
    <w:qFormat/>
    <w:rsid w:val="00953501"/>
    <w:pPr>
      <w:keepNext/>
      <w:numPr>
        <w:ilvl w:val="1"/>
        <w:numId w:val="19"/>
      </w:numPr>
      <w:spacing w:before="240" w:line="22" w:lineRule="atLeast"/>
      <w:jc w:val="left"/>
      <w:outlineLvl w:val="1"/>
    </w:pPr>
    <w:rPr>
      <w:rFonts w:ascii="Arial Bold" w:eastAsia="Times New Roman" w:hAnsi="Arial Bold" w:cs="Arial"/>
      <w:b/>
      <w:bCs/>
      <w:iCs/>
      <w:color w:val="000080"/>
      <w:sz w:val="24"/>
      <w:lang w:val="en-GB" w:eastAsia="en-GB"/>
    </w:rPr>
  </w:style>
  <w:style w:type="paragraph" w:styleId="Heading3">
    <w:name w:val="heading 3"/>
    <w:basedOn w:val="Normal"/>
    <w:next w:val="Normal"/>
    <w:link w:val="Heading3Char"/>
    <w:uiPriority w:val="1"/>
    <w:qFormat/>
    <w:rsid w:val="00953501"/>
    <w:pPr>
      <w:keepNext/>
      <w:numPr>
        <w:ilvl w:val="2"/>
        <w:numId w:val="19"/>
      </w:numPr>
      <w:spacing w:before="240" w:line="22" w:lineRule="atLeast"/>
      <w:jc w:val="left"/>
      <w:outlineLvl w:val="2"/>
    </w:pPr>
    <w:rPr>
      <w:rFonts w:ascii="Arial" w:eastAsia="Times New Roman" w:hAnsi="Arial" w:cs="Arial"/>
      <w:bCs/>
      <w:i/>
      <w:color w:val="000080"/>
      <w:sz w:val="22"/>
      <w:szCs w:val="22"/>
      <w:lang w:val="en-GB"/>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1"/>
    <w:locked/>
    <w:rsid w:val="00073DB2"/>
    <w:rPr>
      <w:rFonts w:ascii="Arial Bold" w:eastAsia="Times New Roman" w:hAnsi="Arial Bold" w:cs="Arial"/>
      <w:b/>
      <w:bCs/>
      <w:caps/>
      <w:color w:val="000080"/>
      <w:kern w:val="32"/>
      <w:sz w:val="28"/>
      <w:szCs w:val="28"/>
      <w:lang w:val="en-GB" w:eastAsia="en-GB"/>
    </w:rPr>
  </w:style>
  <w:style w:type="character" w:customStyle="1" w:styleId="Heading2Char">
    <w:name w:val="Heading 2 Char"/>
    <w:link w:val="Heading2"/>
    <w:uiPriority w:val="1"/>
    <w:locked/>
    <w:rsid w:val="00953501"/>
    <w:rPr>
      <w:rFonts w:ascii="Arial Bold" w:eastAsia="Times New Roman" w:hAnsi="Arial Bold" w:cs="Arial"/>
      <w:b/>
      <w:bCs/>
      <w:iCs/>
      <w:color w:val="000080"/>
      <w:sz w:val="24"/>
      <w:szCs w:val="24"/>
      <w:lang w:val="en-GB" w:eastAsia="en-GB"/>
    </w:rPr>
  </w:style>
  <w:style w:type="character" w:customStyle="1" w:styleId="Heading3Char">
    <w:name w:val="Heading 3 Char"/>
    <w:link w:val="Heading3"/>
    <w:uiPriority w:val="1"/>
    <w:locked/>
    <w:rsid w:val="00953501"/>
    <w:rPr>
      <w:rFonts w:ascii="Arial" w:eastAsia="Times New Roman" w:hAnsi="Arial" w:cs="Arial"/>
      <w:bCs/>
      <w:i/>
      <w:color w:val="000080"/>
      <w:sz w:val="22"/>
      <w:szCs w:val="22"/>
      <w:lang w:val="en-GB" w:eastAsia="en-US"/>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paragraph" w:styleId="BalloonText">
    <w:name w:val="Balloon Text"/>
    <w:basedOn w:val="Normal"/>
    <w:link w:val="BalloonTextChar"/>
    <w:semiHidden/>
    <w:rsid w:val="00D260B0"/>
    <w:rPr>
      <w:rFonts w:ascii="Tahoma" w:hAnsi="Tahoma" w:cs="Tahoma"/>
      <w:sz w:val="16"/>
      <w:szCs w:val="16"/>
    </w:rPr>
  </w:style>
  <w:style w:type="character" w:customStyle="1" w:styleId="BalloonTextChar">
    <w:name w:val="Balloon Text Char"/>
    <w:link w:val="BalloonText"/>
    <w:semiHidden/>
    <w:locked/>
    <w:rsid w:val="00CB0802"/>
    <w:rPr>
      <w:rFonts w:cs="Times New Roman"/>
      <w:sz w:val="2"/>
      <w:lang w:val="en-GB"/>
    </w:rPr>
  </w:style>
  <w:style w:type="character" w:customStyle="1" w:styleId="Heading2Char1">
    <w:name w:val="Heading 2 Char1"/>
    <w:locked/>
    <w:rsid w:val="00CB0802"/>
    <w:rPr>
      <w:rFonts w:ascii="Cambria" w:hAnsi="Cambria" w:cs="Times New Roman"/>
      <w:b/>
      <w:bCs/>
      <w:i/>
      <w:iCs/>
      <w:sz w:val="28"/>
      <w:szCs w:val="28"/>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A000C4"/>
    <w:pPr>
      <w:widowControl w:val="0"/>
      <w:tabs>
        <w:tab w:val="left" w:pos="284"/>
      </w:tabs>
    </w:pPr>
    <w:rPr>
      <w:rFonts w:ascii="Arial" w:hAnsi="Arial"/>
      <w:sz w:val="16"/>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A000C4"/>
    <w:rPr>
      <w:rFonts w:ascii="Arial" w:hAnsi="Arial"/>
      <w:sz w:val="16"/>
      <w:lang w:val="en-US" w:eastAsia="en-US"/>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rsid w:val="00E93DC1"/>
    <w:pPr>
      <w:pBdr>
        <w:bottom w:val="single" w:sz="4" w:space="1" w:color="auto"/>
      </w:pBdr>
    </w:pPr>
    <w:rPr>
      <w:rFonts w:ascii="Arial Narrow" w:hAnsi="Arial Narrow"/>
      <w:i/>
      <w:iCs/>
    </w:rPr>
  </w:style>
  <w:style w:type="character" w:customStyle="1" w:styleId="BodyTextChar">
    <w:name w:val="Body Text Char"/>
    <w:link w:val="BodyText"/>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uiPriority w:val="99"/>
    <w:rsid w:val="00EF6275"/>
    <w:rPr>
      <w:szCs w:val="20"/>
    </w:rPr>
  </w:style>
  <w:style w:type="character" w:customStyle="1" w:styleId="CommentTextChar">
    <w:name w:val="Comment Text Char"/>
    <w:link w:val="CommentText"/>
    <w:uiPriority w:val="99"/>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9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f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DB520F"/>
    <w:pPr>
      <w:spacing w:after="0"/>
      <w:ind w:left="720"/>
      <w:jc w:val="left"/>
    </w:pPr>
    <w:rPr>
      <w:rFonts w:ascii="Times New Roman" w:hAnsi="Times New Roman"/>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881F0F"/>
    <w:rPr>
      <w:sz w:val="24"/>
      <w:szCs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pBdr>
        <w:bottom w:val="dotted" w:sz="4" w:space="2" w:color="666666"/>
      </w:pBdr>
      <w:spacing w:after="0"/>
    </w:pPr>
    <w:rPr>
      <w:rFonts w:ascii="Times New Roman" w:eastAsia="MS Mincho" w:hAnsi="Times New Roman"/>
      <w:b/>
      <w:i w:val="0"/>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pPr>
    <w:rPr>
      <w:rFonts w:ascii="Times New Roman" w:hAnsi="Times New Roman"/>
      <w:bCs w:val="0"/>
      <w:smallCaps/>
      <w:sz w:val="24"/>
      <w:szCs w:val="32"/>
      <w:u w:val="single"/>
    </w:rPr>
  </w:style>
  <w:style w:type="paragraph" w:customStyle="1" w:styleId="Pa2">
    <w:name w:val="Pa2"/>
    <w:basedOn w:val="Default"/>
    <w:next w:val="Default"/>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1"/>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lang w:val="en-US" w:eastAsia="en-US"/>
    </w:rPr>
  </w:style>
  <w:style w:type="paragraph" w:customStyle="1" w:styleId="Bullets">
    <w:name w:val="Bullets"/>
    <w:basedOn w:val="Paragraph"/>
    <w:link w:val="BulletsChar"/>
    <w:qFormat/>
    <w:rsid w:val="000D00F9"/>
    <w:pPr>
      <w:numPr>
        <w:numId w:val="2"/>
      </w:numPr>
      <w:spacing w:before="60" w:after="0"/>
    </w:pPr>
  </w:style>
  <w:style w:type="character" w:customStyle="1" w:styleId="BulletsChar">
    <w:name w:val="Bullets Char"/>
    <w:link w:val="Bullets"/>
    <w:rsid w:val="000D00F9"/>
    <w:rPr>
      <w:rFonts w:ascii="Times New Roman" w:hAnsi="Times New Roman" w:cs="Angsana New"/>
      <w:noProof/>
      <w:szCs w:val="22"/>
      <w:lang w:val="en-US" w:eastAsia="en-US"/>
    </w:rPr>
  </w:style>
  <w:style w:type="paragraph" w:styleId="TOC2">
    <w:name w:val="toc 2"/>
    <w:basedOn w:val="Normal"/>
    <w:next w:val="Normal"/>
    <w:autoRedefine/>
    <w:uiPriority w:val="39"/>
    <w:locked/>
    <w:rsid w:val="00F14B6A"/>
    <w:pPr>
      <w:tabs>
        <w:tab w:val="left" w:pos="1134"/>
        <w:tab w:val="right" w:leader="dot" w:pos="9962"/>
      </w:tabs>
      <w:spacing w:after="0"/>
      <w:ind w:left="200"/>
      <w:jc w:val="left"/>
    </w:pPr>
    <w:rPr>
      <w:rFonts w:cs="Calibri"/>
      <w:smallCaps/>
      <w:szCs w:val="20"/>
    </w:rPr>
  </w:style>
  <w:style w:type="paragraph" w:styleId="TOC1">
    <w:name w:val="toc 1"/>
    <w:basedOn w:val="Normal"/>
    <w:next w:val="Normal"/>
    <w:autoRedefine/>
    <w:uiPriority w:val="39"/>
    <w:locked/>
    <w:rsid w:val="008E495B"/>
    <w:pPr>
      <w:tabs>
        <w:tab w:val="left" w:pos="709"/>
        <w:tab w:val="right" w:leader="dot" w:pos="9962"/>
      </w:tabs>
      <w:spacing w:before="120" w:after="120"/>
      <w:ind w:left="1134" w:hanging="1134"/>
      <w:jc w:val="left"/>
    </w:pPr>
    <w:rPr>
      <w:rFonts w:cs="Calibri"/>
      <w:b/>
      <w:bCs/>
      <w:caps/>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locked/>
    <w:rsid w:val="00720790"/>
    <w:rPr>
      <w:rFonts w:ascii="Arial" w:hAnsi="Arial" w:cs="Times New Roman"/>
      <w:lang w:val="en-GB"/>
    </w:rPr>
  </w:style>
  <w:style w:type="paragraph" w:customStyle="1" w:styleId="Normalbullets">
    <w:name w:val="Normal bullets"/>
    <w:basedOn w:val="Normal"/>
    <w:rsid w:val="003847E4"/>
    <w:pPr>
      <w:numPr>
        <w:numId w:val="3"/>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uiPriority w:val="99"/>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pacing w:before="480" w:after="0" w:line="276" w:lineRule="auto"/>
      <w:outlineLvl w:val="9"/>
    </w:pPr>
    <w:rPr>
      <w:rFonts w:ascii="Cambria" w:hAnsi="Cambria"/>
      <w:bCs w:val="0"/>
      <w:smallCaps/>
      <w:color w:val="365F91"/>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bodybullets">
    <w:name w:val="body bullets"/>
    <w:basedOn w:val="Normal"/>
    <w:next w:val="Normal"/>
    <w:qFormat/>
    <w:rsid w:val="003A6FFD"/>
    <w:pPr>
      <w:numPr>
        <w:numId w:val="6"/>
      </w:numPr>
      <w:spacing w:before="60" w:line="260" w:lineRule="exact"/>
      <w:jc w:val="left"/>
    </w:pPr>
    <w:rPr>
      <w:rFonts w:eastAsia="Times New Roman"/>
      <w:lang w:eastAsia="ja-JP"/>
    </w:rPr>
  </w:style>
  <w:style w:type="character" w:customStyle="1" w:styleId="ColorfulList-Accent1Char">
    <w:name w:val="Colorful List - Accent 1 Char"/>
    <w:link w:val="ColorfulList-Accent12"/>
    <w:uiPriority w:val="34"/>
    <w:locked/>
    <w:rsid w:val="00007B01"/>
  </w:style>
  <w:style w:type="paragraph" w:customStyle="1" w:styleId="ColorfulList-Accent12">
    <w:name w:val="Colorful List - Accent 12"/>
    <w:basedOn w:val="Normal"/>
    <w:link w:val="ColorfulList-Accent1Char"/>
    <w:uiPriority w:val="34"/>
    <w:rsid w:val="00007B01"/>
    <w:pPr>
      <w:spacing w:after="0"/>
      <w:ind w:left="720"/>
      <w:jc w:val="left"/>
    </w:pPr>
    <w:rPr>
      <w:szCs w:val="20"/>
    </w:rPr>
  </w:style>
  <w:style w:type="paragraph" w:styleId="TOC3">
    <w:name w:val="toc 3"/>
    <w:basedOn w:val="Normal"/>
    <w:next w:val="Normal"/>
    <w:autoRedefine/>
    <w:uiPriority w:val="39"/>
    <w:unhideWhenUsed/>
    <w:rsid w:val="006957EB"/>
    <w:pPr>
      <w:spacing w:after="0"/>
      <w:ind w:left="400"/>
      <w:jc w:val="left"/>
    </w:pPr>
    <w:rPr>
      <w:rFonts w:cs="Calibri"/>
      <w:i/>
      <w:iCs/>
      <w:szCs w:val="20"/>
    </w:rPr>
  </w:style>
  <w:style w:type="paragraph" w:customStyle="1" w:styleId="Heading1Annex">
    <w:name w:val="Heading 1 Annex"/>
    <w:basedOn w:val="Heading1"/>
    <w:qFormat/>
    <w:rsid w:val="003D09AA"/>
    <w:pPr>
      <w:numPr>
        <w:numId w:val="18"/>
      </w:numPr>
    </w:pPr>
  </w:style>
  <w:style w:type="paragraph" w:customStyle="1" w:styleId="HeadingA">
    <w:name w:val="Heading A"/>
    <w:basedOn w:val="Normal"/>
    <w:next w:val="Normal"/>
    <w:rsid w:val="00503021"/>
    <w:pPr>
      <w:numPr>
        <w:numId w:val="20"/>
      </w:numPr>
      <w:pBdr>
        <w:top w:val="single" w:sz="8" w:space="1" w:color="000080"/>
      </w:pBdr>
      <w:tabs>
        <w:tab w:val="left" w:pos="1701"/>
      </w:tabs>
      <w:spacing w:after="0" w:line="22" w:lineRule="atLeast"/>
      <w:jc w:val="left"/>
    </w:pPr>
    <w:rPr>
      <w:rFonts w:ascii="Arial Bold" w:eastAsia="Times New Roman" w:hAnsi="Arial Bold"/>
      <w:b/>
      <w:caps/>
      <w:color w:val="000080"/>
      <w:sz w:val="28"/>
      <w:szCs w:val="28"/>
      <w:lang w:val="en-GB" w:eastAsia="en-GB"/>
    </w:rPr>
  </w:style>
  <w:style w:type="paragraph" w:customStyle="1" w:styleId="HeadingA2">
    <w:name w:val="Heading A2"/>
    <w:basedOn w:val="Normal"/>
    <w:next w:val="Normal"/>
    <w:rsid w:val="00953501"/>
    <w:pPr>
      <w:numPr>
        <w:ilvl w:val="1"/>
        <w:numId w:val="20"/>
      </w:numPr>
      <w:spacing w:after="0" w:line="22" w:lineRule="atLeast"/>
      <w:jc w:val="left"/>
    </w:pPr>
    <w:rPr>
      <w:rFonts w:ascii="Arial Bold" w:eastAsia="Times New Roman" w:hAnsi="Arial Bold" w:cs="Arial"/>
      <w:b/>
      <w:color w:val="000080"/>
      <w:sz w:val="24"/>
      <w:lang w:val="en-GB" w:eastAsia="en-GB"/>
    </w:rPr>
  </w:style>
  <w:style w:type="character" w:styleId="UnresolvedMention">
    <w:name w:val="Unresolved Mention"/>
    <w:uiPriority w:val="99"/>
    <w:semiHidden/>
    <w:unhideWhenUsed/>
    <w:rsid w:val="00D73253"/>
    <w:rPr>
      <w:color w:val="808080"/>
      <w:shd w:val="clear" w:color="auto" w:fill="E6E6E6"/>
    </w:rPr>
  </w:style>
  <w:style w:type="table" w:customStyle="1" w:styleId="TableGrid1">
    <w:name w:val="Table Grid1"/>
    <w:basedOn w:val="TableNormal"/>
    <w:next w:val="TableGrid"/>
    <w:uiPriority w:val="39"/>
    <w:rsid w:val="00CE3438"/>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nhideWhenUsed/>
    <w:rsid w:val="00297A17"/>
    <w:pPr>
      <w:spacing w:after="0"/>
      <w:ind w:left="600"/>
      <w:jc w:val="left"/>
    </w:pPr>
    <w:rPr>
      <w:rFonts w:cs="Calibri"/>
      <w:sz w:val="18"/>
      <w:szCs w:val="18"/>
    </w:rPr>
  </w:style>
  <w:style w:type="paragraph" w:styleId="TOC5">
    <w:name w:val="toc 5"/>
    <w:basedOn w:val="Normal"/>
    <w:next w:val="Normal"/>
    <w:autoRedefine/>
    <w:unhideWhenUsed/>
    <w:rsid w:val="00297A17"/>
    <w:pPr>
      <w:spacing w:after="0"/>
      <w:ind w:left="800"/>
      <w:jc w:val="left"/>
    </w:pPr>
    <w:rPr>
      <w:rFonts w:cs="Calibri"/>
      <w:sz w:val="18"/>
      <w:szCs w:val="18"/>
    </w:rPr>
  </w:style>
  <w:style w:type="paragraph" w:styleId="TOC6">
    <w:name w:val="toc 6"/>
    <w:basedOn w:val="Normal"/>
    <w:next w:val="Normal"/>
    <w:autoRedefine/>
    <w:unhideWhenUsed/>
    <w:rsid w:val="00297A17"/>
    <w:pPr>
      <w:spacing w:after="0"/>
      <w:ind w:left="1000"/>
      <w:jc w:val="left"/>
    </w:pPr>
    <w:rPr>
      <w:rFonts w:cs="Calibri"/>
      <w:sz w:val="18"/>
      <w:szCs w:val="18"/>
    </w:rPr>
  </w:style>
  <w:style w:type="paragraph" w:styleId="TOC7">
    <w:name w:val="toc 7"/>
    <w:basedOn w:val="Normal"/>
    <w:next w:val="Normal"/>
    <w:autoRedefine/>
    <w:unhideWhenUsed/>
    <w:rsid w:val="00297A17"/>
    <w:pPr>
      <w:spacing w:after="0"/>
      <w:ind w:left="1200"/>
      <w:jc w:val="left"/>
    </w:pPr>
    <w:rPr>
      <w:rFonts w:cs="Calibri"/>
      <w:sz w:val="18"/>
      <w:szCs w:val="18"/>
    </w:rPr>
  </w:style>
  <w:style w:type="paragraph" w:styleId="TOC8">
    <w:name w:val="toc 8"/>
    <w:basedOn w:val="Normal"/>
    <w:next w:val="Normal"/>
    <w:autoRedefine/>
    <w:unhideWhenUsed/>
    <w:rsid w:val="00297A17"/>
    <w:pPr>
      <w:spacing w:after="0"/>
      <w:ind w:left="1400"/>
      <w:jc w:val="left"/>
    </w:pPr>
    <w:rPr>
      <w:rFonts w:cs="Calibri"/>
      <w:sz w:val="18"/>
      <w:szCs w:val="18"/>
    </w:rPr>
  </w:style>
  <w:style w:type="paragraph" w:styleId="TOC9">
    <w:name w:val="toc 9"/>
    <w:basedOn w:val="Normal"/>
    <w:next w:val="Normal"/>
    <w:autoRedefine/>
    <w:unhideWhenUsed/>
    <w:rsid w:val="00297A17"/>
    <w:pPr>
      <w:spacing w:after="0"/>
      <w:ind w:left="1600"/>
      <w:jc w:val="left"/>
    </w:pPr>
    <w:rPr>
      <w:rFonts w:cs="Calibri"/>
      <w:sz w:val="18"/>
      <w:szCs w:val="18"/>
    </w:rPr>
  </w:style>
  <w:style w:type="paragraph" w:styleId="TableofFigures">
    <w:name w:val="table of figures"/>
    <w:basedOn w:val="Normal"/>
    <w:next w:val="Normal"/>
    <w:uiPriority w:val="99"/>
    <w:unhideWhenUsed/>
    <w:rsid w:val="00297A17"/>
  </w:style>
  <w:style w:type="table" w:customStyle="1" w:styleId="TableGrid2">
    <w:name w:val="Table Grid2"/>
    <w:basedOn w:val="TableNormal"/>
    <w:next w:val="TableGrid"/>
    <w:uiPriority w:val="59"/>
    <w:rsid w:val="006B2CA0"/>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C6E56"/>
    <w:rPr>
      <w:rFonts w:eastAsia="Calibri"/>
      <w:sz w:val="22"/>
      <w:szCs w:val="22"/>
      <w:lang w:val="en-Z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39"/>
    <w:rsid w:val="000E43F5"/>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TableNormal"/>
    <w:next w:val="TableGrid"/>
    <w:uiPriority w:val="39"/>
    <w:rsid w:val="000E43F5"/>
    <w:rPr>
      <w:rFonts w:ascii="Times New Roman" w:eastAsia="Times New Roman" w:hAnsi="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39"/>
    <w:rsid w:val="00BA5C93"/>
    <w:rPr>
      <w:rFonts w:eastAsia="Calibri"/>
      <w:sz w:val="22"/>
      <w:szCs w:val="22"/>
      <w:lang w:val="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99"/>
    <w:rsid w:val="005514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551413"/>
    <w:pPr>
      <w:spacing w:after="160" w:line="240" w:lineRule="exact"/>
    </w:pPr>
    <w:rPr>
      <w:rFonts w:ascii="Arial" w:hAnsi="Arial"/>
      <w:sz w:val="18"/>
      <w:szCs w:val="20"/>
      <w:vertAlign w:val="superscript"/>
    </w:rPr>
  </w:style>
  <w:style w:type="table" w:customStyle="1" w:styleId="TableGrid61">
    <w:name w:val="Table Grid61"/>
    <w:basedOn w:val="TableNormal"/>
    <w:next w:val="TableGrid"/>
    <w:uiPriority w:val="99"/>
    <w:rsid w:val="00D83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2">
    <w:name w:val="Table Grid62"/>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3">
    <w:name w:val="Table Grid63"/>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4">
    <w:name w:val="Table Grid64"/>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5">
    <w:name w:val="Table Grid65"/>
    <w:basedOn w:val="TableNormal"/>
    <w:next w:val="TableGrid"/>
    <w:uiPriority w:val="99"/>
    <w:rsid w:val="00425E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6">
    <w:name w:val="Table Grid66"/>
    <w:basedOn w:val="TableNormal"/>
    <w:next w:val="TableGrid"/>
    <w:uiPriority w:val="99"/>
    <w:rsid w:val="004367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7">
    <w:name w:val="Table Grid67"/>
    <w:basedOn w:val="TableNormal"/>
    <w:next w:val="TableGrid"/>
    <w:uiPriority w:val="99"/>
    <w:rsid w:val="004367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8">
    <w:name w:val="Table Grid68"/>
    <w:basedOn w:val="TableNormal"/>
    <w:next w:val="TableGrid"/>
    <w:uiPriority w:val="99"/>
    <w:rsid w:val="005841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99"/>
    <w:rsid w:val="00AD71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TableNormal"/>
    <w:next w:val="TableGrid"/>
    <w:uiPriority w:val="99"/>
    <w:rsid w:val="00E421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D624F3"/>
    <w:pPr>
      <w:spacing w:after="160" w:line="240" w:lineRule="exact"/>
    </w:pPr>
    <w:rPr>
      <w:rFonts w:ascii="Arial" w:hAnsi="Arial"/>
      <w:sz w:val="18"/>
      <w:szCs w:val="20"/>
      <w:vertAlign w:val="superscript"/>
    </w:rPr>
  </w:style>
  <w:style w:type="table" w:customStyle="1" w:styleId="TableGrid5">
    <w:name w:val="Table Grid5"/>
    <w:basedOn w:val="TableNormal"/>
    <w:next w:val="TableGrid"/>
    <w:uiPriority w:val="99"/>
    <w:rsid w:val="000B43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5D1710"/>
    <w:rPr>
      <w:rFonts w:ascii="Cambria" w:eastAsia="MS Mincho" w:hAnsi="Cambr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SPbodynumbered">
    <w:name w:val="SESP body numbered"/>
    <w:basedOn w:val="Normal"/>
    <w:qFormat/>
    <w:rsid w:val="005D1710"/>
    <w:pPr>
      <w:numPr>
        <w:numId w:val="58"/>
      </w:numPr>
      <w:tabs>
        <w:tab w:val="left" w:pos="360"/>
      </w:tabs>
      <w:spacing w:before="120" w:after="120" w:line="264" w:lineRule="auto"/>
      <w:jc w:val="left"/>
    </w:pPr>
    <w:rPr>
      <w:rFonts w:eastAsia="MS Mincho"/>
      <w:szCs w:val="20"/>
      <w:lang w:eastAsia="ja-JP"/>
    </w:rPr>
  </w:style>
  <w:style w:type="table" w:customStyle="1" w:styleId="TableGrid10">
    <w:name w:val="Table Grid10"/>
    <w:basedOn w:val="TableNormal"/>
    <w:next w:val="TableGrid"/>
    <w:uiPriority w:val="39"/>
    <w:rsid w:val="002C7ACA"/>
    <w:pPr>
      <w:widowControl w:val="0"/>
      <w:autoSpaceDE w:val="0"/>
      <w:autoSpaceDN w:val="0"/>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666B27"/>
    <w:rPr>
      <w:szCs w:val="24"/>
    </w:rPr>
  </w:style>
  <w:style w:type="table" w:customStyle="1" w:styleId="TableGrid11">
    <w:name w:val="Table Grid11"/>
    <w:basedOn w:val="TableNormal"/>
    <w:next w:val="TableGrid"/>
    <w:uiPriority w:val="59"/>
    <w:rsid w:val="00514A81"/>
    <w:rPr>
      <w:rFonts w:ascii="Arial" w:eastAsia="Arial" w:hAnsi="Arial"/>
      <w:sz w:val="22"/>
      <w:szCs w:val="22"/>
      <w:lang w:val="en-Z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2">
    <w:name w:val="Table Grid52"/>
    <w:basedOn w:val="TableNormal"/>
    <w:next w:val="TableGrid"/>
    <w:uiPriority w:val="99"/>
    <w:rsid w:val="00757C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47481871">
      <w:bodyDiv w:val="1"/>
      <w:marLeft w:val="0"/>
      <w:marRight w:val="0"/>
      <w:marTop w:val="0"/>
      <w:marBottom w:val="0"/>
      <w:divBdr>
        <w:top w:val="none" w:sz="0" w:space="0" w:color="auto"/>
        <w:left w:val="none" w:sz="0" w:space="0" w:color="auto"/>
        <w:bottom w:val="none" w:sz="0" w:space="0" w:color="auto"/>
        <w:right w:val="none" w:sz="0" w:space="0" w:color="auto"/>
      </w:divBdr>
    </w:div>
    <w:div w:id="150413162">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47685051">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6846913">
      <w:bodyDiv w:val="1"/>
      <w:marLeft w:val="0"/>
      <w:marRight w:val="0"/>
      <w:marTop w:val="0"/>
      <w:marBottom w:val="0"/>
      <w:divBdr>
        <w:top w:val="none" w:sz="0" w:space="0" w:color="auto"/>
        <w:left w:val="none" w:sz="0" w:space="0" w:color="auto"/>
        <w:bottom w:val="none" w:sz="0" w:space="0" w:color="auto"/>
        <w:right w:val="none" w:sz="0" w:space="0" w:color="auto"/>
      </w:divBdr>
    </w:div>
    <w:div w:id="520123663">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26548929">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675808168">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1388314">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07361089">
      <w:bodyDiv w:val="1"/>
      <w:marLeft w:val="0"/>
      <w:marRight w:val="0"/>
      <w:marTop w:val="0"/>
      <w:marBottom w:val="0"/>
      <w:divBdr>
        <w:top w:val="none" w:sz="0" w:space="0" w:color="auto"/>
        <w:left w:val="none" w:sz="0" w:space="0" w:color="auto"/>
        <w:bottom w:val="none" w:sz="0" w:space="0" w:color="auto"/>
        <w:right w:val="none" w:sz="0" w:space="0" w:color="auto"/>
      </w:divBdr>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41353777">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97743666">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31547929">
      <w:bodyDiv w:val="1"/>
      <w:marLeft w:val="0"/>
      <w:marRight w:val="0"/>
      <w:marTop w:val="0"/>
      <w:marBottom w:val="0"/>
      <w:divBdr>
        <w:top w:val="none" w:sz="0" w:space="0" w:color="auto"/>
        <w:left w:val="none" w:sz="0" w:space="0" w:color="auto"/>
        <w:bottom w:val="none" w:sz="0" w:space="0" w:color="auto"/>
        <w:right w:val="none" w:sz="0" w:space="0" w:color="auto"/>
      </w:divBdr>
    </w:div>
    <w:div w:id="937326733">
      <w:bodyDiv w:val="1"/>
      <w:marLeft w:val="0"/>
      <w:marRight w:val="0"/>
      <w:marTop w:val="0"/>
      <w:marBottom w:val="0"/>
      <w:divBdr>
        <w:top w:val="none" w:sz="0" w:space="0" w:color="auto"/>
        <w:left w:val="none" w:sz="0" w:space="0" w:color="auto"/>
        <w:bottom w:val="none" w:sz="0" w:space="0" w:color="auto"/>
        <w:right w:val="none" w:sz="0" w:space="0" w:color="auto"/>
      </w:divBdr>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557310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12488060">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09517220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296644741">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515463200">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3824041">
      <w:bodyDiv w:val="1"/>
      <w:marLeft w:val="0"/>
      <w:marRight w:val="0"/>
      <w:marTop w:val="0"/>
      <w:marBottom w:val="0"/>
      <w:divBdr>
        <w:top w:val="none" w:sz="0" w:space="0" w:color="auto"/>
        <w:left w:val="none" w:sz="0" w:space="0" w:color="auto"/>
        <w:bottom w:val="none" w:sz="0" w:space="0" w:color="auto"/>
        <w:right w:val="none" w:sz="0" w:space="0" w:color="auto"/>
      </w:divBdr>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33515365">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7221267">
      <w:bodyDiv w:val="1"/>
      <w:marLeft w:val="0"/>
      <w:marRight w:val="0"/>
      <w:marTop w:val="0"/>
      <w:marBottom w:val="0"/>
      <w:divBdr>
        <w:top w:val="none" w:sz="0" w:space="0" w:color="auto"/>
        <w:left w:val="none" w:sz="0" w:space="0" w:color="auto"/>
        <w:bottom w:val="none" w:sz="0" w:space="0" w:color="auto"/>
        <w:right w:val="none" w:sz="0" w:space="0" w:color="auto"/>
      </w:divBdr>
    </w:div>
    <w:div w:id="1679654267">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685159719">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06834076">
      <w:bodyDiv w:val="1"/>
      <w:marLeft w:val="0"/>
      <w:marRight w:val="0"/>
      <w:marTop w:val="0"/>
      <w:marBottom w:val="0"/>
      <w:divBdr>
        <w:top w:val="none" w:sz="0" w:space="0" w:color="auto"/>
        <w:left w:val="none" w:sz="0" w:space="0" w:color="auto"/>
        <w:bottom w:val="none" w:sz="0" w:space="0" w:color="auto"/>
        <w:right w:val="none" w:sz="0" w:space="0" w:color="auto"/>
      </w:divBdr>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1189963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896699738">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48094041">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32.png"/><Relationship Id="rId21" Type="http://schemas.openxmlformats.org/officeDocument/2006/relationships/hyperlink" Target="file:///D:/Jan/ASCENDIS/south%20africa%20EE%20LED%202017/Project%20doc/LED-Transf%20project%20documentation/SA%20LED-Transf%20UNDP%20ProDoc%20v2a.docx" TargetMode="External"/><Relationship Id="rId42" Type="http://schemas.openxmlformats.org/officeDocument/2006/relationships/hyperlink" Target="file:///D:/Jan/ASCENDIS/south%20africa%20EE%20LED%202017/Project%20doc/LED-Transf%20project%20documentation/SA%20LED-Transf%20UNDP%20ProDoc%20v2a.docx" TargetMode="External"/><Relationship Id="rId63" Type="http://schemas.openxmlformats.org/officeDocument/2006/relationships/image" Target="media/image11.wmf"/><Relationship Id="rId84" Type="http://schemas.openxmlformats.org/officeDocument/2006/relationships/hyperlink" Target="http://www.undp.org/secu-srm" TargetMode="External"/><Relationship Id="rId138" Type="http://schemas.openxmlformats.org/officeDocument/2006/relationships/image" Target="media/image430.wmf"/><Relationship Id="rId159" Type="http://schemas.openxmlformats.org/officeDocument/2006/relationships/image" Target="media/image57.emf"/><Relationship Id="rId170" Type="http://schemas.openxmlformats.org/officeDocument/2006/relationships/image" Target="media/image64.emf"/><Relationship Id="rId107" Type="http://schemas.openxmlformats.org/officeDocument/2006/relationships/hyperlink" Target="http://www.savingenergy.org.za" TargetMode="External"/><Relationship Id="rId11" Type="http://schemas.openxmlformats.org/officeDocument/2006/relationships/endnotes" Target="endnotes.xml"/><Relationship Id="rId32" Type="http://schemas.openxmlformats.org/officeDocument/2006/relationships/hyperlink" Target="file:///D:/Jan/ASCENDIS/south%20africa%20EE%20LED%202017/Project%20doc/LED-Transf%20project%20documentation/SA%20LED-Transf%20UNDP%20ProDoc%20v2a.docx" TargetMode="External"/><Relationship Id="rId53" Type="http://schemas.openxmlformats.org/officeDocument/2006/relationships/image" Target="media/image7.emf"/><Relationship Id="rId74" Type="http://schemas.openxmlformats.org/officeDocument/2006/relationships/hyperlink" Target="http://www.thegef.org/gef/Evaluation%20Policy%202010" TargetMode="External"/><Relationship Id="rId128" Type="http://schemas.openxmlformats.org/officeDocument/2006/relationships/image" Target="media/image390.wmf"/><Relationship Id="rId149" Type="http://schemas.openxmlformats.org/officeDocument/2006/relationships/image" Target="media/image51.wmf"/><Relationship Id="rId5" Type="http://schemas.openxmlformats.org/officeDocument/2006/relationships/customXml" Target="../customXml/item5.xml"/><Relationship Id="rId95" Type="http://schemas.openxmlformats.org/officeDocument/2006/relationships/image" Target="media/image22.emf"/><Relationship Id="rId160" Type="http://schemas.openxmlformats.org/officeDocument/2006/relationships/image" Target="media/image58.emf"/><Relationship Id="rId22" Type="http://schemas.openxmlformats.org/officeDocument/2006/relationships/hyperlink" Target="file:///D:/Jan/ASCENDIS/south%20africa%20EE%20LED%202017/Project%20doc/LED-Transf%20project%20documentation/SA%20LED-Transf%20UNDP%20ProDoc%20v2a.docx" TargetMode="External"/><Relationship Id="rId43" Type="http://schemas.openxmlformats.org/officeDocument/2006/relationships/hyperlink" Target="file:///D:/Jan/ASCENDIS/south%20africa%20EE%20LED%202017/Project%20doc/LED-Transf%20project%20documentation/SA%20LED-Transf%20UNDP%20ProDoc%20v2a.docx" TargetMode="External"/><Relationship Id="rId64" Type="http://schemas.openxmlformats.org/officeDocument/2006/relationships/image" Target="media/image12.wmf"/><Relationship Id="rId118" Type="http://schemas.openxmlformats.org/officeDocument/2006/relationships/image" Target="media/image33.png"/><Relationship Id="rId139" Type="http://schemas.openxmlformats.org/officeDocument/2006/relationships/image" Target="media/image440.wmf"/><Relationship Id="rId85" Type="http://schemas.openxmlformats.org/officeDocument/2006/relationships/hyperlink" Target="http://www.undp.org" TargetMode="External"/><Relationship Id="rId150" Type="http://schemas.openxmlformats.org/officeDocument/2006/relationships/image" Target="media/image52.wmf"/><Relationship Id="rId171" Type="http://schemas.openxmlformats.org/officeDocument/2006/relationships/package" Target="embeddings/Microsoft_Excel_Worksheet7.xlsx"/><Relationship Id="rId12" Type="http://schemas.openxmlformats.org/officeDocument/2006/relationships/image" Target="media/image1.jpeg"/><Relationship Id="rId33" Type="http://schemas.openxmlformats.org/officeDocument/2006/relationships/hyperlink" Target="file:///D:/Jan/ASCENDIS/south%20africa%20EE%20LED%202017/Project%20doc/LED-Transf%20project%20documentation/SA%20LED-Transf%20UNDP%20ProDoc%20v2a.docx" TargetMode="External"/><Relationship Id="rId108" Type="http://schemas.openxmlformats.org/officeDocument/2006/relationships/image" Target="media/image26.png"/><Relationship Id="rId129" Type="http://schemas.openxmlformats.org/officeDocument/2006/relationships/image" Target="media/image40.png"/><Relationship Id="rId54" Type="http://schemas.openxmlformats.org/officeDocument/2006/relationships/image" Target="media/image8.emf"/><Relationship Id="rId75" Type="http://schemas.openxmlformats.org/officeDocument/2006/relationships/hyperlink" Target="http://www.undp.org/content/undp/en/home/operations/accountability/programme_and_operationspoliciesandprocedures.html" TargetMode="External"/><Relationship Id="rId96" Type="http://schemas.openxmlformats.org/officeDocument/2006/relationships/package" Target="embeddings/Microsoft_Excel_Worksheet1.xlsx"/><Relationship Id="rId140" Type="http://schemas.openxmlformats.org/officeDocument/2006/relationships/image" Target="media/image450.wmf"/><Relationship Id="rId161" Type="http://schemas.openxmlformats.org/officeDocument/2006/relationships/image" Target="media/image59.wmf"/><Relationship Id="rId1" Type="http://schemas.openxmlformats.org/officeDocument/2006/relationships/customXml" Target="../customXml/item1.xml"/><Relationship Id="rId6" Type="http://schemas.openxmlformats.org/officeDocument/2006/relationships/numbering" Target="numbering.xml"/><Relationship Id="rId23" Type="http://schemas.openxmlformats.org/officeDocument/2006/relationships/hyperlink" Target="file:///D:/Jan/ASCENDIS/south%20africa%20EE%20LED%202017/Project%20doc/LED-Transf%20project%20documentation/SA%20LED-Transf%20UNDP%20ProDoc%20v2a.docx" TargetMode="External"/><Relationship Id="rId28" Type="http://schemas.openxmlformats.org/officeDocument/2006/relationships/hyperlink" Target="file:///D:/Jan/ASCENDIS/south%20africa%20EE%20LED%202017/Project%20doc/LED-Transf%20project%20documentation/SA%20LED-Transf%20UNDP%20ProDoc%20v2a.docx" TargetMode="External"/><Relationship Id="rId49" Type="http://schemas.openxmlformats.org/officeDocument/2006/relationships/hyperlink" Target="file:///D:/Jan/ASCENDIS/south%20africa%20EE%20LED%202017/Project%20doc/LED-Transf%20project%20documentation/SA%20LED-Transf%20UNDP%20ProDoc%20v2a.docx" TargetMode="External"/><Relationship Id="rId114" Type="http://schemas.openxmlformats.org/officeDocument/2006/relationships/image" Target="media/image29.png"/><Relationship Id="rId119" Type="http://schemas.openxmlformats.org/officeDocument/2006/relationships/image" Target="media/image34.png"/><Relationship Id="rId44" Type="http://schemas.openxmlformats.org/officeDocument/2006/relationships/hyperlink" Target="file:///D:/Jan/ASCENDIS/south%20africa%20EE%20LED%202017/Project%20doc/LED-Transf%20project%20documentation/SA%20LED-Transf%20UNDP%20ProDoc%20v2a.docx" TargetMode="External"/><Relationship Id="rId60" Type="http://schemas.openxmlformats.org/officeDocument/2006/relationships/hyperlink" Target="http://www.u4e.org" TargetMode="External"/><Relationship Id="rId65" Type="http://schemas.openxmlformats.org/officeDocument/2006/relationships/image" Target="media/image110.wmf"/><Relationship Id="rId81" Type="http://schemas.openxmlformats.org/officeDocument/2006/relationships/footer" Target="footer3.xml"/><Relationship Id="rId86" Type="http://schemas.openxmlformats.org/officeDocument/2006/relationships/image" Target="media/image16.wmf"/><Relationship Id="rId130" Type="http://schemas.openxmlformats.org/officeDocument/2006/relationships/image" Target="media/image41.wmf"/><Relationship Id="rId135" Type="http://schemas.openxmlformats.org/officeDocument/2006/relationships/image" Target="media/image400.png"/><Relationship Id="rId151" Type="http://schemas.openxmlformats.org/officeDocument/2006/relationships/image" Target="media/image53.wmf"/><Relationship Id="rId156" Type="http://schemas.openxmlformats.org/officeDocument/2006/relationships/image" Target="media/image540.wmf"/><Relationship Id="rId172" Type="http://schemas.openxmlformats.org/officeDocument/2006/relationships/image" Target="media/image65.emf"/><Relationship Id="rId13" Type="http://schemas.openxmlformats.org/officeDocument/2006/relationships/image" Target="media/image2.jpeg"/><Relationship Id="rId18" Type="http://schemas.openxmlformats.org/officeDocument/2006/relationships/hyperlink" Target="file:///D:/Jan/ASCENDIS/south%20africa%20EE%20LED%202017/Project%20doc/LED-Transf%20project%20documentation/SA%20LED-Transf%20UNDP%20ProDoc%20v2a.docx" TargetMode="External"/><Relationship Id="rId39" Type="http://schemas.openxmlformats.org/officeDocument/2006/relationships/hyperlink" Target="file:///D:/Jan/ASCENDIS/south%20africa%20EE%20LED%202017/Project%20doc/LED-Transf%20project%20documentation/SA%20LED-Transf%20UNDP%20ProDoc%20v2a.docx" TargetMode="External"/><Relationship Id="rId109" Type="http://schemas.openxmlformats.org/officeDocument/2006/relationships/image" Target="media/image27.png"/><Relationship Id="rId34" Type="http://schemas.openxmlformats.org/officeDocument/2006/relationships/hyperlink" Target="file:///D:/Jan/ASCENDIS/south%20africa%20EE%20LED%202017/Project%20doc/LED-Transf%20project%20documentation/SA%20LED-Transf%20UNDP%20ProDoc%20v2a.docx" TargetMode="External"/><Relationship Id="rId50" Type="http://schemas.openxmlformats.org/officeDocument/2006/relationships/hyperlink" Target="file:///D:/Jan/ASCENDIS/south%20africa%20EE%20LED%202017/Project%20doc/LED-Transf%20project%20documentation/SA%20LED-Transf%20UNDP%20ProDoc%20v2a.docx" TargetMode="External"/><Relationship Id="rId55" Type="http://schemas.openxmlformats.org/officeDocument/2006/relationships/package" Target="embeddings/Microsoft_Visio_Drawing.vsdx"/><Relationship Id="rId76" Type="http://schemas.openxmlformats.org/officeDocument/2006/relationships/hyperlink" Target="http://www.undp.org/content/undp/en/home/operations/accountability/evaluation/evaluation_policyofundp.html" TargetMode="External"/><Relationship Id="rId97" Type="http://schemas.openxmlformats.org/officeDocument/2006/relationships/image" Target="media/image23.emf"/><Relationship Id="rId104" Type="http://schemas.openxmlformats.org/officeDocument/2006/relationships/image" Target="media/image240.png"/><Relationship Id="rId120" Type="http://schemas.openxmlformats.org/officeDocument/2006/relationships/image" Target="media/image35.jpeg"/><Relationship Id="rId125" Type="http://schemas.openxmlformats.org/officeDocument/2006/relationships/image" Target="media/image360.wmf"/><Relationship Id="rId141" Type="http://schemas.openxmlformats.org/officeDocument/2006/relationships/image" Target="media/image46.png"/><Relationship Id="rId146" Type="http://schemas.openxmlformats.org/officeDocument/2006/relationships/image" Target="media/image50.wmf"/><Relationship Id="rId167" Type="http://schemas.openxmlformats.org/officeDocument/2006/relationships/hyperlink" Target="http://united4efficiency.org/countries/country-assessments/" TargetMode="External"/><Relationship Id="rId7" Type="http://schemas.openxmlformats.org/officeDocument/2006/relationships/styles" Target="styles.xml"/><Relationship Id="rId71" Type="http://schemas.openxmlformats.org/officeDocument/2006/relationships/footer" Target="footer1.xml"/><Relationship Id="rId92" Type="http://schemas.openxmlformats.org/officeDocument/2006/relationships/image" Target="media/image19.png"/><Relationship Id="rId162" Type="http://schemas.openxmlformats.org/officeDocument/2006/relationships/image" Target="media/image590.wmf"/><Relationship Id="rId2" Type="http://schemas.openxmlformats.org/officeDocument/2006/relationships/customXml" Target="../customXml/item2.xml"/><Relationship Id="rId29" Type="http://schemas.openxmlformats.org/officeDocument/2006/relationships/hyperlink" Target="file:///D:/Jan/ASCENDIS/south%20africa%20EE%20LED%202017/Project%20doc/LED-Transf%20project%20documentation/SA%20LED-Transf%20UNDP%20ProDoc%20v2a.docx" TargetMode="External"/><Relationship Id="rId24" Type="http://schemas.openxmlformats.org/officeDocument/2006/relationships/hyperlink" Target="file:///D:/Jan/ASCENDIS/south%20africa%20EE%20LED%202017/Project%20doc/LED-Transf%20project%20documentation/SA%20LED-Transf%20UNDP%20ProDoc%20v2a.docx" TargetMode="External"/><Relationship Id="rId40" Type="http://schemas.openxmlformats.org/officeDocument/2006/relationships/hyperlink" Target="file:///D:/Jan/ASCENDIS/south%20africa%20EE%20LED%202017/Project%20doc/LED-Transf%20project%20documentation/SA%20LED-Transf%20UNDP%20ProDoc%20v2a.docx" TargetMode="External"/><Relationship Id="rId45" Type="http://schemas.openxmlformats.org/officeDocument/2006/relationships/hyperlink" Target="file:///D:/Jan/ASCENDIS/south%20africa%20EE%20LED%202017/Project%20doc/LED-Transf%20project%20documentation/SA%20LED-Transf%20UNDP%20ProDoc%20v2a.docx" TargetMode="External"/><Relationship Id="rId66" Type="http://schemas.openxmlformats.org/officeDocument/2006/relationships/image" Target="media/image120.wmf"/><Relationship Id="rId87" Type="http://schemas.openxmlformats.org/officeDocument/2006/relationships/image" Target="media/image160.wmf"/><Relationship Id="rId110" Type="http://schemas.openxmlformats.org/officeDocument/2006/relationships/image" Target="media/image260.png"/><Relationship Id="rId115" Type="http://schemas.openxmlformats.org/officeDocument/2006/relationships/image" Target="media/image30.png"/><Relationship Id="rId131" Type="http://schemas.openxmlformats.org/officeDocument/2006/relationships/image" Target="media/image42.png"/><Relationship Id="rId136" Type="http://schemas.openxmlformats.org/officeDocument/2006/relationships/image" Target="media/image410.wmf"/><Relationship Id="rId157" Type="http://schemas.openxmlformats.org/officeDocument/2006/relationships/image" Target="media/image55.emf"/><Relationship Id="rId61" Type="http://schemas.openxmlformats.org/officeDocument/2006/relationships/image" Target="media/image10.wmf"/><Relationship Id="rId82" Type="http://schemas.openxmlformats.org/officeDocument/2006/relationships/hyperlink" Target="http://www.un.org/sc/committees/1267/aq_sanctions_list.shtml" TargetMode="External"/><Relationship Id="rId152" Type="http://schemas.openxmlformats.org/officeDocument/2006/relationships/image" Target="media/image54.wmf"/><Relationship Id="rId173" Type="http://schemas.openxmlformats.org/officeDocument/2006/relationships/hyperlink" Target="http://www.undp.org/content/undp/en/home/librarypage/operations1/undp-social-and-environmental-screening-procedure.html" TargetMode="External"/><Relationship Id="rId19" Type="http://schemas.openxmlformats.org/officeDocument/2006/relationships/hyperlink" Target="file:///D:/Jan/ASCENDIS/south%20africa%20EE%20LED%202017/Project%20doc/LED-Transf%20project%20documentation/SA%20LED-Transf%20UNDP%20ProDoc%20v2a.docx" TargetMode="External"/><Relationship Id="rId14" Type="http://schemas.openxmlformats.org/officeDocument/2006/relationships/image" Target="media/image3.png"/><Relationship Id="rId30" Type="http://schemas.openxmlformats.org/officeDocument/2006/relationships/hyperlink" Target="file:///D:/Jan/ASCENDIS/south%20africa%20EE%20LED%202017/Project%20doc/LED-Transf%20project%20documentation/SA%20LED-Transf%20UNDP%20ProDoc%20v2a.docx" TargetMode="External"/><Relationship Id="rId35" Type="http://schemas.openxmlformats.org/officeDocument/2006/relationships/hyperlink" Target="file:///D:/Jan/ASCENDIS/south%20africa%20EE%20LED%202017/Project%20doc/LED-Transf%20project%20documentation/SA%20LED-Transf%20UNDP%20ProDoc%20v2a.docx" TargetMode="External"/><Relationship Id="rId56" Type="http://schemas.openxmlformats.org/officeDocument/2006/relationships/image" Target="media/image9.emf"/><Relationship Id="rId77" Type="http://schemas.openxmlformats.org/officeDocument/2006/relationships/hyperlink" Target="http://www.undp.org/content/undp/en/home/operations/accountability/programme_and_operationspoliciesandprocedures.html" TargetMode="External"/><Relationship Id="rId100" Type="http://schemas.openxmlformats.org/officeDocument/2006/relationships/package" Target="embeddings/Microsoft_Excel_Worksheet5.xlsx"/><Relationship Id="rId105" Type="http://schemas.openxmlformats.org/officeDocument/2006/relationships/image" Target="media/image25.png"/><Relationship Id="rId126" Type="http://schemas.openxmlformats.org/officeDocument/2006/relationships/image" Target="media/image370.png"/><Relationship Id="rId147" Type="http://schemas.openxmlformats.org/officeDocument/2006/relationships/image" Target="media/image490.wmf"/><Relationship Id="rId168" Type="http://schemas.openxmlformats.org/officeDocument/2006/relationships/image" Target="media/image63.emf"/><Relationship Id="rId8" Type="http://schemas.openxmlformats.org/officeDocument/2006/relationships/settings" Target="settings.xml"/><Relationship Id="rId51" Type="http://schemas.openxmlformats.org/officeDocument/2006/relationships/image" Target="media/image5.png"/><Relationship Id="rId72" Type="http://schemas.openxmlformats.org/officeDocument/2006/relationships/footer" Target="footer2.xml"/><Relationship Id="rId93" Type="http://schemas.openxmlformats.org/officeDocument/2006/relationships/image" Target="media/image20.png"/><Relationship Id="rId98" Type="http://schemas.openxmlformats.org/officeDocument/2006/relationships/package" Target="embeddings/Microsoft_Excel_Worksheet3.xlsx"/><Relationship Id="rId121" Type="http://schemas.openxmlformats.org/officeDocument/2006/relationships/image" Target="media/image36.wmf"/><Relationship Id="rId142" Type="http://schemas.openxmlformats.org/officeDocument/2006/relationships/image" Target="media/image47.wmf"/><Relationship Id="rId163" Type="http://schemas.openxmlformats.org/officeDocument/2006/relationships/image" Target="media/image60.wmf"/><Relationship Id="rId3" Type="http://schemas.openxmlformats.org/officeDocument/2006/relationships/customXml" Target="../customXml/item3.xml"/><Relationship Id="rId25" Type="http://schemas.openxmlformats.org/officeDocument/2006/relationships/hyperlink" Target="file:///D:/Jan/ASCENDIS/south%20africa%20EE%20LED%202017/Project%20doc/LED-Transf%20project%20documentation/SA%20LED-Transf%20UNDP%20ProDoc%20v2a.docx" TargetMode="External"/><Relationship Id="rId46" Type="http://schemas.openxmlformats.org/officeDocument/2006/relationships/hyperlink" Target="file:///D:/Jan/ASCENDIS/south%20africa%20EE%20LED%202017/Project%20doc/LED-Transf%20project%20documentation/SA%20LED-Transf%20UNDP%20ProDoc%20v2a.docx" TargetMode="External"/><Relationship Id="rId67" Type="http://schemas.openxmlformats.org/officeDocument/2006/relationships/image" Target="media/image13.emf"/><Relationship Id="rId116" Type="http://schemas.openxmlformats.org/officeDocument/2006/relationships/image" Target="media/image31.jpeg"/><Relationship Id="rId137" Type="http://schemas.openxmlformats.org/officeDocument/2006/relationships/image" Target="media/image420.png"/><Relationship Id="rId158" Type="http://schemas.openxmlformats.org/officeDocument/2006/relationships/image" Target="media/image56.emf"/><Relationship Id="rId20" Type="http://schemas.openxmlformats.org/officeDocument/2006/relationships/hyperlink" Target="file:///D:/Jan/ASCENDIS/south%20africa%20EE%20LED%202017/Project%20doc/LED-Transf%20project%20documentation/SA%20LED-Transf%20UNDP%20ProDoc%20v2a.docx" TargetMode="External"/><Relationship Id="rId41" Type="http://schemas.openxmlformats.org/officeDocument/2006/relationships/hyperlink" Target="file:///D:/Jan/ASCENDIS/south%20africa%20EE%20LED%202017/Project%20doc/LED-Transf%20project%20documentation/SA%20LED-Transf%20UNDP%20ProDoc%20v2a.docx" TargetMode="External"/><Relationship Id="rId62" Type="http://schemas.openxmlformats.org/officeDocument/2006/relationships/image" Target="media/image100.wmf"/><Relationship Id="rId83" Type="http://schemas.openxmlformats.org/officeDocument/2006/relationships/hyperlink" Target="http://www.undp.org/ses" TargetMode="External"/><Relationship Id="rId88" Type="http://schemas.openxmlformats.org/officeDocument/2006/relationships/image" Target="media/image17.png"/><Relationship Id="rId111" Type="http://schemas.openxmlformats.org/officeDocument/2006/relationships/image" Target="media/image270.png"/><Relationship Id="rId132" Type="http://schemas.openxmlformats.org/officeDocument/2006/relationships/image" Target="media/image43.wmf"/><Relationship Id="rId153" Type="http://schemas.openxmlformats.org/officeDocument/2006/relationships/image" Target="media/image510.wmf"/><Relationship Id="rId174" Type="http://schemas.openxmlformats.org/officeDocument/2006/relationships/fontTable" Target="fontTable.xml"/><Relationship Id="rId15" Type="http://schemas.openxmlformats.org/officeDocument/2006/relationships/image" Target="media/image4.png"/><Relationship Id="rId36" Type="http://schemas.openxmlformats.org/officeDocument/2006/relationships/hyperlink" Target="file:///D:/Jan/ASCENDIS/south%20africa%20EE%20LED%202017/Project%20doc/LED-Transf%20project%20documentation/SA%20LED-Transf%20UNDP%20ProDoc%20v2a.docx" TargetMode="External"/><Relationship Id="rId57" Type="http://schemas.openxmlformats.org/officeDocument/2006/relationships/image" Target="media/image80.emf"/><Relationship Id="rId106" Type="http://schemas.openxmlformats.org/officeDocument/2006/relationships/image" Target="media/image250.png"/><Relationship Id="rId127" Type="http://schemas.openxmlformats.org/officeDocument/2006/relationships/image" Target="media/image380.wmf"/><Relationship Id="rId10" Type="http://schemas.openxmlformats.org/officeDocument/2006/relationships/footnotes" Target="footnotes.xml"/><Relationship Id="rId31" Type="http://schemas.openxmlformats.org/officeDocument/2006/relationships/hyperlink" Target="file:///D:/Jan/ASCENDIS/south%20africa%20EE%20LED%202017/Project%20doc/LED-Transf%20project%20documentation/SA%20LED-Transf%20UNDP%20ProDoc%20v2a.docx" TargetMode="External"/><Relationship Id="rId52" Type="http://schemas.openxmlformats.org/officeDocument/2006/relationships/image" Target="media/image6.png"/><Relationship Id="rId73" Type="http://schemas.openxmlformats.org/officeDocument/2006/relationships/image" Target="media/image14.emf"/><Relationship Id="rId78" Type="http://schemas.openxmlformats.org/officeDocument/2006/relationships/image" Target="media/image15.emf"/><Relationship Id="rId94" Type="http://schemas.openxmlformats.org/officeDocument/2006/relationships/image" Target="media/image21.png"/><Relationship Id="rId99" Type="http://schemas.openxmlformats.org/officeDocument/2006/relationships/image" Target="media/image220.emf"/><Relationship Id="rId101" Type="http://schemas.openxmlformats.org/officeDocument/2006/relationships/image" Target="media/image230.emf"/><Relationship Id="rId122" Type="http://schemas.openxmlformats.org/officeDocument/2006/relationships/image" Target="media/image37.png"/><Relationship Id="rId143" Type="http://schemas.openxmlformats.org/officeDocument/2006/relationships/image" Target="media/image48.png"/><Relationship Id="rId148" Type="http://schemas.openxmlformats.org/officeDocument/2006/relationships/image" Target="media/image500.wmf"/><Relationship Id="rId164" Type="http://schemas.openxmlformats.org/officeDocument/2006/relationships/image" Target="media/image61.emf"/><Relationship Id="rId169" Type="http://schemas.openxmlformats.org/officeDocument/2006/relationships/package" Target="embeddings/Microsoft_Excel_Worksheet4.xlsx"/><Relationship Id="rId9" Type="http://schemas.openxmlformats.org/officeDocument/2006/relationships/webSettings" Target="webSettings.xml"/><Relationship Id="rId26" Type="http://schemas.openxmlformats.org/officeDocument/2006/relationships/hyperlink" Target="file:///D:/Jan/ASCENDIS/south%20africa%20EE%20LED%202017/Project%20doc/LED-Transf%20project%20documentation/SA%20LED-Transf%20UNDP%20ProDoc%20v2a.docx" TargetMode="External"/><Relationship Id="rId47" Type="http://schemas.openxmlformats.org/officeDocument/2006/relationships/hyperlink" Target="file:///D:/Jan/ASCENDIS/south%20africa%20EE%20LED%202017/Project%20doc/LED-Transf%20project%20documentation/SA%20LED-Transf%20UNDP%20ProDoc%20v2a.docx" TargetMode="External"/><Relationship Id="rId68" Type="http://schemas.openxmlformats.org/officeDocument/2006/relationships/package" Target="embeddings/Microsoft_Excel_Worksheet.xlsx"/><Relationship Id="rId89" Type="http://schemas.openxmlformats.org/officeDocument/2006/relationships/image" Target="media/image170.png"/><Relationship Id="rId112" Type="http://schemas.openxmlformats.org/officeDocument/2006/relationships/image" Target="media/image28.emf"/><Relationship Id="rId133" Type="http://schemas.openxmlformats.org/officeDocument/2006/relationships/image" Target="media/image44.wmf"/><Relationship Id="rId154" Type="http://schemas.openxmlformats.org/officeDocument/2006/relationships/image" Target="media/image520.wmf"/><Relationship Id="rId175" Type="http://schemas.openxmlformats.org/officeDocument/2006/relationships/theme" Target="theme/theme1.xml"/><Relationship Id="rId16" Type="http://schemas.openxmlformats.org/officeDocument/2006/relationships/hyperlink" Target="file:///D:/Jan/ASCENDIS/south%20africa%20EE%20LED%202017/Project%20doc/LED-Transf%20project%20documentation/SA%20LED-Transf%20UNDP%20ProDoc%20v2a.docx" TargetMode="External"/><Relationship Id="rId37" Type="http://schemas.openxmlformats.org/officeDocument/2006/relationships/hyperlink" Target="file:///D:/Jan/ASCENDIS/south%20africa%20EE%20LED%202017/Project%20doc/LED-Transf%20project%20documentation/SA%20LED-Transf%20UNDP%20ProDoc%20v2a.docx" TargetMode="External"/><Relationship Id="rId58" Type="http://schemas.openxmlformats.org/officeDocument/2006/relationships/package" Target="embeddings/Microsoft_Visio_Drawing1.vsdx"/><Relationship Id="rId79" Type="http://schemas.openxmlformats.org/officeDocument/2006/relationships/package" Target="embeddings/Microsoft_Visio_Drawing2.vsdx"/><Relationship Id="rId102" Type="http://schemas.openxmlformats.org/officeDocument/2006/relationships/package" Target="embeddings/Microsoft_Excel_Worksheet6.xlsx"/><Relationship Id="rId123" Type="http://schemas.openxmlformats.org/officeDocument/2006/relationships/image" Target="media/image38.wmf"/><Relationship Id="rId144" Type="http://schemas.openxmlformats.org/officeDocument/2006/relationships/image" Target="media/image480.png"/><Relationship Id="rId90" Type="http://schemas.openxmlformats.org/officeDocument/2006/relationships/image" Target="media/image18.png"/><Relationship Id="rId165" Type="http://schemas.openxmlformats.org/officeDocument/2006/relationships/image" Target="media/image62.emf"/><Relationship Id="rId27" Type="http://schemas.openxmlformats.org/officeDocument/2006/relationships/hyperlink" Target="file:///D:/Jan/ASCENDIS/south%20africa%20EE%20LED%202017/Project%20doc/LED-Transf%20project%20documentation/SA%20LED-Transf%20UNDP%20ProDoc%20v2a.docx" TargetMode="External"/><Relationship Id="rId48" Type="http://schemas.openxmlformats.org/officeDocument/2006/relationships/hyperlink" Target="file:///D:/Jan/ASCENDIS/south%20africa%20EE%20LED%202017/Project%20doc/LED-Transf%20project%20documentation/SA%20LED-Transf%20UNDP%20ProDoc%20v2a.docx" TargetMode="External"/><Relationship Id="rId69" Type="http://schemas.openxmlformats.org/officeDocument/2006/relationships/image" Target="media/image130.emf"/><Relationship Id="rId113" Type="http://schemas.openxmlformats.org/officeDocument/2006/relationships/image" Target="media/image280.emf"/><Relationship Id="rId134" Type="http://schemas.openxmlformats.org/officeDocument/2006/relationships/image" Target="media/image45.wmf"/><Relationship Id="rId80" Type="http://schemas.openxmlformats.org/officeDocument/2006/relationships/header" Target="header1.xml"/><Relationship Id="rId155" Type="http://schemas.openxmlformats.org/officeDocument/2006/relationships/image" Target="media/image530.wmf"/><Relationship Id="rId17" Type="http://schemas.openxmlformats.org/officeDocument/2006/relationships/hyperlink" Target="file:///D:/Jan/ASCENDIS/south%20africa%20EE%20LED%202017/Project%20doc/LED-Transf%20project%20documentation/SA%20LED-Transf%20UNDP%20ProDoc%20v2a.docx" TargetMode="External"/><Relationship Id="rId38" Type="http://schemas.openxmlformats.org/officeDocument/2006/relationships/hyperlink" Target="file:///D:/Jan/ASCENDIS/south%20africa%20EE%20LED%202017/Project%20doc/LED-Transf%20project%20documentation/SA%20LED-Transf%20UNDP%20ProDoc%20v2a.docx" TargetMode="External"/><Relationship Id="rId59" Type="http://schemas.openxmlformats.org/officeDocument/2006/relationships/image" Target="media/image90.emf"/><Relationship Id="rId103" Type="http://schemas.openxmlformats.org/officeDocument/2006/relationships/image" Target="media/image24.png"/><Relationship Id="rId124" Type="http://schemas.openxmlformats.org/officeDocument/2006/relationships/image" Target="media/image39.wmf"/><Relationship Id="rId70" Type="http://schemas.openxmlformats.org/officeDocument/2006/relationships/package" Target="embeddings/Microsoft_Excel_Worksheet2.xlsx"/><Relationship Id="rId91" Type="http://schemas.openxmlformats.org/officeDocument/2006/relationships/image" Target="media/image180.png"/><Relationship Id="rId145" Type="http://schemas.openxmlformats.org/officeDocument/2006/relationships/image" Target="media/image49.wmf"/><Relationship Id="rId166" Type="http://schemas.openxmlformats.org/officeDocument/2006/relationships/hyperlink" Target="http://united4efficiency.org/countries/country-assessm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GEFCountry xmlns="ceb00776-aa5c-4fc8-b6fe-5f035152e4b6">South Africa</GEFCountry>
    <Classification xmlns="ceb00776-aa5c-4fc8-b6fe-5f035152e4b6">Public</Classification>
    <Country1 xmlns="ceb00776-aa5c-4fc8-b6fe-5f035152e4b6" xsi:nil="true"/>
    <DocPrefix xmlns="ceb00776-aa5c-4fc8-b6fe-5f035152e4b6" xsi:nil="true"/>
    <GEFID xmlns="ceb00776-aa5c-4fc8-b6fe-5f035152e4b6">9492</GEFID>
    <ProjectType xmlns="ceb00776-aa5c-4fc8-b6fe-5f035152e4b6">FSP</ProjectType>
    <GEFProjectID xmlns="ceb00776-aa5c-4fc8-b6fe-5f035152e4b6">38d7ed57-df7c-e811-8124-3863bb2e1360</GEFProjectID>
    <DocActive xmlns="ceb00776-aa5c-4fc8-b6fe-5f035152e4b6">No</DocActive>
    <DocCategory xmlns="ceb00776-aa5c-4fc8-b6fe-5f035152e4b6">Project Document</DocCategory>
    <FocalArea xmlns="ceb00776-aa5c-4fc8-b6fe-5f035152e4b6">Climate Change</FocalArea>
    <DocType xmlns="ceb00776-aa5c-4fc8-b6fe-5f035152e4b6">Roadmap</DocType>
    <ProjectTitle xmlns="ceb00776-aa5c-4fc8-b6fe-5f035152e4b6">Leapfrogging South Africa's Markets to High Efficiency LED Lighting and High Efficiency Distribution Transformers</ProjectTitle>
    <TrustFundType xmlns="ceb00776-aa5c-4fc8-b6fe-5f035152e4b6">GET</TrustFundType>
    <TaxCatchAll xmlns="3e02667f-0271-471b-bd6e-11a2e16def1d" xsi:nil="true"/>
    <DocumentTitle xmlns="ceb00776-aa5c-4fc8-b6fe-5f035152e4b6">PIMS 5728 UNDP ProDoc SA LED- Jan 2020</DocumentTitle>
  </documentManagement>
</p:properti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DF4CC-2ADB-491F-8E61-92D8B220A4D0}">
  <ds:schemaRefs>
    <ds:schemaRef ds:uri="http://schemas.microsoft.com/sharepoint/v3/contenttype/forms"/>
  </ds:schemaRefs>
</ds:datastoreItem>
</file>

<file path=customXml/itemProps2.xml><?xml version="1.0" encoding="utf-8"?>
<ds:datastoreItem xmlns:ds="http://schemas.openxmlformats.org/officeDocument/2006/customXml" ds:itemID="{555DD383-EA75-47E4-91E8-21F46788BA73}">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E30C086-E4B8-4352-9736-13BE6889B5AE}"/>
</file>

<file path=customXml/itemProps4.xml><?xml version="1.0" encoding="utf-8"?>
<ds:datastoreItem xmlns:ds="http://schemas.openxmlformats.org/officeDocument/2006/customXml" ds:itemID="{B4E74BBE-63BD-4C45-BEC4-F68551AD3F46}">
  <ds:schemaRefs>
    <ds:schemaRef ds:uri="http://schemas.microsoft.com/sharepoint/events"/>
  </ds:schemaRefs>
</ds:datastoreItem>
</file>

<file path=customXml/itemProps5.xml><?xml version="1.0" encoding="utf-8"?>
<ds:datastoreItem xmlns:ds="http://schemas.openxmlformats.org/officeDocument/2006/customXml" ds:itemID="{C7319C0A-F9E6-4894-8578-F11F34DEE6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141</Pages>
  <Words>61254</Words>
  <Characters>349154</Characters>
  <Application>Microsoft Office Word</Application>
  <DocSecurity>0</DocSecurity>
  <Lines>2909</Lines>
  <Paragraphs>819</Paragraphs>
  <ScaleCrop>false</ScaleCrop>
  <HeadingPairs>
    <vt:vector size="2" baseType="variant">
      <vt:variant>
        <vt:lpstr>Title</vt:lpstr>
      </vt:variant>
      <vt:variant>
        <vt:i4>1</vt:i4>
      </vt:variant>
    </vt:vector>
  </HeadingPairs>
  <TitlesOfParts>
    <vt:vector size="1" baseType="lpstr">
      <vt:lpstr>Project Document - Deliverable Description</vt:lpstr>
    </vt:vector>
  </TitlesOfParts>
  <Company>Microsoft</Company>
  <LinksUpToDate>false</LinksUpToDate>
  <CharactersWithSpaces>409589</CharactersWithSpaces>
  <SharedDoc>false</SharedDoc>
  <HLinks>
    <vt:vector size="636" baseType="variant">
      <vt:variant>
        <vt:i4>1245198</vt:i4>
      </vt:variant>
      <vt:variant>
        <vt:i4>752</vt:i4>
      </vt:variant>
      <vt:variant>
        <vt:i4>0</vt:i4>
      </vt:variant>
      <vt:variant>
        <vt:i4>5</vt:i4>
      </vt:variant>
      <vt:variant>
        <vt:lpwstr/>
      </vt:variant>
      <vt:variant>
        <vt:lpwstr>TransboundaryImpactsGlossary</vt:lpwstr>
      </vt:variant>
      <vt:variant>
        <vt:i4>7929978</vt:i4>
      </vt:variant>
      <vt:variant>
        <vt:i4>749</vt:i4>
      </vt:variant>
      <vt:variant>
        <vt:i4>0</vt:i4>
      </vt:variant>
      <vt:variant>
        <vt:i4>5</vt:i4>
      </vt:variant>
      <vt:variant>
        <vt:lpwstr/>
      </vt:variant>
      <vt:variant>
        <vt:lpwstr>CCVulnerabilityGlossary</vt:lpwstr>
      </vt:variant>
      <vt:variant>
        <vt:i4>589826</vt:i4>
      </vt:variant>
      <vt:variant>
        <vt:i4>746</vt:i4>
      </vt:variant>
      <vt:variant>
        <vt:i4>0</vt:i4>
      </vt:variant>
      <vt:variant>
        <vt:i4>5</vt:i4>
      </vt:variant>
      <vt:variant>
        <vt:lpwstr/>
      </vt:variant>
      <vt:variant>
        <vt:lpwstr>SustNatResManGlossary</vt:lpwstr>
      </vt:variant>
      <vt:variant>
        <vt:i4>2490468</vt:i4>
      </vt:variant>
      <vt:variant>
        <vt:i4>743</vt:i4>
      </vt:variant>
      <vt:variant>
        <vt:i4>0</vt:i4>
      </vt:variant>
      <vt:variant>
        <vt:i4>5</vt:i4>
      </vt:variant>
      <vt:variant>
        <vt:lpwstr>http://www.undp.org/content/undp/en/home/librarypage/operations1/undp-social-and-environmental-screening-procedure.html</vt:lpwstr>
      </vt:variant>
      <vt:variant>
        <vt:lpwstr/>
      </vt:variant>
      <vt:variant>
        <vt:i4>3407912</vt:i4>
      </vt:variant>
      <vt:variant>
        <vt:i4>672</vt:i4>
      </vt:variant>
      <vt:variant>
        <vt:i4>0</vt:i4>
      </vt:variant>
      <vt:variant>
        <vt:i4>5</vt:i4>
      </vt:variant>
      <vt:variant>
        <vt:lpwstr>http://www.savingenergy.org.za/</vt:lpwstr>
      </vt:variant>
      <vt:variant>
        <vt:lpwstr/>
      </vt:variant>
      <vt:variant>
        <vt:i4>4784198</vt:i4>
      </vt:variant>
      <vt:variant>
        <vt:i4>639</vt:i4>
      </vt:variant>
      <vt:variant>
        <vt:i4>0</vt:i4>
      </vt:variant>
      <vt:variant>
        <vt:i4>5</vt:i4>
      </vt:variant>
      <vt:variant>
        <vt:lpwstr>http://www.undp.org/</vt:lpwstr>
      </vt:variant>
      <vt:variant>
        <vt:lpwstr/>
      </vt:variant>
      <vt:variant>
        <vt:i4>4653065</vt:i4>
      </vt:variant>
      <vt:variant>
        <vt:i4>636</vt:i4>
      </vt:variant>
      <vt:variant>
        <vt:i4>0</vt:i4>
      </vt:variant>
      <vt:variant>
        <vt:i4>5</vt:i4>
      </vt:variant>
      <vt:variant>
        <vt:lpwstr>http://www.undp.org/secu-srm</vt:lpwstr>
      </vt:variant>
      <vt:variant>
        <vt:lpwstr/>
      </vt:variant>
      <vt:variant>
        <vt:i4>2883637</vt:i4>
      </vt:variant>
      <vt:variant>
        <vt:i4>633</vt:i4>
      </vt:variant>
      <vt:variant>
        <vt:i4>0</vt:i4>
      </vt:variant>
      <vt:variant>
        <vt:i4>5</vt:i4>
      </vt:variant>
      <vt:variant>
        <vt:lpwstr>http://www.undp.org/ses</vt:lpwstr>
      </vt:variant>
      <vt:variant>
        <vt:lpwstr/>
      </vt:variant>
      <vt:variant>
        <vt:i4>18</vt:i4>
      </vt:variant>
      <vt:variant>
        <vt:i4>630</vt:i4>
      </vt:variant>
      <vt:variant>
        <vt:i4>0</vt:i4>
      </vt:variant>
      <vt:variant>
        <vt:i4>5</vt:i4>
      </vt:variant>
      <vt:variant>
        <vt:lpwstr>http://www.un.org/sc/committees/1267/aq_sanctions_list.shtml</vt:lpwstr>
      </vt:variant>
      <vt:variant>
        <vt:lpwstr/>
      </vt:variant>
      <vt:variant>
        <vt:i4>1441859</vt:i4>
      </vt:variant>
      <vt:variant>
        <vt:i4>615</vt:i4>
      </vt:variant>
      <vt:variant>
        <vt:i4>0</vt:i4>
      </vt:variant>
      <vt:variant>
        <vt:i4>5</vt:i4>
      </vt:variant>
      <vt:variant>
        <vt:lpwstr>http://www.undp.org/content/undp/en/home/operations/accountability/programme_and_operationspoliciesandprocedures.html</vt:lpwstr>
      </vt:variant>
      <vt:variant>
        <vt:lpwstr/>
      </vt:variant>
      <vt:variant>
        <vt:i4>7995479</vt:i4>
      </vt:variant>
      <vt:variant>
        <vt:i4>612</vt:i4>
      </vt:variant>
      <vt:variant>
        <vt:i4>0</vt:i4>
      </vt:variant>
      <vt:variant>
        <vt:i4>5</vt:i4>
      </vt:variant>
      <vt:variant>
        <vt:lpwstr>http://www.undp.org/content/undp/en/home/operations/accountability/evaluation/evaluation_policyofundp.html</vt:lpwstr>
      </vt:variant>
      <vt:variant>
        <vt:lpwstr/>
      </vt:variant>
      <vt:variant>
        <vt:i4>1441859</vt:i4>
      </vt:variant>
      <vt:variant>
        <vt:i4>609</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606</vt:i4>
      </vt:variant>
      <vt:variant>
        <vt:i4>0</vt:i4>
      </vt:variant>
      <vt:variant>
        <vt:i4>5</vt:i4>
      </vt:variant>
      <vt:variant>
        <vt:lpwstr>http://www.thegef.org/gef/Evaluation Policy 2010</vt:lpwstr>
      </vt:variant>
      <vt:variant>
        <vt:lpwstr/>
      </vt:variant>
      <vt:variant>
        <vt:i4>3342392</vt:i4>
      </vt:variant>
      <vt:variant>
        <vt:i4>582</vt:i4>
      </vt:variant>
      <vt:variant>
        <vt:i4>0</vt:i4>
      </vt:variant>
      <vt:variant>
        <vt:i4>5</vt:i4>
      </vt:variant>
      <vt:variant>
        <vt:lpwstr>http://www.u4e.org/</vt:lpwstr>
      </vt:variant>
      <vt:variant>
        <vt:lpwstr/>
      </vt:variant>
      <vt:variant>
        <vt:i4>2424836</vt:i4>
      </vt:variant>
      <vt:variant>
        <vt:i4>542</vt:i4>
      </vt:variant>
      <vt:variant>
        <vt:i4>0</vt:i4>
      </vt:variant>
      <vt:variant>
        <vt:i4>5</vt:i4>
      </vt:variant>
      <vt:variant>
        <vt:lpwstr>D:\Jan\ASCENDIS\south africa EE LED 2017\Project doc\LED-Transf project documentation\SA LED-Transf UNDP ProDoc v2a.docx</vt:lpwstr>
      </vt:variant>
      <vt:variant>
        <vt:lpwstr>_Toc179872</vt:lpwstr>
      </vt:variant>
      <vt:variant>
        <vt:i4>2490372</vt:i4>
      </vt:variant>
      <vt:variant>
        <vt:i4>536</vt:i4>
      </vt:variant>
      <vt:variant>
        <vt:i4>0</vt:i4>
      </vt:variant>
      <vt:variant>
        <vt:i4>5</vt:i4>
      </vt:variant>
      <vt:variant>
        <vt:lpwstr>D:\Jan\ASCENDIS\south africa EE LED 2017\Project doc\LED-Transf project documentation\SA LED-Transf UNDP ProDoc v2a.docx</vt:lpwstr>
      </vt:variant>
      <vt:variant>
        <vt:lpwstr>_Toc179871</vt:lpwstr>
      </vt:variant>
      <vt:variant>
        <vt:i4>2621455</vt:i4>
      </vt:variant>
      <vt:variant>
        <vt:i4>530</vt:i4>
      </vt:variant>
      <vt:variant>
        <vt:i4>0</vt:i4>
      </vt:variant>
      <vt:variant>
        <vt:i4>5</vt:i4>
      </vt:variant>
      <vt:variant>
        <vt:lpwstr/>
      </vt:variant>
      <vt:variant>
        <vt:lpwstr>_Toc179870</vt:lpwstr>
      </vt:variant>
      <vt:variant>
        <vt:i4>2162702</vt:i4>
      </vt:variant>
      <vt:variant>
        <vt:i4>524</vt:i4>
      </vt:variant>
      <vt:variant>
        <vt:i4>0</vt:i4>
      </vt:variant>
      <vt:variant>
        <vt:i4>5</vt:i4>
      </vt:variant>
      <vt:variant>
        <vt:lpwstr/>
      </vt:variant>
      <vt:variant>
        <vt:lpwstr>_Toc179869</vt:lpwstr>
      </vt:variant>
      <vt:variant>
        <vt:i4>2097166</vt:i4>
      </vt:variant>
      <vt:variant>
        <vt:i4>518</vt:i4>
      </vt:variant>
      <vt:variant>
        <vt:i4>0</vt:i4>
      </vt:variant>
      <vt:variant>
        <vt:i4>5</vt:i4>
      </vt:variant>
      <vt:variant>
        <vt:lpwstr/>
      </vt:variant>
      <vt:variant>
        <vt:lpwstr>_Toc179868</vt:lpwstr>
      </vt:variant>
      <vt:variant>
        <vt:i4>2097157</vt:i4>
      </vt:variant>
      <vt:variant>
        <vt:i4>512</vt:i4>
      </vt:variant>
      <vt:variant>
        <vt:i4>0</vt:i4>
      </vt:variant>
      <vt:variant>
        <vt:i4>5</vt:i4>
      </vt:variant>
      <vt:variant>
        <vt:lpwstr>D:\Jan\ASCENDIS\south africa EE LED 2017\Project doc\LED-Transf project documentation\SA LED-Transf UNDP ProDoc v2a.docx</vt:lpwstr>
      </vt:variant>
      <vt:variant>
        <vt:lpwstr>_Toc179867</vt:lpwstr>
      </vt:variant>
      <vt:variant>
        <vt:i4>2162693</vt:i4>
      </vt:variant>
      <vt:variant>
        <vt:i4>506</vt:i4>
      </vt:variant>
      <vt:variant>
        <vt:i4>0</vt:i4>
      </vt:variant>
      <vt:variant>
        <vt:i4>5</vt:i4>
      </vt:variant>
      <vt:variant>
        <vt:lpwstr>D:\Jan\ASCENDIS\south africa EE LED 2017\Project doc\LED-Transf project documentation\SA LED-Transf UNDP ProDoc v2a.docx</vt:lpwstr>
      </vt:variant>
      <vt:variant>
        <vt:lpwstr>_Toc179866</vt:lpwstr>
      </vt:variant>
      <vt:variant>
        <vt:i4>2228229</vt:i4>
      </vt:variant>
      <vt:variant>
        <vt:i4>500</vt:i4>
      </vt:variant>
      <vt:variant>
        <vt:i4>0</vt:i4>
      </vt:variant>
      <vt:variant>
        <vt:i4>5</vt:i4>
      </vt:variant>
      <vt:variant>
        <vt:lpwstr>D:\Jan\ASCENDIS\south africa EE LED 2017\Project doc\LED-Transf project documentation\SA LED-Transf UNDP ProDoc v2a.docx</vt:lpwstr>
      </vt:variant>
      <vt:variant>
        <vt:lpwstr>_Toc179865</vt:lpwstr>
      </vt:variant>
      <vt:variant>
        <vt:i4>2293765</vt:i4>
      </vt:variant>
      <vt:variant>
        <vt:i4>494</vt:i4>
      </vt:variant>
      <vt:variant>
        <vt:i4>0</vt:i4>
      </vt:variant>
      <vt:variant>
        <vt:i4>5</vt:i4>
      </vt:variant>
      <vt:variant>
        <vt:lpwstr>D:\Jan\ASCENDIS\south africa EE LED 2017\Project doc\LED-Transf project documentation\SA LED-Transf UNDP ProDoc v2a.docx</vt:lpwstr>
      </vt:variant>
      <vt:variant>
        <vt:lpwstr>_Toc179864</vt:lpwstr>
      </vt:variant>
      <vt:variant>
        <vt:i4>2359301</vt:i4>
      </vt:variant>
      <vt:variant>
        <vt:i4>488</vt:i4>
      </vt:variant>
      <vt:variant>
        <vt:i4>0</vt:i4>
      </vt:variant>
      <vt:variant>
        <vt:i4>5</vt:i4>
      </vt:variant>
      <vt:variant>
        <vt:lpwstr>D:\Jan\ASCENDIS\south africa EE LED 2017\Project doc\LED-Transf project documentation\SA LED-Transf UNDP ProDoc v2a.docx</vt:lpwstr>
      </vt:variant>
      <vt:variant>
        <vt:lpwstr>_Toc179863</vt:lpwstr>
      </vt:variant>
      <vt:variant>
        <vt:i4>2424837</vt:i4>
      </vt:variant>
      <vt:variant>
        <vt:i4>482</vt:i4>
      </vt:variant>
      <vt:variant>
        <vt:i4>0</vt:i4>
      </vt:variant>
      <vt:variant>
        <vt:i4>5</vt:i4>
      </vt:variant>
      <vt:variant>
        <vt:lpwstr>D:\Jan\ASCENDIS\south africa EE LED 2017\Project doc\LED-Transf project documentation\SA LED-Transf UNDP ProDoc v2a.docx</vt:lpwstr>
      </vt:variant>
      <vt:variant>
        <vt:lpwstr>_Toc179862</vt:lpwstr>
      </vt:variant>
      <vt:variant>
        <vt:i4>2490373</vt:i4>
      </vt:variant>
      <vt:variant>
        <vt:i4>476</vt:i4>
      </vt:variant>
      <vt:variant>
        <vt:i4>0</vt:i4>
      </vt:variant>
      <vt:variant>
        <vt:i4>5</vt:i4>
      </vt:variant>
      <vt:variant>
        <vt:lpwstr>D:\Jan\ASCENDIS\south africa EE LED 2017\Project doc\LED-Transf project documentation\SA LED-Transf UNDP ProDoc v2a.docx</vt:lpwstr>
      </vt:variant>
      <vt:variant>
        <vt:lpwstr>_Toc179861</vt:lpwstr>
      </vt:variant>
      <vt:variant>
        <vt:i4>2555909</vt:i4>
      </vt:variant>
      <vt:variant>
        <vt:i4>470</vt:i4>
      </vt:variant>
      <vt:variant>
        <vt:i4>0</vt:i4>
      </vt:variant>
      <vt:variant>
        <vt:i4>5</vt:i4>
      </vt:variant>
      <vt:variant>
        <vt:lpwstr>D:\Jan\ASCENDIS\south africa EE LED 2017\Project doc\LED-Transf project documentation\SA LED-Transf UNDP ProDoc v2a.docx</vt:lpwstr>
      </vt:variant>
      <vt:variant>
        <vt:lpwstr>_Toc179860</vt:lpwstr>
      </vt:variant>
      <vt:variant>
        <vt:i4>3014662</vt:i4>
      </vt:variant>
      <vt:variant>
        <vt:i4>464</vt:i4>
      </vt:variant>
      <vt:variant>
        <vt:i4>0</vt:i4>
      </vt:variant>
      <vt:variant>
        <vt:i4>5</vt:i4>
      </vt:variant>
      <vt:variant>
        <vt:lpwstr>D:\Jan\ASCENDIS\south africa EE LED 2017\Project doc\LED-Transf project documentation\SA LED-Transf UNDP ProDoc v2a.docx</vt:lpwstr>
      </vt:variant>
      <vt:variant>
        <vt:lpwstr>_Toc179859</vt:lpwstr>
      </vt:variant>
      <vt:variant>
        <vt:i4>3080198</vt:i4>
      </vt:variant>
      <vt:variant>
        <vt:i4>458</vt:i4>
      </vt:variant>
      <vt:variant>
        <vt:i4>0</vt:i4>
      </vt:variant>
      <vt:variant>
        <vt:i4>5</vt:i4>
      </vt:variant>
      <vt:variant>
        <vt:lpwstr>D:\Jan\ASCENDIS\south africa EE LED 2017\Project doc\LED-Transf project documentation\SA LED-Transf UNDP ProDoc v2a.docx</vt:lpwstr>
      </vt:variant>
      <vt:variant>
        <vt:lpwstr>_Toc179858</vt:lpwstr>
      </vt:variant>
      <vt:variant>
        <vt:i4>2097158</vt:i4>
      </vt:variant>
      <vt:variant>
        <vt:i4>452</vt:i4>
      </vt:variant>
      <vt:variant>
        <vt:i4>0</vt:i4>
      </vt:variant>
      <vt:variant>
        <vt:i4>5</vt:i4>
      </vt:variant>
      <vt:variant>
        <vt:lpwstr>D:\Jan\ASCENDIS\south africa EE LED 2017\Project doc\LED-Transf project documentation\SA LED-Transf UNDP ProDoc v2a.docx</vt:lpwstr>
      </vt:variant>
      <vt:variant>
        <vt:lpwstr>_Toc179857</vt:lpwstr>
      </vt:variant>
      <vt:variant>
        <vt:i4>2162694</vt:i4>
      </vt:variant>
      <vt:variant>
        <vt:i4>446</vt:i4>
      </vt:variant>
      <vt:variant>
        <vt:i4>0</vt:i4>
      </vt:variant>
      <vt:variant>
        <vt:i4>5</vt:i4>
      </vt:variant>
      <vt:variant>
        <vt:lpwstr>D:\Jan\ASCENDIS\south africa EE LED 2017\Project doc\LED-Transf project documentation\SA LED-Transf UNDP ProDoc v2a.docx</vt:lpwstr>
      </vt:variant>
      <vt:variant>
        <vt:lpwstr>_Toc179856</vt:lpwstr>
      </vt:variant>
      <vt:variant>
        <vt:i4>2228230</vt:i4>
      </vt:variant>
      <vt:variant>
        <vt:i4>440</vt:i4>
      </vt:variant>
      <vt:variant>
        <vt:i4>0</vt:i4>
      </vt:variant>
      <vt:variant>
        <vt:i4>5</vt:i4>
      </vt:variant>
      <vt:variant>
        <vt:lpwstr>D:\Jan\ASCENDIS\south africa EE LED 2017\Project doc\LED-Transf project documentation\SA LED-Transf UNDP ProDoc v2a.docx</vt:lpwstr>
      </vt:variant>
      <vt:variant>
        <vt:lpwstr>_Toc179855</vt:lpwstr>
      </vt:variant>
      <vt:variant>
        <vt:i4>2293766</vt:i4>
      </vt:variant>
      <vt:variant>
        <vt:i4>434</vt:i4>
      </vt:variant>
      <vt:variant>
        <vt:i4>0</vt:i4>
      </vt:variant>
      <vt:variant>
        <vt:i4>5</vt:i4>
      </vt:variant>
      <vt:variant>
        <vt:lpwstr>D:\Jan\ASCENDIS\south africa EE LED 2017\Project doc\LED-Transf project documentation\SA LED-Transf UNDP ProDoc v2a.docx</vt:lpwstr>
      </vt:variant>
      <vt:variant>
        <vt:lpwstr>_Toc179854</vt:lpwstr>
      </vt:variant>
      <vt:variant>
        <vt:i4>2359302</vt:i4>
      </vt:variant>
      <vt:variant>
        <vt:i4>428</vt:i4>
      </vt:variant>
      <vt:variant>
        <vt:i4>0</vt:i4>
      </vt:variant>
      <vt:variant>
        <vt:i4>5</vt:i4>
      </vt:variant>
      <vt:variant>
        <vt:lpwstr>D:\Jan\ASCENDIS\south africa EE LED 2017\Project doc\LED-Transf project documentation\SA LED-Transf UNDP ProDoc v2a.docx</vt:lpwstr>
      </vt:variant>
      <vt:variant>
        <vt:lpwstr>_Toc179853</vt:lpwstr>
      </vt:variant>
      <vt:variant>
        <vt:i4>2424838</vt:i4>
      </vt:variant>
      <vt:variant>
        <vt:i4>422</vt:i4>
      </vt:variant>
      <vt:variant>
        <vt:i4>0</vt:i4>
      </vt:variant>
      <vt:variant>
        <vt:i4>5</vt:i4>
      </vt:variant>
      <vt:variant>
        <vt:lpwstr>D:\Jan\ASCENDIS\south africa EE LED 2017\Project doc\LED-Transf project documentation\SA LED-Transf UNDP ProDoc v2a.docx</vt:lpwstr>
      </vt:variant>
      <vt:variant>
        <vt:lpwstr>_Toc179852</vt:lpwstr>
      </vt:variant>
      <vt:variant>
        <vt:i4>2490374</vt:i4>
      </vt:variant>
      <vt:variant>
        <vt:i4>416</vt:i4>
      </vt:variant>
      <vt:variant>
        <vt:i4>0</vt:i4>
      </vt:variant>
      <vt:variant>
        <vt:i4>5</vt:i4>
      </vt:variant>
      <vt:variant>
        <vt:lpwstr>D:\Jan\ASCENDIS\south africa EE LED 2017\Project doc\LED-Transf project documentation\SA LED-Transf UNDP ProDoc v2a.docx</vt:lpwstr>
      </vt:variant>
      <vt:variant>
        <vt:lpwstr>_Toc179851</vt:lpwstr>
      </vt:variant>
      <vt:variant>
        <vt:i4>2555910</vt:i4>
      </vt:variant>
      <vt:variant>
        <vt:i4>410</vt:i4>
      </vt:variant>
      <vt:variant>
        <vt:i4>0</vt:i4>
      </vt:variant>
      <vt:variant>
        <vt:i4>5</vt:i4>
      </vt:variant>
      <vt:variant>
        <vt:lpwstr>D:\Jan\ASCENDIS\south africa EE LED 2017\Project doc\LED-Transf project documentation\SA LED-Transf UNDP ProDoc v2a.docx</vt:lpwstr>
      </vt:variant>
      <vt:variant>
        <vt:lpwstr>_Toc179850</vt:lpwstr>
      </vt:variant>
      <vt:variant>
        <vt:i4>3014663</vt:i4>
      </vt:variant>
      <vt:variant>
        <vt:i4>404</vt:i4>
      </vt:variant>
      <vt:variant>
        <vt:i4>0</vt:i4>
      </vt:variant>
      <vt:variant>
        <vt:i4>5</vt:i4>
      </vt:variant>
      <vt:variant>
        <vt:lpwstr>D:\Jan\ASCENDIS\south africa EE LED 2017\Project doc\LED-Transf project documentation\SA LED-Transf UNDP ProDoc v2a.docx</vt:lpwstr>
      </vt:variant>
      <vt:variant>
        <vt:lpwstr>_Toc179849</vt:lpwstr>
      </vt:variant>
      <vt:variant>
        <vt:i4>3080199</vt:i4>
      </vt:variant>
      <vt:variant>
        <vt:i4>398</vt:i4>
      </vt:variant>
      <vt:variant>
        <vt:i4>0</vt:i4>
      </vt:variant>
      <vt:variant>
        <vt:i4>5</vt:i4>
      </vt:variant>
      <vt:variant>
        <vt:lpwstr>D:\Jan\ASCENDIS\south africa EE LED 2017\Project doc\LED-Transf project documentation\SA LED-Transf UNDP ProDoc v2a.docx</vt:lpwstr>
      </vt:variant>
      <vt:variant>
        <vt:lpwstr>_Toc179848</vt:lpwstr>
      </vt:variant>
      <vt:variant>
        <vt:i4>2097159</vt:i4>
      </vt:variant>
      <vt:variant>
        <vt:i4>392</vt:i4>
      </vt:variant>
      <vt:variant>
        <vt:i4>0</vt:i4>
      </vt:variant>
      <vt:variant>
        <vt:i4>5</vt:i4>
      </vt:variant>
      <vt:variant>
        <vt:lpwstr>D:\Jan\ASCENDIS\south africa EE LED 2017\Project doc\LED-Transf project documentation\SA LED-Transf UNDP ProDoc v2a.docx</vt:lpwstr>
      </vt:variant>
      <vt:variant>
        <vt:lpwstr>_Toc179847</vt:lpwstr>
      </vt:variant>
      <vt:variant>
        <vt:i4>2162695</vt:i4>
      </vt:variant>
      <vt:variant>
        <vt:i4>386</vt:i4>
      </vt:variant>
      <vt:variant>
        <vt:i4>0</vt:i4>
      </vt:variant>
      <vt:variant>
        <vt:i4>5</vt:i4>
      </vt:variant>
      <vt:variant>
        <vt:lpwstr>D:\Jan\ASCENDIS\south africa EE LED 2017\Project doc\LED-Transf project documentation\SA LED-Transf UNDP ProDoc v2a.docx</vt:lpwstr>
      </vt:variant>
      <vt:variant>
        <vt:lpwstr>_Toc179846</vt:lpwstr>
      </vt:variant>
      <vt:variant>
        <vt:i4>2228231</vt:i4>
      </vt:variant>
      <vt:variant>
        <vt:i4>380</vt:i4>
      </vt:variant>
      <vt:variant>
        <vt:i4>0</vt:i4>
      </vt:variant>
      <vt:variant>
        <vt:i4>5</vt:i4>
      </vt:variant>
      <vt:variant>
        <vt:lpwstr>D:\Jan\ASCENDIS\south africa EE LED 2017\Project doc\LED-Transf project documentation\SA LED-Transf UNDP ProDoc v2a.docx</vt:lpwstr>
      </vt:variant>
      <vt:variant>
        <vt:lpwstr>_Toc179845</vt:lpwstr>
      </vt:variant>
      <vt:variant>
        <vt:i4>2293767</vt:i4>
      </vt:variant>
      <vt:variant>
        <vt:i4>374</vt:i4>
      </vt:variant>
      <vt:variant>
        <vt:i4>0</vt:i4>
      </vt:variant>
      <vt:variant>
        <vt:i4>5</vt:i4>
      </vt:variant>
      <vt:variant>
        <vt:lpwstr>D:\Jan\ASCENDIS\south africa EE LED 2017\Project doc\LED-Transf project documentation\SA LED-Transf UNDP ProDoc v2a.docx</vt:lpwstr>
      </vt:variant>
      <vt:variant>
        <vt:lpwstr>_Toc179844</vt:lpwstr>
      </vt:variant>
      <vt:variant>
        <vt:i4>2359303</vt:i4>
      </vt:variant>
      <vt:variant>
        <vt:i4>368</vt:i4>
      </vt:variant>
      <vt:variant>
        <vt:i4>0</vt:i4>
      </vt:variant>
      <vt:variant>
        <vt:i4>5</vt:i4>
      </vt:variant>
      <vt:variant>
        <vt:lpwstr>D:\Jan\ASCENDIS\south africa EE LED 2017\Project doc\LED-Transf project documentation\SA LED-Transf UNDP ProDoc v2a.docx</vt:lpwstr>
      </vt:variant>
      <vt:variant>
        <vt:lpwstr>_Toc179843</vt:lpwstr>
      </vt:variant>
      <vt:variant>
        <vt:i4>2424839</vt:i4>
      </vt:variant>
      <vt:variant>
        <vt:i4>362</vt:i4>
      </vt:variant>
      <vt:variant>
        <vt:i4>0</vt:i4>
      </vt:variant>
      <vt:variant>
        <vt:i4>5</vt:i4>
      </vt:variant>
      <vt:variant>
        <vt:lpwstr>D:\Jan\ASCENDIS\south africa EE LED 2017\Project doc\LED-Transf project documentation\SA LED-Transf UNDP ProDoc v2a.docx</vt:lpwstr>
      </vt:variant>
      <vt:variant>
        <vt:lpwstr>_Toc179842</vt:lpwstr>
      </vt:variant>
      <vt:variant>
        <vt:i4>2686988</vt:i4>
      </vt:variant>
      <vt:variant>
        <vt:i4>356</vt:i4>
      </vt:variant>
      <vt:variant>
        <vt:i4>0</vt:i4>
      </vt:variant>
      <vt:variant>
        <vt:i4>5</vt:i4>
      </vt:variant>
      <vt:variant>
        <vt:lpwstr/>
      </vt:variant>
      <vt:variant>
        <vt:lpwstr>_Toc179841</vt:lpwstr>
      </vt:variant>
      <vt:variant>
        <vt:i4>2621452</vt:i4>
      </vt:variant>
      <vt:variant>
        <vt:i4>350</vt:i4>
      </vt:variant>
      <vt:variant>
        <vt:i4>0</vt:i4>
      </vt:variant>
      <vt:variant>
        <vt:i4>5</vt:i4>
      </vt:variant>
      <vt:variant>
        <vt:lpwstr/>
      </vt:variant>
      <vt:variant>
        <vt:lpwstr>_Toc179840</vt:lpwstr>
      </vt:variant>
      <vt:variant>
        <vt:i4>2162699</vt:i4>
      </vt:variant>
      <vt:variant>
        <vt:i4>344</vt:i4>
      </vt:variant>
      <vt:variant>
        <vt:i4>0</vt:i4>
      </vt:variant>
      <vt:variant>
        <vt:i4>5</vt:i4>
      </vt:variant>
      <vt:variant>
        <vt:lpwstr/>
      </vt:variant>
      <vt:variant>
        <vt:lpwstr>_Toc179839</vt:lpwstr>
      </vt:variant>
      <vt:variant>
        <vt:i4>2097163</vt:i4>
      </vt:variant>
      <vt:variant>
        <vt:i4>338</vt:i4>
      </vt:variant>
      <vt:variant>
        <vt:i4>0</vt:i4>
      </vt:variant>
      <vt:variant>
        <vt:i4>5</vt:i4>
      </vt:variant>
      <vt:variant>
        <vt:lpwstr/>
      </vt:variant>
      <vt:variant>
        <vt:lpwstr>_Toc179838</vt:lpwstr>
      </vt:variant>
      <vt:variant>
        <vt:i4>3080203</vt:i4>
      </vt:variant>
      <vt:variant>
        <vt:i4>332</vt:i4>
      </vt:variant>
      <vt:variant>
        <vt:i4>0</vt:i4>
      </vt:variant>
      <vt:variant>
        <vt:i4>5</vt:i4>
      </vt:variant>
      <vt:variant>
        <vt:lpwstr/>
      </vt:variant>
      <vt:variant>
        <vt:lpwstr>_Toc179837</vt:lpwstr>
      </vt:variant>
      <vt:variant>
        <vt:i4>2162688</vt:i4>
      </vt:variant>
      <vt:variant>
        <vt:i4>326</vt:i4>
      </vt:variant>
      <vt:variant>
        <vt:i4>0</vt:i4>
      </vt:variant>
      <vt:variant>
        <vt:i4>5</vt:i4>
      </vt:variant>
      <vt:variant>
        <vt:lpwstr>D:\Jan\ASCENDIS\south africa EE LED 2017\Project doc\LED-Transf project documentation\SA LED-Transf UNDP ProDoc v2a.docx</vt:lpwstr>
      </vt:variant>
      <vt:variant>
        <vt:lpwstr>_Toc179836</vt:lpwstr>
      </vt:variant>
      <vt:variant>
        <vt:i4>2228224</vt:i4>
      </vt:variant>
      <vt:variant>
        <vt:i4>320</vt:i4>
      </vt:variant>
      <vt:variant>
        <vt:i4>0</vt:i4>
      </vt:variant>
      <vt:variant>
        <vt:i4>5</vt:i4>
      </vt:variant>
      <vt:variant>
        <vt:lpwstr>D:\Jan\ASCENDIS\south africa EE LED 2017\Project doc\LED-Transf project documentation\SA LED-Transf UNDP ProDoc v2a.docx</vt:lpwstr>
      </vt:variant>
      <vt:variant>
        <vt:lpwstr>_Toc179835</vt:lpwstr>
      </vt:variant>
      <vt:variant>
        <vt:i4>2883595</vt:i4>
      </vt:variant>
      <vt:variant>
        <vt:i4>314</vt:i4>
      </vt:variant>
      <vt:variant>
        <vt:i4>0</vt:i4>
      </vt:variant>
      <vt:variant>
        <vt:i4>5</vt:i4>
      </vt:variant>
      <vt:variant>
        <vt:lpwstr/>
      </vt:variant>
      <vt:variant>
        <vt:lpwstr>_Toc179834</vt:lpwstr>
      </vt:variant>
      <vt:variant>
        <vt:i4>2818059</vt:i4>
      </vt:variant>
      <vt:variant>
        <vt:i4>308</vt:i4>
      </vt:variant>
      <vt:variant>
        <vt:i4>0</vt:i4>
      </vt:variant>
      <vt:variant>
        <vt:i4>5</vt:i4>
      </vt:variant>
      <vt:variant>
        <vt:lpwstr/>
      </vt:variant>
      <vt:variant>
        <vt:lpwstr>_Toc179833</vt:lpwstr>
      </vt:variant>
      <vt:variant>
        <vt:i4>2424832</vt:i4>
      </vt:variant>
      <vt:variant>
        <vt:i4>302</vt:i4>
      </vt:variant>
      <vt:variant>
        <vt:i4>0</vt:i4>
      </vt:variant>
      <vt:variant>
        <vt:i4>5</vt:i4>
      </vt:variant>
      <vt:variant>
        <vt:lpwstr>D:\Jan\ASCENDIS\south africa EE LED 2017\Project doc\LED-Transf project documentation\SA LED-Transf UNDP ProDoc v2a.docx</vt:lpwstr>
      </vt:variant>
      <vt:variant>
        <vt:lpwstr>_Toc179832</vt:lpwstr>
      </vt:variant>
      <vt:variant>
        <vt:i4>2490368</vt:i4>
      </vt:variant>
      <vt:variant>
        <vt:i4>296</vt:i4>
      </vt:variant>
      <vt:variant>
        <vt:i4>0</vt:i4>
      </vt:variant>
      <vt:variant>
        <vt:i4>5</vt:i4>
      </vt:variant>
      <vt:variant>
        <vt:lpwstr>D:\Jan\ASCENDIS\south africa EE LED 2017\Project doc\LED-Transf project documentation\SA LED-Transf UNDP ProDoc v2a.docx</vt:lpwstr>
      </vt:variant>
      <vt:variant>
        <vt:lpwstr>_Toc179831</vt:lpwstr>
      </vt:variant>
      <vt:variant>
        <vt:i4>2621451</vt:i4>
      </vt:variant>
      <vt:variant>
        <vt:i4>290</vt:i4>
      </vt:variant>
      <vt:variant>
        <vt:i4>0</vt:i4>
      </vt:variant>
      <vt:variant>
        <vt:i4>5</vt:i4>
      </vt:variant>
      <vt:variant>
        <vt:lpwstr/>
      </vt:variant>
      <vt:variant>
        <vt:lpwstr>_Toc179830</vt:lpwstr>
      </vt:variant>
      <vt:variant>
        <vt:i4>3014657</vt:i4>
      </vt:variant>
      <vt:variant>
        <vt:i4>284</vt:i4>
      </vt:variant>
      <vt:variant>
        <vt:i4>0</vt:i4>
      </vt:variant>
      <vt:variant>
        <vt:i4>5</vt:i4>
      </vt:variant>
      <vt:variant>
        <vt:lpwstr>D:\Jan\ASCENDIS\south africa EE LED 2017\Project doc\LED-Transf project documentation\SA LED-Transf UNDP ProDoc v2a.docx</vt:lpwstr>
      </vt:variant>
      <vt:variant>
        <vt:lpwstr>_Toc179829</vt:lpwstr>
      </vt:variant>
      <vt:variant>
        <vt:i4>3080193</vt:i4>
      </vt:variant>
      <vt:variant>
        <vt:i4>278</vt:i4>
      </vt:variant>
      <vt:variant>
        <vt:i4>0</vt:i4>
      </vt:variant>
      <vt:variant>
        <vt:i4>5</vt:i4>
      </vt:variant>
      <vt:variant>
        <vt:lpwstr>D:\Jan\ASCENDIS\south africa EE LED 2017\Project doc\LED-Transf project documentation\SA LED-Transf UNDP ProDoc v2a.docx</vt:lpwstr>
      </vt:variant>
      <vt:variant>
        <vt:lpwstr>_Toc179828</vt:lpwstr>
      </vt:variant>
      <vt:variant>
        <vt:i4>3080202</vt:i4>
      </vt:variant>
      <vt:variant>
        <vt:i4>272</vt:i4>
      </vt:variant>
      <vt:variant>
        <vt:i4>0</vt:i4>
      </vt:variant>
      <vt:variant>
        <vt:i4>5</vt:i4>
      </vt:variant>
      <vt:variant>
        <vt:lpwstr/>
      </vt:variant>
      <vt:variant>
        <vt:lpwstr>_Toc179827</vt:lpwstr>
      </vt:variant>
      <vt:variant>
        <vt:i4>2162689</vt:i4>
      </vt:variant>
      <vt:variant>
        <vt:i4>266</vt:i4>
      </vt:variant>
      <vt:variant>
        <vt:i4>0</vt:i4>
      </vt:variant>
      <vt:variant>
        <vt:i4>5</vt:i4>
      </vt:variant>
      <vt:variant>
        <vt:lpwstr>D:\Jan\ASCENDIS\south africa EE LED 2017\Project doc\LED-Transf project documentation\SA LED-Transf UNDP ProDoc v2a.docx</vt:lpwstr>
      </vt:variant>
      <vt:variant>
        <vt:lpwstr>_Toc179826</vt:lpwstr>
      </vt:variant>
      <vt:variant>
        <vt:i4>2949130</vt:i4>
      </vt:variant>
      <vt:variant>
        <vt:i4>260</vt:i4>
      </vt:variant>
      <vt:variant>
        <vt:i4>0</vt:i4>
      </vt:variant>
      <vt:variant>
        <vt:i4>5</vt:i4>
      </vt:variant>
      <vt:variant>
        <vt:lpwstr/>
      </vt:variant>
      <vt:variant>
        <vt:lpwstr>_Toc179825</vt:lpwstr>
      </vt:variant>
      <vt:variant>
        <vt:i4>2490378</vt:i4>
      </vt:variant>
      <vt:variant>
        <vt:i4>251</vt:i4>
      </vt:variant>
      <vt:variant>
        <vt:i4>0</vt:i4>
      </vt:variant>
      <vt:variant>
        <vt:i4>5</vt:i4>
      </vt:variant>
      <vt:variant>
        <vt:lpwstr/>
      </vt:variant>
      <vt:variant>
        <vt:lpwstr>_Toc340792</vt:lpwstr>
      </vt:variant>
      <vt:variant>
        <vt:i4>2424842</vt:i4>
      </vt:variant>
      <vt:variant>
        <vt:i4>245</vt:i4>
      </vt:variant>
      <vt:variant>
        <vt:i4>0</vt:i4>
      </vt:variant>
      <vt:variant>
        <vt:i4>5</vt:i4>
      </vt:variant>
      <vt:variant>
        <vt:lpwstr/>
      </vt:variant>
      <vt:variant>
        <vt:lpwstr>_Toc340791</vt:lpwstr>
      </vt:variant>
      <vt:variant>
        <vt:i4>2359306</vt:i4>
      </vt:variant>
      <vt:variant>
        <vt:i4>239</vt:i4>
      </vt:variant>
      <vt:variant>
        <vt:i4>0</vt:i4>
      </vt:variant>
      <vt:variant>
        <vt:i4>5</vt:i4>
      </vt:variant>
      <vt:variant>
        <vt:lpwstr/>
      </vt:variant>
      <vt:variant>
        <vt:lpwstr>_Toc340790</vt:lpwstr>
      </vt:variant>
      <vt:variant>
        <vt:i4>2949131</vt:i4>
      </vt:variant>
      <vt:variant>
        <vt:i4>233</vt:i4>
      </vt:variant>
      <vt:variant>
        <vt:i4>0</vt:i4>
      </vt:variant>
      <vt:variant>
        <vt:i4>5</vt:i4>
      </vt:variant>
      <vt:variant>
        <vt:lpwstr/>
      </vt:variant>
      <vt:variant>
        <vt:lpwstr>_Toc340789</vt:lpwstr>
      </vt:variant>
      <vt:variant>
        <vt:i4>2883595</vt:i4>
      </vt:variant>
      <vt:variant>
        <vt:i4>227</vt:i4>
      </vt:variant>
      <vt:variant>
        <vt:i4>0</vt:i4>
      </vt:variant>
      <vt:variant>
        <vt:i4>5</vt:i4>
      </vt:variant>
      <vt:variant>
        <vt:lpwstr/>
      </vt:variant>
      <vt:variant>
        <vt:lpwstr>_Toc340788</vt:lpwstr>
      </vt:variant>
      <vt:variant>
        <vt:i4>2293771</vt:i4>
      </vt:variant>
      <vt:variant>
        <vt:i4>221</vt:i4>
      </vt:variant>
      <vt:variant>
        <vt:i4>0</vt:i4>
      </vt:variant>
      <vt:variant>
        <vt:i4>5</vt:i4>
      </vt:variant>
      <vt:variant>
        <vt:lpwstr/>
      </vt:variant>
      <vt:variant>
        <vt:lpwstr>_Toc340787</vt:lpwstr>
      </vt:variant>
      <vt:variant>
        <vt:i4>2228235</vt:i4>
      </vt:variant>
      <vt:variant>
        <vt:i4>215</vt:i4>
      </vt:variant>
      <vt:variant>
        <vt:i4>0</vt:i4>
      </vt:variant>
      <vt:variant>
        <vt:i4>5</vt:i4>
      </vt:variant>
      <vt:variant>
        <vt:lpwstr/>
      </vt:variant>
      <vt:variant>
        <vt:lpwstr>_Toc340786</vt:lpwstr>
      </vt:variant>
      <vt:variant>
        <vt:i4>2162699</vt:i4>
      </vt:variant>
      <vt:variant>
        <vt:i4>209</vt:i4>
      </vt:variant>
      <vt:variant>
        <vt:i4>0</vt:i4>
      </vt:variant>
      <vt:variant>
        <vt:i4>5</vt:i4>
      </vt:variant>
      <vt:variant>
        <vt:lpwstr/>
      </vt:variant>
      <vt:variant>
        <vt:lpwstr>_Toc340785</vt:lpwstr>
      </vt:variant>
      <vt:variant>
        <vt:i4>2097163</vt:i4>
      </vt:variant>
      <vt:variant>
        <vt:i4>203</vt:i4>
      </vt:variant>
      <vt:variant>
        <vt:i4>0</vt:i4>
      </vt:variant>
      <vt:variant>
        <vt:i4>5</vt:i4>
      </vt:variant>
      <vt:variant>
        <vt:lpwstr/>
      </vt:variant>
      <vt:variant>
        <vt:lpwstr>_Toc340784</vt:lpwstr>
      </vt:variant>
      <vt:variant>
        <vt:i4>2555915</vt:i4>
      </vt:variant>
      <vt:variant>
        <vt:i4>197</vt:i4>
      </vt:variant>
      <vt:variant>
        <vt:i4>0</vt:i4>
      </vt:variant>
      <vt:variant>
        <vt:i4>5</vt:i4>
      </vt:variant>
      <vt:variant>
        <vt:lpwstr/>
      </vt:variant>
      <vt:variant>
        <vt:lpwstr>_Toc340783</vt:lpwstr>
      </vt:variant>
      <vt:variant>
        <vt:i4>2490379</vt:i4>
      </vt:variant>
      <vt:variant>
        <vt:i4>191</vt:i4>
      </vt:variant>
      <vt:variant>
        <vt:i4>0</vt:i4>
      </vt:variant>
      <vt:variant>
        <vt:i4>5</vt:i4>
      </vt:variant>
      <vt:variant>
        <vt:lpwstr/>
      </vt:variant>
      <vt:variant>
        <vt:lpwstr>_Toc340782</vt:lpwstr>
      </vt:variant>
      <vt:variant>
        <vt:i4>2424843</vt:i4>
      </vt:variant>
      <vt:variant>
        <vt:i4>185</vt:i4>
      </vt:variant>
      <vt:variant>
        <vt:i4>0</vt:i4>
      </vt:variant>
      <vt:variant>
        <vt:i4>5</vt:i4>
      </vt:variant>
      <vt:variant>
        <vt:lpwstr/>
      </vt:variant>
      <vt:variant>
        <vt:lpwstr>_Toc340781</vt:lpwstr>
      </vt:variant>
      <vt:variant>
        <vt:i4>2359307</vt:i4>
      </vt:variant>
      <vt:variant>
        <vt:i4>179</vt:i4>
      </vt:variant>
      <vt:variant>
        <vt:i4>0</vt:i4>
      </vt:variant>
      <vt:variant>
        <vt:i4>5</vt:i4>
      </vt:variant>
      <vt:variant>
        <vt:lpwstr/>
      </vt:variant>
      <vt:variant>
        <vt:lpwstr>_Toc340780</vt:lpwstr>
      </vt:variant>
      <vt:variant>
        <vt:i4>2949124</vt:i4>
      </vt:variant>
      <vt:variant>
        <vt:i4>173</vt:i4>
      </vt:variant>
      <vt:variant>
        <vt:i4>0</vt:i4>
      </vt:variant>
      <vt:variant>
        <vt:i4>5</vt:i4>
      </vt:variant>
      <vt:variant>
        <vt:lpwstr/>
      </vt:variant>
      <vt:variant>
        <vt:lpwstr>_Toc340779</vt:lpwstr>
      </vt:variant>
      <vt:variant>
        <vt:i4>2883588</vt:i4>
      </vt:variant>
      <vt:variant>
        <vt:i4>167</vt:i4>
      </vt:variant>
      <vt:variant>
        <vt:i4>0</vt:i4>
      </vt:variant>
      <vt:variant>
        <vt:i4>5</vt:i4>
      </vt:variant>
      <vt:variant>
        <vt:lpwstr/>
      </vt:variant>
      <vt:variant>
        <vt:lpwstr>_Toc340778</vt:lpwstr>
      </vt:variant>
      <vt:variant>
        <vt:i4>2293764</vt:i4>
      </vt:variant>
      <vt:variant>
        <vt:i4>161</vt:i4>
      </vt:variant>
      <vt:variant>
        <vt:i4>0</vt:i4>
      </vt:variant>
      <vt:variant>
        <vt:i4>5</vt:i4>
      </vt:variant>
      <vt:variant>
        <vt:lpwstr/>
      </vt:variant>
      <vt:variant>
        <vt:lpwstr>_Toc340777</vt:lpwstr>
      </vt:variant>
      <vt:variant>
        <vt:i4>2228228</vt:i4>
      </vt:variant>
      <vt:variant>
        <vt:i4>155</vt:i4>
      </vt:variant>
      <vt:variant>
        <vt:i4>0</vt:i4>
      </vt:variant>
      <vt:variant>
        <vt:i4>5</vt:i4>
      </vt:variant>
      <vt:variant>
        <vt:lpwstr/>
      </vt:variant>
      <vt:variant>
        <vt:lpwstr>_Toc340776</vt:lpwstr>
      </vt:variant>
      <vt:variant>
        <vt:i4>2162692</vt:i4>
      </vt:variant>
      <vt:variant>
        <vt:i4>152</vt:i4>
      </vt:variant>
      <vt:variant>
        <vt:i4>0</vt:i4>
      </vt:variant>
      <vt:variant>
        <vt:i4>5</vt:i4>
      </vt:variant>
      <vt:variant>
        <vt:lpwstr/>
      </vt:variant>
      <vt:variant>
        <vt:lpwstr>_Toc340775</vt:lpwstr>
      </vt:variant>
      <vt:variant>
        <vt:i4>2097156</vt:i4>
      </vt:variant>
      <vt:variant>
        <vt:i4>146</vt:i4>
      </vt:variant>
      <vt:variant>
        <vt:i4>0</vt:i4>
      </vt:variant>
      <vt:variant>
        <vt:i4>5</vt:i4>
      </vt:variant>
      <vt:variant>
        <vt:lpwstr/>
      </vt:variant>
      <vt:variant>
        <vt:lpwstr>_Toc340774</vt:lpwstr>
      </vt:variant>
      <vt:variant>
        <vt:i4>2555908</vt:i4>
      </vt:variant>
      <vt:variant>
        <vt:i4>140</vt:i4>
      </vt:variant>
      <vt:variant>
        <vt:i4>0</vt:i4>
      </vt:variant>
      <vt:variant>
        <vt:i4>5</vt:i4>
      </vt:variant>
      <vt:variant>
        <vt:lpwstr/>
      </vt:variant>
      <vt:variant>
        <vt:lpwstr>_Toc340773</vt:lpwstr>
      </vt:variant>
      <vt:variant>
        <vt:i4>2490372</vt:i4>
      </vt:variant>
      <vt:variant>
        <vt:i4>134</vt:i4>
      </vt:variant>
      <vt:variant>
        <vt:i4>0</vt:i4>
      </vt:variant>
      <vt:variant>
        <vt:i4>5</vt:i4>
      </vt:variant>
      <vt:variant>
        <vt:lpwstr/>
      </vt:variant>
      <vt:variant>
        <vt:lpwstr>_Toc340772</vt:lpwstr>
      </vt:variant>
      <vt:variant>
        <vt:i4>2424836</vt:i4>
      </vt:variant>
      <vt:variant>
        <vt:i4>128</vt:i4>
      </vt:variant>
      <vt:variant>
        <vt:i4>0</vt:i4>
      </vt:variant>
      <vt:variant>
        <vt:i4>5</vt:i4>
      </vt:variant>
      <vt:variant>
        <vt:lpwstr/>
      </vt:variant>
      <vt:variant>
        <vt:lpwstr>_Toc340771</vt:lpwstr>
      </vt:variant>
      <vt:variant>
        <vt:i4>2359300</vt:i4>
      </vt:variant>
      <vt:variant>
        <vt:i4>122</vt:i4>
      </vt:variant>
      <vt:variant>
        <vt:i4>0</vt:i4>
      </vt:variant>
      <vt:variant>
        <vt:i4>5</vt:i4>
      </vt:variant>
      <vt:variant>
        <vt:lpwstr/>
      </vt:variant>
      <vt:variant>
        <vt:lpwstr>_Toc340770</vt:lpwstr>
      </vt:variant>
      <vt:variant>
        <vt:i4>2949125</vt:i4>
      </vt:variant>
      <vt:variant>
        <vt:i4>116</vt:i4>
      </vt:variant>
      <vt:variant>
        <vt:i4>0</vt:i4>
      </vt:variant>
      <vt:variant>
        <vt:i4>5</vt:i4>
      </vt:variant>
      <vt:variant>
        <vt:lpwstr/>
      </vt:variant>
      <vt:variant>
        <vt:lpwstr>_Toc340769</vt:lpwstr>
      </vt:variant>
      <vt:variant>
        <vt:i4>2883589</vt:i4>
      </vt:variant>
      <vt:variant>
        <vt:i4>110</vt:i4>
      </vt:variant>
      <vt:variant>
        <vt:i4>0</vt:i4>
      </vt:variant>
      <vt:variant>
        <vt:i4>5</vt:i4>
      </vt:variant>
      <vt:variant>
        <vt:lpwstr/>
      </vt:variant>
      <vt:variant>
        <vt:lpwstr>_Toc340768</vt:lpwstr>
      </vt:variant>
      <vt:variant>
        <vt:i4>2293765</vt:i4>
      </vt:variant>
      <vt:variant>
        <vt:i4>104</vt:i4>
      </vt:variant>
      <vt:variant>
        <vt:i4>0</vt:i4>
      </vt:variant>
      <vt:variant>
        <vt:i4>5</vt:i4>
      </vt:variant>
      <vt:variant>
        <vt:lpwstr/>
      </vt:variant>
      <vt:variant>
        <vt:lpwstr>_Toc340767</vt:lpwstr>
      </vt:variant>
      <vt:variant>
        <vt:i4>2228229</vt:i4>
      </vt:variant>
      <vt:variant>
        <vt:i4>98</vt:i4>
      </vt:variant>
      <vt:variant>
        <vt:i4>0</vt:i4>
      </vt:variant>
      <vt:variant>
        <vt:i4>5</vt:i4>
      </vt:variant>
      <vt:variant>
        <vt:lpwstr/>
      </vt:variant>
      <vt:variant>
        <vt:lpwstr>_Toc340766</vt:lpwstr>
      </vt:variant>
      <vt:variant>
        <vt:i4>2162693</vt:i4>
      </vt:variant>
      <vt:variant>
        <vt:i4>92</vt:i4>
      </vt:variant>
      <vt:variant>
        <vt:i4>0</vt:i4>
      </vt:variant>
      <vt:variant>
        <vt:i4>5</vt:i4>
      </vt:variant>
      <vt:variant>
        <vt:lpwstr/>
      </vt:variant>
      <vt:variant>
        <vt:lpwstr>_Toc340765</vt:lpwstr>
      </vt:variant>
      <vt:variant>
        <vt:i4>2097157</vt:i4>
      </vt:variant>
      <vt:variant>
        <vt:i4>86</vt:i4>
      </vt:variant>
      <vt:variant>
        <vt:i4>0</vt:i4>
      </vt:variant>
      <vt:variant>
        <vt:i4>5</vt:i4>
      </vt:variant>
      <vt:variant>
        <vt:lpwstr/>
      </vt:variant>
      <vt:variant>
        <vt:lpwstr>_Toc340764</vt:lpwstr>
      </vt:variant>
      <vt:variant>
        <vt:i4>2555909</vt:i4>
      </vt:variant>
      <vt:variant>
        <vt:i4>80</vt:i4>
      </vt:variant>
      <vt:variant>
        <vt:i4>0</vt:i4>
      </vt:variant>
      <vt:variant>
        <vt:i4>5</vt:i4>
      </vt:variant>
      <vt:variant>
        <vt:lpwstr/>
      </vt:variant>
      <vt:variant>
        <vt:lpwstr>_Toc340763</vt:lpwstr>
      </vt:variant>
      <vt:variant>
        <vt:i4>2490373</vt:i4>
      </vt:variant>
      <vt:variant>
        <vt:i4>74</vt:i4>
      </vt:variant>
      <vt:variant>
        <vt:i4>0</vt:i4>
      </vt:variant>
      <vt:variant>
        <vt:i4>5</vt:i4>
      </vt:variant>
      <vt:variant>
        <vt:lpwstr/>
      </vt:variant>
      <vt:variant>
        <vt:lpwstr>_Toc340762</vt:lpwstr>
      </vt:variant>
      <vt:variant>
        <vt:i4>2424837</vt:i4>
      </vt:variant>
      <vt:variant>
        <vt:i4>68</vt:i4>
      </vt:variant>
      <vt:variant>
        <vt:i4>0</vt:i4>
      </vt:variant>
      <vt:variant>
        <vt:i4>5</vt:i4>
      </vt:variant>
      <vt:variant>
        <vt:lpwstr/>
      </vt:variant>
      <vt:variant>
        <vt:lpwstr>_Toc340761</vt:lpwstr>
      </vt:variant>
      <vt:variant>
        <vt:i4>2359301</vt:i4>
      </vt:variant>
      <vt:variant>
        <vt:i4>62</vt:i4>
      </vt:variant>
      <vt:variant>
        <vt:i4>0</vt:i4>
      </vt:variant>
      <vt:variant>
        <vt:i4>5</vt:i4>
      </vt:variant>
      <vt:variant>
        <vt:lpwstr/>
      </vt:variant>
      <vt:variant>
        <vt:lpwstr>_Toc340760</vt:lpwstr>
      </vt:variant>
      <vt:variant>
        <vt:i4>2949126</vt:i4>
      </vt:variant>
      <vt:variant>
        <vt:i4>56</vt:i4>
      </vt:variant>
      <vt:variant>
        <vt:i4>0</vt:i4>
      </vt:variant>
      <vt:variant>
        <vt:i4>5</vt:i4>
      </vt:variant>
      <vt:variant>
        <vt:lpwstr/>
      </vt:variant>
      <vt:variant>
        <vt:lpwstr>_Toc340759</vt:lpwstr>
      </vt:variant>
      <vt:variant>
        <vt:i4>2883590</vt:i4>
      </vt:variant>
      <vt:variant>
        <vt:i4>50</vt:i4>
      </vt:variant>
      <vt:variant>
        <vt:i4>0</vt:i4>
      </vt:variant>
      <vt:variant>
        <vt:i4>5</vt:i4>
      </vt:variant>
      <vt:variant>
        <vt:lpwstr/>
      </vt:variant>
      <vt:variant>
        <vt:lpwstr>_Toc340758</vt:lpwstr>
      </vt:variant>
      <vt:variant>
        <vt:i4>2293766</vt:i4>
      </vt:variant>
      <vt:variant>
        <vt:i4>44</vt:i4>
      </vt:variant>
      <vt:variant>
        <vt:i4>0</vt:i4>
      </vt:variant>
      <vt:variant>
        <vt:i4>5</vt:i4>
      </vt:variant>
      <vt:variant>
        <vt:lpwstr/>
      </vt:variant>
      <vt:variant>
        <vt:lpwstr>_Toc340757</vt:lpwstr>
      </vt:variant>
      <vt:variant>
        <vt:i4>2228230</vt:i4>
      </vt:variant>
      <vt:variant>
        <vt:i4>38</vt:i4>
      </vt:variant>
      <vt:variant>
        <vt:i4>0</vt:i4>
      </vt:variant>
      <vt:variant>
        <vt:i4>5</vt:i4>
      </vt:variant>
      <vt:variant>
        <vt:lpwstr/>
      </vt:variant>
      <vt:variant>
        <vt:lpwstr>_Toc340756</vt:lpwstr>
      </vt:variant>
      <vt:variant>
        <vt:i4>2162694</vt:i4>
      </vt:variant>
      <vt:variant>
        <vt:i4>32</vt:i4>
      </vt:variant>
      <vt:variant>
        <vt:i4>0</vt:i4>
      </vt:variant>
      <vt:variant>
        <vt:i4>5</vt:i4>
      </vt:variant>
      <vt:variant>
        <vt:lpwstr/>
      </vt:variant>
      <vt:variant>
        <vt:lpwstr>_Toc340755</vt:lpwstr>
      </vt:variant>
      <vt:variant>
        <vt:i4>2097158</vt:i4>
      </vt:variant>
      <vt:variant>
        <vt:i4>26</vt:i4>
      </vt:variant>
      <vt:variant>
        <vt:i4>0</vt:i4>
      </vt:variant>
      <vt:variant>
        <vt:i4>5</vt:i4>
      </vt:variant>
      <vt:variant>
        <vt:lpwstr/>
      </vt:variant>
      <vt:variant>
        <vt:lpwstr>_Toc340754</vt:lpwstr>
      </vt:variant>
      <vt:variant>
        <vt:i4>2555910</vt:i4>
      </vt:variant>
      <vt:variant>
        <vt:i4>20</vt:i4>
      </vt:variant>
      <vt:variant>
        <vt:i4>0</vt:i4>
      </vt:variant>
      <vt:variant>
        <vt:i4>5</vt:i4>
      </vt:variant>
      <vt:variant>
        <vt:lpwstr/>
      </vt:variant>
      <vt:variant>
        <vt:lpwstr>_Toc340753</vt:lpwstr>
      </vt:variant>
      <vt:variant>
        <vt:i4>2490374</vt:i4>
      </vt:variant>
      <vt:variant>
        <vt:i4>14</vt:i4>
      </vt:variant>
      <vt:variant>
        <vt:i4>0</vt:i4>
      </vt:variant>
      <vt:variant>
        <vt:i4>5</vt:i4>
      </vt:variant>
      <vt:variant>
        <vt:lpwstr/>
      </vt:variant>
      <vt:variant>
        <vt:lpwstr>_Toc340752</vt:lpwstr>
      </vt:variant>
      <vt:variant>
        <vt:i4>2424838</vt:i4>
      </vt:variant>
      <vt:variant>
        <vt:i4>8</vt:i4>
      </vt:variant>
      <vt:variant>
        <vt:i4>0</vt:i4>
      </vt:variant>
      <vt:variant>
        <vt:i4>5</vt:i4>
      </vt:variant>
      <vt:variant>
        <vt:lpwstr/>
      </vt:variant>
      <vt:variant>
        <vt:lpwstr>_Toc340751</vt:lpwstr>
      </vt:variant>
      <vt:variant>
        <vt:i4>2359302</vt:i4>
      </vt:variant>
      <vt:variant>
        <vt:i4>2</vt:i4>
      </vt:variant>
      <vt:variant>
        <vt:i4>0</vt:i4>
      </vt:variant>
      <vt:variant>
        <vt:i4>5</vt:i4>
      </vt:variant>
      <vt:variant>
        <vt:lpwstr/>
      </vt:variant>
      <vt:variant>
        <vt:lpwstr>_Toc340750</vt:lpwstr>
      </vt:variant>
      <vt:variant>
        <vt:i4>7143537</vt:i4>
      </vt:variant>
      <vt:variant>
        <vt:i4>129</vt:i4>
      </vt:variant>
      <vt:variant>
        <vt:i4>0</vt:i4>
      </vt:variant>
      <vt:variant>
        <vt:i4>5</vt:i4>
      </vt:variant>
      <vt:variant>
        <vt:lpwstr>http://united4efficiency.org/countries/country-assessments/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Document - Deliverable Description</dc:title>
  <dc:subject>Project Management</dc:subject>
  <dc:creator>Patrick Gremillet</dc:creator>
  <cp:keywords/>
  <dc:description/>
  <cp:lastModifiedBy>Adey Tesfaye</cp:lastModifiedBy>
  <cp:revision>2</cp:revision>
  <cp:lastPrinted>2017-10-20T12:51:00Z</cp:lastPrinted>
  <dcterms:created xsi:type="dcterms:W3CDTF">2020-01-21T11:55:00Z</dcterms:created>
  <dcterms:modified xsi:type="dcterms:W3CDTF">2020-01-21T11:55:00Z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ies>
</file>